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CC151" w14:textId="173A69CF" w:rsidR="007D08B0" w:rsidRPr="00492BA9" w:rsidRDefault="009D55A1">
      <w:pPr>
        <w:spacing w:line="600" w:lineRule="exact"/>
        <w:rPr>
          <w:rFonts w:ascii="黑体" w:eastAsia="黑体" w:hAnsi="黑体" w:cs="仿宋_GB2312"/>
          <w:sz w:val="28"/>
          <w:szCs w:val="28"/>
        </w:rPr>
      </w:pPr>
      <w:r w:rsidRPr="00492BA9">
        <w:rPr>
          <w:rFonts w:ascii="黑体" w:eastAsia="黑体" w:hAnsi="黑体" w:cs="仿宋_GB2312" w:hint="eastAsia"/>
          <w:sz w:val="28"/>
          <w:szCs w:val="28"/>
        </w:rPr>
        <w:t>附件</w:t>
      </w:r>
      <w:r w:rsidR="0088391B">
        <w:rPr>
          <w:rFonts w:ascii="黑体" w:eastAsia="黑体" w:hAnsi="黑体" w:cs="仿宋_GB2312"/>
          <w:sz w:val="28"/>
          <w:szCs w:val="28"/>
        </w:rPr>
        <w:t>3</w:t>
      </w:r>
    </w:p>
    <w:p w14:paraId="1D910510" w14:textId="77777777" w:rsidR="007D08B0" w:rsidRDefault="009D55A1">
      <w:pPr>
        <w:spacing w:beforeLines="50" w:before="156"/>
        <w:jc w:val="center"/>
        <w:rPr>
          <w:rFonts w:ascii="方正小标宋简体" w:eastAsia="方正小标宋简体" w:hAnsi="方正小标宋简体" w:cs="方正小标宋简体"/>
          <w:kern w:val="0"/>
          <w:sz w:val="36"/>
          <w:szCs w:val="36"/>
          <w:shd w:val="clear" w:color="auto" w:fill="FFFFFF"/>
          <w:lang w:bidi="ar"/>
        </w:rPr>
      </w:pPr>
      <w:r>
        <w:rPr>
          <w:rFonts w:ascii="方正小标宋简体" w:eastAsia="方正小标宋简体" w:hAnsi="方正小标宋简体" w:cs="方正小标宋简体" w:hint="eastAsia"/>
          <w:kern w:val="0"/>
          <w:sz w:val="36"/>
          <w:szCs w:val="36"/>
          <w:shd w:val="clear" w:color="auto" w:fill="FFFFFF"/>
          <w:lang w:bidi="ar"/>
        </w:rPr>
        <w:t>深圳市建筑工</w:t>
      </w:r>
      <w:proofErr w:type="gramStart"/>
      <w:r>
        <w:rPr>
          <w:rFonts w:ascii="方正小标宋简体" w:eastAsia="方正小标宋简体" w:hAnsi="方正小标宋简体" w:cs="方正小标宋简体" w:hint="eastAsia"/>
          <w:kern w:val="0"/>
          <w:sz w:val="36"/>
          <w:szCs w:val="36"/>
          <w:shd w:val="clear" w:color="auto" w:fill="FFFFFF"/>
          <w:lang w:bidi="ar"/>
        </w:rPr>
        <w:t>务</w:t>
      </w:r>
      <w:proofErr w:type="gramEnd"/>
      <w:r>
        <w:rPr>
          <w:rFonts w:ascii="方正小标宋简体" w:eastAsia="方正小标宋简体" w:hAnsi="方正小标宋简体" w:cs="方正小标宋简体" w:hint="eastAsia"/>
          <w:kern w:val="0"/>
          <w:sz w:val="36"/>
          <w:szCs w:val="36"/>
          <w:shd w:val="clear" w:color="auto" w:fill="FFFFFF"/>
          <w:lang w:bidi="ar"/>
        </w:rPr>
        <w:t>署2026年度BIM咨询服务项目综合评分表</w:t>
      </w:r>
    </w:p>
    <w:tbl>
      <w:tblPr>
        <w:tblpPr w:leftFromText="180" w:rightFromText="180" w:vertAnchor="text" w:horzAnchor="page" w:tblpX="1129" w:tblpY="334"/>
        <w:tblOverlap w:val="never"/>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659"/>
        <w:gridCol w:w="1188"/>
        <w:gridCol w:w="661"/>
        <w:gridCol w:w="6235"/>
        <w:gridCol w:w="524"/>
      </w:tblGrid>
      <w:tr w:rsidR="007D08B0" w14:paraId="1C0E06CA" w14:textId="77777777">
        <w:trPr>
          <w:trHeight w:val="208"/>
        </w:trPr>
        <w:tc>
          <w:tcPr>
            <w:tcW w:w="497" w:type="dxa"/>
            <w:tcBorders>
              <w:top w:val="single" w:sz="4" w:space="0" w:color="auto"/>
              <w:left w:val="single" w:sz="4" w:space="0" w:color="auto"/>
              <w:bottom w:val="single" w:sz="4" w:space="0" w:color="auto"/>
              <w:right w:val="single" w:sz="4" w:space="0" w:color="auto"/>
            </w:tcBorders>
            <w:vAlign w:val="center"/>
          </w:tcPr>
          <w:p w14:paraId="5F7BF8F9" w14:textId="77777777" w:rsidR="007D08B0" w:rsidRDefault="009D55A1">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序号</w:t>
            </w:r>
          </w:p>
        </w:tc>
        <w:tc>
          <w:tcPr>
            <w:tcW w:w="2508" w:type="dxa"/>
            <w:gridSpan w:val="3"/>
            <w:tcBorders>
              <w:top w:val="single" w:sz="4" w:space="0" w:color="auto"/>
              <w:left w:val="single" w:sz="4" w:space="0" w:color="auto"/>
              <w:bottom w:val="single" w:sz="4" w:space="0" w:color="auto"/>
              <w:right w:val="single" w:sz="4" w:space="0" w:color="auto"/>
            </w:tcBorders>
            <w:vAlign w:val="center"/>
          </w:tcPr>
          <w:p w14:paraId="320B5135" w14:textId="77777777" w:rsidR="007D08B0" w:rsidRDefault="009D55A1">
            <w:pPr>
              <w:jc w:val="center"/>
              <w:rPr>
                <w:rFonts w:ascii="仿宋_GB2312" w:eastAsia="仿宋_GB2312" w:hAnsi="仿宋_GB2312" w:cs="仿宋_GB2312"/>
                <w:b/>
                <w:bCs/>
                <w:sz w:val="24"/>
              </w:rPr>
            </w:pPr>
            <w:r>
              <w:rPr>
                <w:rFonts w:ascii="仿宋_GB2312" w:eastAsia="仿宋_GB2312" w:hAnsi="仿宋_GB2312" w:cs="仿宋_GB2312" w:hint="eastAsia"/>
                <w:b/>
                <w:bCs/>
                <w:sz w:val="24"/>
              </w:rPr>
              <w:t>评分项</w:t>
            </w:r>
          </w:p>
        </w:tc>
        <w:tc>
          <w:tcPr>
            <w:tcW w:w="6235" w:type="dxa"/>
            <w:tcBorders>
              <w:top w:val="single" w:sz="4" w:space="0" w:color="auto"/>
              <w:left w:val="single" w:sz="4" w:space="0" w:color="auto"/>
              <w:bottom w:val="single" w:sz="4" w:space="0" w:color="auto"/>
              <w:right w:val="single" w:sz="4" w:space="0" w:color="auto"/>
            </w:tcBorders>
            <w:vAlign w:val="center"/>
          </w:tcPr>
          <w:p w14:paraId="7737358B" w14:textId="77777777" w:rsidR="007D08B0" w:rsidRDefault="009D55A1">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分值</w:t>
            </w:r>
          </w:p>
        </w:tc>
        <w:tc>
          <w:tcPr>
            <w:tcW w:w="524" w:type="dxa"/>
            <w:tcBorders>
              <w:top w:val="single" w:sz="4" w:space="0" w:color="auto"/>
              <w:left w:val="single" w:sz="4" w:space="0" w:color="auto"/>
              <w:bottom w:val="single" w:sz="4" w:space="0" w:color="auto"/>
              <w:right w:val="single" w:sz="4" w:space="0" w:color="auto"/>
            </w:tcBorders>
            <w:vAlign w:val="center"/>
          </w:tcPr>
          <w:p w14:paraId="419AD9F7" w14:textId="77777777" w:rsidR="007D08B0" w:rsidRDefault="009D55A1">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得分</w:t>
            </w:r>
          </w:p>
        </w:tc>
      </w:tr>
      <w:tr w:rsidR="007D08B0" w14:paraId="6367A067" w14:textId="77777777">
        <w:trPr>
          <w:trHeight w:val="56"/>
        </w:trPr>
        <w:tc>
          <w:tcPr>
            <w:tcW w:w="497" w:type="dxa"/>
            <w:vMerge w:val="restart"/>
            <w:tcBorders>
              <w:top w:val="single" w:sz="4" w:space="0" w:color="auto"/>
              <w:left w:val="single" w:sz="4" w:space="0" w:color="auto"/>
              <w:right w:val="single" w:sz="4" w:space="0" w:color="auto"/>
            </w:tcBorders>
            <w:vAlign w:val="center"/>
          </w:tcPr>
          <w:p w14:paraId="61273F6F"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2508" w:type="dxa"/>
            <w:gridSpan w:val="3"/>
            <w:tcBorders>
              <w:top w:val="single" w:sz="4" w:space="0" w:color="auto"/>
              <w:left w:val="single" w:sz="4" w:space="0" w:color="auto"/>
              <w:bottom w:val="single" w:sz="4" w:space="0" w:color="auto"/>
              <w:right w:val="single" w:sz="4" w:space="0" w:color="auto"/>
            </w:tcBorders>
            <w:vAlign w:val="center"/>
          </w:tcPr>
          <w:p w14:paraId="39B96D2D"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hint="eastAsia"/>
                <w:sz w:val="24"/>
              </w:rPr>
              <w:t>价格部分</w:t>
            </w:r>
          </w:p>
        </w:tc>
        <w:tc>
          <w:tcPr>
            <w:tcW w:w="6235" w:type="dxa"/>
            <w:tcBorders>
              <w:top w:val="single" w:sz="4" w:space="0" w:color="auto"/>
              <w:left w:val="single" w:sz="4" w:space="0" w:color="auto"/>
              <w:bottom w:val="single" w:sz="4" w:space="0" w:color="auto"/>
              <w:right w:val="single" w:sz="4" w:space="0" w:color="auto"/>
            </w:tcBorders>
            <w:vAlign w:val="center"/>
          </w:tcPr>
          <w:p w14:paraId="199E27C0"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hint="eastAsia"/>
                <w:sz w:val="24"/>
              </w:rPr>
              <w:t>10</w:t>
            </w:r>
          </w:p>
        </w:tc>
        <w:tc>
          <w:tcPr>
            <w:tcW w:w="524" w:type="dxa"/>
            <w:vMerge w:val="restart"/>
            <w:tcBorders>
              <w:top w:val="single" w:sz="4" w:space="0" w:color="auto"/>
              <w:left w:val="single" w:sz="4" w:space="0" w:color="auto"/>
              <w:right w:val="single" w:sz="4" w:space="0" w:color="auto"/>
            </w:tcBorders>
            <w:vAlign w:val="center"/>
          </w:tcPr>
          <w:p w14:paraId="1D02D1CB" w14:textId="77777777" w:rsidR="007D08B0" w:rsidRDefault="007D08B0">
            <w:pPr>
              <w:jc w:val="center"/>
              <w:rPr>
                <w:rFonts w:ascii="仿宋_GB2312" w:eastAsia="仿宋_GB2312" w:hAnsi="仿宋_GB2312" w:cs="仿宋_GB2312"/>
                <w:sz w:val="24"/>
              </w:rPr>
            </w:pPr>
          </w:p>
        </w:tc>
      </w:tr>
      <w:tr w:rsidR="007D08B0" w14:paraId="3D39D03B" w14:textId="77777777">
        <w:trPr>
          <w:trHeight w:val="56"/>
        </w:trPr>
        <w:tc>
          <w:tcPr>
            <w:tcW w:w="497" w:type="dxa"/>
            <w:vMerge/>
            <w:tcBorders>
              <w:left w:val="single" w:sz="4" w:space="0" w:color="auto"/>
              <w:right w:val="single" w:sz="4" w:space="0" w:color="auto"/>
            </w:tcBorders>
            <w:vAlign w:val="center"/>
          </w:tcPr>
          <w:p w14:paraId="19817D57" w14:textId="77777777" w:rsidR="007D08B0" w:rsidRDefault="007D08B0">
            <w:pPr>
              <w:jc w:val="center"/>
              <w:rPr>
                <w:rFonts w:ascii="仿宋_GB2312" w:eastAsia="仿宋_GB2312" w:hAnsi="仿宋_GB2312" w:cs="仿宋_GB2312"/>
                <w:sz w:val="24"/>
              </w:rPr>
            </w:pPr>
          </w:p>
        </w:tc>
        <w:tc>
          <w:tcPr>
            <w:tcW w:w="2508" w:type="dxa"/>
            <w:gridSpan w:val="3"/>
            <w:tcBorders>
              <w:top w:val="single" w:sz="4" w:space="0" w:color="auto"/>
              <w:left w:val="single" w:sz="4" w:space="0" w:color="auto"/>
              <w:bottom w:val="single" w:sz="4" w:space="0" w:color="auto"/>
              <w:right w:val="single" w:sz="4" w:space="0" w:color="auto"/>
            </w:tcBorders>
            <w:vAlign w:val="center"/>
          </w:tcPr>
          <w:p w14:paraId="17B237FE"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hint="eastAsia"/>
                <w:sz w:val="24"/>
              </w:rPr>
              <w:t>投标报价</w:t>
            </w:r>
          </w:p>
        </w:tc>
        <w:tc>
          <w:tcPr>
            <w:tcW w:w="6235" w:type="dxa"/>
            <w:tcBorders>
              <w:top w:val="single" w:sz="4" w:space="0" w:color="auto"/>
              <w:left w:val="single" w:sz="4" w:space="0" w:color="auto"/>
              <w:bottom w:val="single" w:sz="4" w:space="0" w:color="auto"/>
              <w:right w:val="single" w:sz="4" w:space="0" w:color="auto"/>
            </w:tcBorders>
            <w:vAlign w:val="center"/>
          </w:tcPr>
          <w:p w14:paraId="2B1AC665" w14:textId="77777777" w:rsidR="007D08B0" w:rsidRDefault="007D08B0">
            <w:pPr>
              <w:jc w:val="center"/>
              <w:rPr>
                <w:rFonts w:ascii="仿宋_GB2312" w:eastAsia="仿宋_GB2312" w:hAnsi="仿宋_GB2312" w:cs="仿宋_GB2312"/>
                <w:sz w:val="24"/>
              </w:rPr>
            </w:pPr>
          </w:p>
        </w:tc>
        <w:tc>
          <w:tcPr>
            <w:tcW w:w="524" w:type="dxa"/>
            <w:vMerge/>
            <w:tcBorders>
              <w:left w:val="single" w:sz="4" w:space="0" w:color="auto"/>
              <w:right w:val="single" w:sz="4" w:space="0" w:color="auto"/>
            </w:tcBorders>
            <w:vAlign w:val="center"/>
          </w:tcPr>
          <w:p w14:paraId="2DBC9746" w14:textId="77777777" w:rsidR="007D08B0" w:rsidRDefault="007D08B0">
            <w:pPr>
              <w:jc w:val="center"/>
              <w:rPr>
                <w:rFonts w:ascii="仿宋_GB2312" w:eastAsia="仿宋_GB2312" w:hAnsi="仿宋_GB2312" w:cs="仿宋_GB2312"/>
                <w:sz w:val="24"/>
              </w:rPr>
            </w:pPr>
          </w:p>
        </w:tc>
      </w:tr>
      <w:tr w:rsidR="007D08B0" w14:paraId="1CFD0CAF" w14:textId="77777777">
        <w:trPr>
          <w:trHeight w:val="56"/>
        </w:trPr>
        <w:tc>
          <w:tcPr>
            <w:tcW w:w="497" w:type="dxa"/>
            <w:vMerge/>
            <w:tcBorders>
              <w:left w:val="single" w:sz="4" w:space="0" w:color="auto"/>
              <w:bottom w:val="single" w:sz="4" w:space="0" w:color="auto"/>
              <w:right w:val="single" w:sz="4" w:space="0" w:color="auto"/>
            </w:tcBorders>
            <w:vAlign w:val="center"/>
          </w:tcPr>
          <w:p w14:paraId="6DF64278" w14:textId="77777777" w:rsidR="007D08B0" w:rsidRDefault="007D08B0">
            <w:pPr>
              <w:jc w:val="center"/>
              <w:rPr>
                <w:rFonts w:ascii="仿宋_GB2312" w:eastAsia="仿宋_GB2312" w:hAnsi="仿宋_GB2312" w:cs="仿宋_GB2312"/>
                <w:sz w:val="24"/>
              </w:rPr>
            </w:pPr>
          </w:p>
        </w:tc>
        <w:tc>
          <w:tcPr>
            <w:tcW w:w="2508" w:type="dxa"/>
            <w:gridSpan w:val="3"/>
            <w:tcBorders>
              <w:top w:val="single" w:sz="4" w:space="0" w:color="auto"/>
              <w:left w:val="single" w:sz="4" w:space="0" w:color="auto"/>
              <w:bottom w:val="single" w:sz="4" w:space="0" w:color="auto"/>
              <w:right w:val="single" w:sz="4" w:space="0" w:color="auto"/>
            </w:tcBorders>
            <w:vAlign w:val="center"/>
          </w:tcPr>
          <w:p w14:paraId="1B60EA09"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hint="eastAsia"/>
                <w:sz w:val="24"/>
              </w:rPr>
              <w:t>投标报价计分规则</w:t>
            </w:r>
          </w:p>
        </w:tc>
        <w:tc>
          <w:tcPr>
            <w:tcW w:w="6235" w:type="dxa"/>
            <w:tcBorders>
              <w:top w:val="single" w:sz="4" w:space="0" w:color="auto"/>
              <w:left w:val="single" w:sz="4" w:space="0" w:color="auto"/>
              <w:bottom w:val="single" w:sz="4" w:space="0" w:color="auto"/>
              <w:right w:val="single" w:sz="4" w:space="0" w:color="auto"/>
            </w:tcBorders>
            <w:vAlign w:val="center"/>
          </w:tcPr>
          <w:p w14:paraId="6FFF193C"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hint="eastAsia"/>
                <w:sz w:val="24"/>
              </w:rPr>
              <w:t>投标报价得分=（1-|1-投标报价/评标基准价|）*</w:t>
            </w:r>
            <w:r>
              <w:rPr>
                <w:rFonts w:ascii="仿宋_GB2312" w:eastAsia="仿宋_GB2312" w:hAnsi="仿宋_GB2312" w:cs="仿宋_GB2312"/>
                <w:sz w:val="24"/>
              </w:rPr>
              <w:t>1</w:t>
            </w:r>
            <w:r>
              <w:rPr>
                <w:rFonts w:ascii="仿宋_GB2312" w:eastAsia="仿宋_GB2312" w:hAnsi="仿宋_GB2312" w:cs="仿宋_GB2312" w:hint="eastAsia"/>
                <w:sz w:val="24"/>
              </w:rPr>
              <w:t>0</w:t>
            </w:r>
          </w:p>
          <w:p w14:paraId="2877F4F4"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hint="eastAsia"/>
                <w:sz w:val="24"/>
              </w:rPr>
              <w:t>注：评标基准</w:t>
            </w:r>
            <w:proofErr w:type="gramStart"/>
            <w:r>
              <w:rPr>
                <w:rFonts w:ascii="仿宋_GB2312" w:eastAsia="仿宋_GB2312" w:hAnsi="仿宋_GB2312" w:cs="仿宋_GB2312" w:hint="eastAsia"/>
                <w:sz w:val="24"/>
              </w:rPr>
              <w:t>价取有效</w:t>
            </w:r>
            <w:proofErr w:type="gramEnd"/>
            <w:r>
              <w:rPr>
                <w:rFonts w:ascii="仿宋_GB2312" w:eastAsia="仿宋_GB2312" w:hAnsi="仿宋_GB2312" w:cs="仿宋_GB2312" w:hint="eastAsia"/>
                <w:sz w:val="24"/>
              </w:rPr>
              <w:t>投标报价的算术平均值。</w:t>
            </w:r>
          </w:p>
        </w:tc>
        <w:tc>
          <w:tcPr>
            <w:tcW w:w="524" w:type="dxa"/>
            <w:vMerge/>
            <w:tcBorders>
              <w:left w:val="single" w:sz="4" w:space="0" w:color="auto"/>
              <w:bottom w:val="single" w:sz="4" w:space="0" w:color="auto"/>
              <w:right w:val="single" w:sz="4" w:space="0" w:color="auto"/>
            </w:tcBorders>
            <w:vAlign w:val="center"/>
          </w:tcPr>
          <w:p w14:paraId="3418349F" w14:textId="77777777" w:rsidR="007D08B0" w:rsidRDefault="007D08B0">
            <w:pPr>
              <w:jc w:val="center"/>
              <w:rPr>
                <w:rFonts w:ascii="仿宋_GB2312" w:eastAsia="仿宋_GB2312" w:hAnsi="仿宋_GB2312" w:cs="仿宋_GB2312"/>
                <w:sz w:val="24"/>
              </w:rPr>
            </w:pPr>
          </w:p>
        </w:tc>
      </w:tr>
      <w:tr w:rsidR="007D08B0" w14:paraId="118C6D43" w14:textId="77777777">
        <w:trPr>
          <w:trHeight w:val="56"/>
        </w:trPr>
        <w:tc>
          <w:tcPr>
            <w:tcW w:w="497" w:type="dxa"/>
            <w:vMerge w:val="restart"/>
            <w:tcBorders>
              <w:top w:val="single" w:sz="4" w:space="0" w:color="auto"/>
              <w:left w:val="single" w:sz="4" w:space="0" w:color="auto"/>
              <w:right w:val="single" w:sz="4" w:space="0" w:color="auto"/>
            </w:tcBorders>
            <w:vAlign w:val="center"/>
          </w:tcPr>
          <w:p w14:paraId="32DC5976"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sz w:val="24"/>
              </w:rPr>
              <w:t>2</w:t>
            </w:r>
          </w:p>
        </w:tc>
        <w:tc>
          <w:tcPr>
            <w:tcW w:w="2508" w:type="dxa"/>
            <w:gridSpan w:val="3"/>
            <w:tcBorders>
              <w:top w:val="single" w:sz="4" w:space="0" w:color="auto"/>
              <w:left w:val="single" w:sz="4" w:space="0" w:color="auto"/>
              <w:bottom w:val="single" w:sz="4" w:space="0" w:color="auto"/>
              <w:right w:val="single" w:sz="4" w:space="0" w:color="auto"/>
            </w:tcBorders>
            <w:vAlign w:val="center"/>
          </w:tcPr>
          <w:p w14:paraId="4A60CD12"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hint="eastAsia"/>
                <w:sz w:val="24"/>
              </w:rPr>
              <w:t>技术部分</w:t>
            </w:r>
          </w:p>
        </w:tc>
        <w:tc>
          <w:tcPr>
            <w:tcW w:w="6759" w:type="dxa"/>
            <w:gridSpan w:val="2"/>
            <w:tcBorders>
              <w:top w:val="single" w:sz="4" w:space="0" w:color="auto"/>
              <w:left w:val="single" w:sz="4" w:space="0" w:color="auto"/>
              <w:bottom w:val="single" w:sz="4" w:space="0" w:color="auto"/>
              <w:right w:val="single" w:sz="4" w:space="0" w:color="auto"/>
            </w:tcBorders>
            <w:vAlign w:val="center"/>
          </w:tcPr>
          <w:p w14:paraId="7B4D09D2"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hint="eastAsia"/>
                <w:sz w:val="24"/>
              </w:rPr>
              <w:t>50</w:t>
            </w:r>
          </w:p>
        </w:tc>
      </w:tr>
      <w:tr w:rsidR="007D08B0" w14:paraId="16CAE70C" w14:textId="77777777">
        <w:trPr>
          <w:trHeight w:val="39"/>
        </w:trPr>
        <w:tc>
          <w:tcPr>
            <w:tcW w:w="497" w:type="dxa"/>
            <w:vMerge/>
            <w:tcBorders>
              <w:left w:val="single" w:sz="4" w:space="0" w:color="auto"/>
              <w:right w:val="single" w:sz="4" w:space="0" w:color="auto"/>
            </w:tcBorders>
            <w:vAlign w:val="center"/>
          </w:tcPr>
          <w:p w14:paraId="53486B32" w14:textId="77777777" w:rsidR="007D08B0" w:rsidRDefault="007D08B0">
            <w:pPr>
              <w:jc w:val="center"/>
              <w:rPr>
                <w:rFonts w:ascii="仿宋_GB2312" w:eastAsia="仿宋_GB2312" w:hAnsi="仿宋_GB2312" w:cs="仿宋_GB2312"/>
                <w:sz w:val="24"/>
              </w:rPr>
            </w:pPr>
          </w:p>
        </w:tc>
        <w:tc>
          <w:tcPr>
            <w:tcW w:w="659" w:type="dxa"/>
            <w:tcBorders>
              <w:top w:val="single" w:sz="4" w:space="0" w:color="auto"/>
              <w:left w:val="single" w:sz="4" w:space="0" w:color="auto"/>
              <w:bottom w:val="single" w:sz="4" w:space="0" w:color="auto"/>
              <w:right w:val="single" w:sz="4" w:space="0" w:color="auto"/>
            </w:tcBorders>
            <w:vAlign w:val="center"/>
          </w:tcPr>
          <w:p w14:paraId="1C453E6C"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hint="eastAsia"/>
                <w:sz w:val="24"/>
              </w:rPr>
              <w:t>行号</w:t>
            </w:r>
          </w:p>
        </w:tc>
        <w:tc>
          <w:tcPr>
            <w:tcW w:w="1188" w:type="dxa"/>
            <w:tcBorders>
              <w:top w:val="single" w:sz="4" w:space="0" w:color="auto"/>
              <w:left w:val="single" w:sz="4" w:space="0" w:color="auto"/>
              <w:bottom w:val="single" w:sz="4" w:space="0" w:color="auto"/>
              <w:right w:val="single" w:sz="4" w:space="0" w:color="auto"/>
            </w:tcBorders>
            <w:vAlign w:val="center"/>
          </w:tcPr>
          <w:p w14:paraId="2778863C"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hint="eastAsia"/>
                <w:sz w:val="24"/>
              </w:rPr>
              <w:t>评分因素</w:t>
            </w:r>
          </w:p>
        </w:tc>
        <w:tc>
          <w:tcPr>
            <w:tcW w:w="661" w:type="dxa"/>
            <w:tcBorders>
              <w:top w:val="single" w:sz="4" w:space="0" w:color="auto"/>
              <w:left w:val="single" w:sz="4" w:space="0" w:color="auto"/>
              <w:bottom w:val="single" w:sz="4" w:space="0" w:color="auto"/>
              <w:right w:val="single" w:sz="4" w:space="0" w:color="auto"/>
            </w:tcBorders>
            <w:vAlign w:val="center"/>
          </w:tcPr>
          <w:p w14:paraId="55C26CD5"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hint="eastAsia"/>
                <w:sz w:val="24"/>
              </w:rPr>
              <w:t>分值</w:t>
            </w:r>
          </w:p>
        </w:tc>
        <w:tc>
          <w:tcPr>
            <w:tcW w:w="6759" w:type="dxa"/>
            <w:gridSpan w:val="2"/>
            <w:tcBorders>
              <w:top w:val="single" w:sz="4" w:space="0" w:color="auto"/>
              <w:left w:val="single" w:sz="4" w:space="0" w:color="auto"/>
              <w:bottom w:val="single" w:sz="4" w:space="0" w:color="auto"/>
              <w:right w:val="single" w:sz="4" w:space="0" w:color="auto"/>
            </w:tcBorders>
            <w:vAlign w:val="center"/>
          </w:tcPr>
          <w:p w14:paraId="7866B178"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hint="eastAsia"/>
                <w:sz w:val="24"/>
              </w:rPr>
              <w:t>评分准则</w:t>
            </w:r>
          </w:p>
        </w:tc>
      </w:tr>
      <w:tr w:rsidR="007D08B0" w14:paraId="6E12237F" w14:textId="77777777">
        <w:trPr>
          <w:trHeight w:val="39"/>
        </w:trPr>
        <w:tc>
          <w:tcPr>
            <w:tcW w:w="497" w:type="dxa"/>
            <w:vMerge/>
            <w:tcBorders>
              <w:left w:val="single" w:sz="4" w:space="0" w:color="auto"/>
              <w:right w:val="single" w:sz="4" w:space="0" w:color="auto"/>
            </w:tcBorders>
            <w:vAlign w:val="center"/>
          </w:tcPr>
          <w:p w14:paraId="010E7CAC" w14:textId="77777777" w:rsidR="007D08B0" w:rsidRDefault="007D08B0">
            <w:pPr>
              <w:widowControl/>
              <w:jc w:val="left"/>
              <w:rPr>
                <w:rFonts w:ascii="仿宋_GB2312" w:eastAsia="仿宋_GB2312" w:hAnsi="仿宋_GB2312" w:cs="仿宋_GB2312"/>
                <w:sz w:val="24"/>
              </w:rPr>
            </w:pPr>
          </w:p>
        </w:tc>
        <w:tc>
          <w:tcPr>
            <w:tcW w:w="659" w:type="dxa"/>
            <w:tcBorders>
              <w:top w:val="single" w:sz="4" w:space="0" w:color="auto"/>
              <w:left w:val="single" w:sz="4" w:space="0" w:color="auto"/>
              <w:bottom w:val="single" w:sz="4" w:space="0" w:color="auto"/>
              <w:right w:val="single" w:sz="4" w:space="0" w:color="auto"/>
            </w:tcBorders>
            <w:vAlign w:val="center"/>
          </w:tcPr>
          <w:p w14:paraId="23D186A3"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.1</w:t>
            </w:r>
          </w:p>
        </w:tc>
        <w:tc>
          <w:tcPr>
            <w:tcW w:w="1188" w:type="dxa"/>
            <w:tcBorders>
              <w:top w:val="single" w:sz="4" w:space="0" w:color="auto"/>
              <w:left w:val="single" w:sz="4" w:space="0" w:color="auto"/>
              <w:bottom w:val="single" w:sz="4" w:space="0" w:color="auto"/>
              <w:right w:val="single" w:sz="4" w:space="0" w:color="auto"/>
            </w:tcBorders>
            <w:vAlign w:val="center"/>
          </w:tcPr>
          <w:p w14:paraId="3826DEE1"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hint="eastAsia"/>
                <w:kern w:val="0"/>
                <w:sz w:val="24"/>
              </w:rPr>
              <w:t>BIM咨询服务方案</w:t>
            </w:r>
          </w:p>
        </w:tc>
        <w:tc>
          <w:tcPr>
            <w:tcW w:w="661" w:type="dxa"/>
            <w:tcBorders>
              <w:top w:val="single" w:sz="4" w:space="0" w:color="auto"/>
              <w:left w:val="single" w:sz="4" w:space="0" w:color="auto"/>
              <w:bottom w:val="single" w:sz="4" w:space="0" w:color="auto"/>
              <w:right w:val="single" w:sz="4" w:space="0" w:color="auto"/>
            </w:tcBorders>
            <w:vAlign w:val="center"/>
          </w:tcPr>
          <w:p w14:paraId="46411D8A"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hint="eastAsia"/>
                <w:sz w:val="24"/>
              </w:rPr>
              <w:t>20</w:t>
            </w:r>
          </w:p>
        </w:tc>
        <w:tc>
          <w:tcPr>
            <w:tcW w:w="6235" w:type="dxa"/>
            <w:tcBorders>
              <w:top w:val="single" w:sz="4" w:space="0" w:color="auto"/>
              <w:left w:val="single" w:sz="4" w:space="0" w:color="auto"/>
              <w:bottom w:val="single" w:sz="4" w:space="0" w:color="auto"/>
              <w:right w:val="single" w:sz="4" w:space="0" w:color="auto"/>
            </w:tcBorders>
            <w:vAlign w:val="center"/>
          </w:tcPr>
          <w:p w14:paraId="4B171757"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t>（一）评审内容：</w:t>
            </w:r>
          </w:p>
          <w:p w14:paraId="4FE74723"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t>（1）详细阐述投标方在服务开展过程中所采用的服务策略、服务流程及通过投标方提供的咨询服务</w:t>
            </w:r>
            <w:proofErr w:type="gramStart"/>
            <w:r>
              <w:rPr>
                <w:rFonts w:ascii="仿宋_GB2312" w:eastAsia="仿宋_GB2312" w:hAnsi="仿宋_GB2312" w:cs="仿宋_GB2312" w:hint="eastAsia"/>
                <w:sz w:val="24"/>
              </w:rPr>
              <w:t>拟实现</w:t>
            </w:r>
            <w:proofErr w:type="gramEnd"/>
            <w:r>
              <w:rPr>
                <w:rFonts w:ascii="仿宋_GB2312" w:eastAsia="仿宋_GB2312" w:hAnsi="仿宋_GB2312" w:cs="仿宋_GB2312" w:hint="eastAsia"/>
                <w:sz w:val="24"/>
              </w:rPr>
              <w:t>的目标。</w:t>
            </w:r>
          </w:p>
          <w:p w14:paraId="76A0DE15"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t>（2）给出BIM咨询服务成果清单；</w:t>
            </w:r>
          </w:p>
          <w:p w14:paraId="1474B9B4"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t>（二）优良中差评分标准：</w:t>
            </w:r>
          </w:p>
          <w:p w14:paraId="5D04DB6C" w14:textId="77777777" w:rsidR="007D08B0" w:rsidRDefault="009D55A1">
            <w:pPr>
              <w:jc w:val="left"/>
              <w:rPr>
                <w:rFonts w:ascii="仿宋_GB2312" w:eastAsia="仿宋_GB2312" w:hAnsi="仿宋_GB2312" w:cs="仿宋_GB2312"/>
                <w:strike/>
                <w:sz w:val="24"/>
              </w:rPr>
            </w:pPr>
            <w:r>
              <w:rPr>
                <w:rFonts w:ascii="仿宋_GB2312" w:eastAsia="仿宋_GB2312" w:hAnsi="仿宋_GB2312" w:cs="仿宋_GB2312" w:hint="eastAsia"/>
                <w:sz w:val="24"/>
              </w:rPr>
              <w:t>根据招标文件的需求和投标文件响应情况，按照内容完整和合理性进行分档评分：</w:t>
            </w:r>
          </w:p>
          <w:p w14:paraId="1E629E72"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t>内容完整、可操作性强，评价</w:t>
            </w:r>
            <w:proofErr w:type="gramStart"/>
            <w:r>
              <w:rPr>
                <w:rFonts w:ascii="仿宋_GB2312" w:eastAsia="仿宋_GB2312" w:hAnsi="仿宋_GB2312" w:cs="仿宋_GB2312" w:hint="eastAsia"/>
                <w:sz w:val="24"/>
              </w:rPr>
              <w:t>为优得</w:t>
            </w:r>
            <w:proofErr w:type="gramEnd"/>
            <w:r>
              <w:rPr>
                <w:rFonts w:ascii="仿宋_GB2312" w:eastAsia="仿宋_GB2312" w:hAnsi="仿宋_GB2312" w:cs="仿宋_GB2312" w:hint="eastAsia"/>
                <w:sz w:val="24"/>
              </w:rPr>
              <w:t>20分数；内容较完整、可操作性较强，评价</w:t>
            </w:r>
            <w:proofErr w:type="gramStart"/>
            <w:r>
              <w:rPr>
                <w:rFonts w:ascii="仿宋_GB2312" w:eastAsia="仿宋_GB2312" w:hAnsi="仿宋_GB2312" w:cs="仿宋_GB2312" w:hint="eastAsia"/>
                <w:sz w:val="24"/>
              </w:rPr>
              <w:t>为良得</w:t>
            </w:r>
            <w:proofErr w:type="gramEnd"/>
            <w:r>
              <w:rPr>
                <w:rFonts w:ascii="仿宋_GB2312" w:eastAsia="仿宋_GB2312" w:hAnsi="仿宋_GB2312" w:cs="仿宋_GB2312" w:hint="eastAsia"/>
                <w:sz w:val="24"/>
              </w:rPr>
              <w:t>15分数；内容完整性一般、可操作性一般，评价为中得10分数；</w:t>
            </w:r>
          </w:p>
          <w:p w14:paraId="48653795"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t>内容不完整、</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可操作，评价为差得0分。</w:t>
            </w:r>
          </w:p>
        </w:tc>
        <w:tc>
          <w:tcPr>
            <w:tcW w:w="524" w:type="dxa"/>
            <w:tcBorders>
              <w:top w:val="single" w:sz="4" w:space="0" w:color="auto"/>
              <w:left w:val="single" w:sz="4" w:space="0" w:color="auto"/>
              <w:bottom w:val="single" w:sz="4" w:space="0" w:color="auto"/>
              <w:right w:val="single" w:sz="4" w:space="0" w:color="auto"/>
            </w:tcBorders>
            <w:vAlign w:val="center"/>
          </w:tcPr>
          <w:p w14:paraId="7487081A" w14:textId="77777777" w:rsidR="007D08B0" w:rsidRDefault="007D08B0">
            <w:pPr>
              <w:jc w:val="left"/>
              <w:rPr>
                <w:rFonts w:ascii="仿宋_GB2312" w:eastAsia="仿宋_GB2312" w:hAnsi="仿宋_GB2312" w:cs="仿宋_GB2312"/>
                <w:sz w:val="24"/>
              </w:rPr>
            </w:pPr>
          </w:p>
        </w:tc>
      </w:tr>
      <w:tr w:rsidR="007D08B0" w14:paraId="028D06DF" w14:textId="77777777">
        <w:trPr>
          <w:trHeight w:val="39"/>
        </w:trPr>
        <w:tc>
          <w:tcPr>
            <w:tcW w:w="497" w:type="dxa"/>
            <w:vMerge/>
            <w:tcBorders>
              <w:left w:val="single" w:sz="4" w:space="0" w:color="auto"/>
              <w:right w:val="single" w:sz="4" w:space="0" w:color="auto"/>
            </w:tcBorders>
            <w:vAlign w:val="center"/>
          </w:tcPr>
          <w:p w14:paraId="48E8AD35" w14:textId="77777777" w:rsidR="007D08B0" w:rsidRDefault="007D08B0">
            <w:pPr>
              <w:widowControl/>
              <w:jc w:val="left"/>
              <w:rPr>
                <w:rFonts w:ascii="仿宋_GB2312" w:eastAsia="仿宋_GB2312" w:hAnsi="仿宋_GB2312" w:cs="仿宋_GB2312"/>
                <w:sz w:val="24"/>
              </w:rPr>
            </w:pPr>
          </w:p>
        </w:tc>
        <w:tc>
          <w:tcPr>
            <w:tcW w:w="659" w:type="dxa"/>
            <w:tcBorders>
              <w:top w:val="single" w:sz="4" w:space="0" w:color="auto"/>
              <w:left w:val="single" w:sz="4" w:space="0" w:color="auto"/>
              <w:bottom w:val="single" w:sz="4" w:space="0" w:color="auto"/>
              <w:right w:val="single" w:sz="4" w:space="0" w:color="auto"/>
            </w:tcBorders>
            <w:vAlign w:val="center"/>
          </w:tcPr>
          <w:p w14:paraId="21499DA7"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.2</w:t>
            </w:r>
          </w:p>
        </w:tc>
        <w:tc>
          <w:tcPr>
            <w:tcW w:w="1188" w:type="dxa"/>
            <w:tcBorders>
              <w:top w:val="single" w:sz="4" w:space="0" w:color="auto"/>
              <w:left w:val="single" w:sz="4" w:space="0" w:color="auto"/>
              <w:bottom w:val="single" w:sz="4" w:space="0" w:color="auto"/>
              <w:right w:val="single" w:sz="4" w:space="0" w:color="auto"/>
            </w:tcBorders>
            <w:vAlign w:val="center"/>
          </w:tcPr>
          <w:p w14:paraId="2031C984"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hint="eastAsia"/>
                <w:sz w:val="24"/>
              </w:rPr>
              <w:t>项目重点难点分析、应对措施及相关的合理化建议</w:t>
            </w:r>
          </w:p>
        </w:tc>
        <w:tc>
          <w:tcPr>
            <w:tcW w:w="661" w:type="dxa"/>
            <w:tcBorders>
              <w:top w:val="single" w:sz="4" w:space="0" w:color="auto"/>
              <w:left w:val="single" w:sz="4" w:space="0" w:color="auto"/>
              <w:bottom w:val="single" w:sz="4" w:space="0" w:color="auto"/>
              <w:right w:val="single" w:sz="4" w:space="0" w:color="auto"/>
            </w:tcBorders>
            <w:vAlign w:val="center"/>
          </w:tcPr>
          <w:p w14:paraId="310C891F"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hint="eastAsia"/>
                <w:sz w:val="24"/>
              </w:rPr>
              <w:t>20</w:t>
            </w:r>
          </w:p>
        </w:tc>
        <w:tc>
          <w:tcPr>
            <w:tcW w:w="6235" w:type="dxa"/>
            <w:tcBorders>
              <w:top w:val="single" w:sz="4" w:space="0" w:color="auto"/>
              <w:left w:val="single" w:sz="4" w:space="0" w:color="auto"/>
              <w:bottom w:val="single" w:sz="4" w:space="0" w:color="auto"/>
              <w:right w:val="single" w:sz="4" w:space="0" w:color="auto"/>
            </w:tcBorders>
            <w:vAlign w:val="center"/>
          </w:tcPr>
          <w:p w14:paraId="48F53EA1"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t>（一）评审内容：</w:t>
            </w:r>
          </w:p>
          <w:p w14:paraId="03709490"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t>（1）详细阐述工</w:t>
            </w:r>
            <w:proofErr w:type="gramStart"/>
            <w:r>
              <w:rPr>
                <w:rFonts w:ascii="仿宋_GB2312" w:eastAsia="仿宋_GB2312" w:hAnsi="仿宋_GB2312" w:cs="仿宋_GB2312" w:hint="eastAsia"/>
                <w:sz w:val="24"/>
              </w:rPr>
              <w:t>务</w:t>
            </w:r>
            <w:proofErr w:type="gramEnd"/>
            <w:r>
              <w:rPr>
                <w:rFonts w:ascii="仿宋_GB2312" w:eastAsia="仿宋_GB2312" w:hAnsi="仿宋_GB2312" w:cs="仿宋_GB2312" w:hint="eastAsia"/>
                <w:sz w:val="24"/>
              </w:rPr>
              <w:t>署BIM咨询服务管理中存在的重难点问题；</w:t>
            </w:r>
          </w:p>
          <w:p w14:paraId="11000546"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t>（2）根据工</w:t>
            </w:r>
            <w:proofErr w:type="gramStart"/>
            <w:r>
              <w:rPr>
                <w:rFonts w:ascii="仿宋_GB2312" w:eastAsia="仿宋_GB2312" w:hAnsi="仿宋_GB2312" w:cs="仿宋_GB2312" w:hint="eastAsia"/>
                <w:sz w:val="24"/>
              </w:rPr>
              <w:t>务</w:t>
            </w:r>
            <w:proofErr w:type="gramEnd"/>
            <w:r>
              <w:rPr>
                <w:rFonts w:ascii="仿宋_GB2312" w:eastAsia="仿宋_GB2312" w:hAnsi="仿宋_GB2312" w:cs="仿宋_GB2312" w:hint="eastAsia"/>
                <w:sz w:val="24"/>
              </w:rPr>
              <w:t>署BIM咨询服务管理重难点，详细阐述对应的应对措施；</w:t>
            </w:r>
          </w:p>
          <w:p w14:paraId="48D7014E"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t>（3）提出初步的解决思路及解决方案；</w:t>
            </w:r>
          </w:p>
          <w:p w14:paraId="7B59F3FC"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t>（4）向采购方提出推动BIM咨询服务管理的具体建议。</w:t>
            </w:r>
          </w:p>
          <w:p w14:paraId="44F204E8"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t>（二）优良中差评分标准：</w:t>
            </w:r>
          </w:p>
          <w:p w14:paraId="13B30396" w14:textId="77777777" w:rsidR="007D08B0" w:rsidRDefault="009D55A1">
            <w:pPr>
              <w:jc w:val="left"/>
              <w:rPr>
                <w:rFonts w:ascii="仿宋_GB2312" w:eastAsia="仿宋_GB2312" w:hAnsi="仿宋_GB2312" w:cs="仿宋_GB2312"/>
                <w:strike/>
                <w:sz w:val="24"/>
              </w:rPr>
            </w:pPr>
            <w:r>
              <w:rPr>
                <w:rFonts w:ascii="仿宋_GB2312" w:eastAsia="仿宋_GB2312" w:hAnsi="仿宋_GB2312" w:cs="仿宋_GB2312" w:hint="eastAsia"/>
                <w:sz w:val="24"/>
              </w:rPr>
              <w:t>根据招标文件的需求和投标文件响应情况，按照内容完整和合理性进行分档评分：</w:t>
            </w:r>
          </w:p>
          <w:p w14:paraId="559D5A06"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t>内容完整、可操作性强，评价</w:t>
            </w:r>
            <w:proofErr w:type="gramStart"/>
            <w:r>
              <w:rPr>
                <w:rFonts w:ascii="仿宋_GB2312" w:eastAsia="仿宋_GB2312" w:hAnsi="仿宋_GB2312" w:cs="仿宋_GB2312" w:hint="eastAsia"/>
                <w:sz w:val="24"/>
              </w:rPr>
              <w:t>为优得20分</w:t>
            </w:r>
            <w:proofErr w:type="gramEnd"/>
            <w:r>
              <w:rPr>
                <w:rFonts w:ascii="仿宋_GB2312" w:eastAsia="仿宋_GB2312" w:hAnsi="仿宋_GB2312" w:cs="仿宋_GB2312" w:hint="eastAsia"/>
                <w:sz w:val="24"/>
              </w:rPr>
              <w:t>；内容较完整、可操作性较强，评价</w:t>
            </w:r>
            <w:proofErr w:type="gramStart"/>
            <w:r>
              <w:rPr>
                <w:rFonts w:ascii="仿宋_GB2312" w:eastAsia="仿宋_GB2312" w:hAnsi="仿宋_GB2312" w:cs="仿宋_GB2312" w:hint="eastAsia"/>
                <w:sz w:val="24"/>
              </w:rPr>
              <w:t>为良得15分</w:t>
            </w:r>
            <w:proofErr w:type="gramEnd"/>
            <w:r>
              <w:rPr>
                <w:rFonts w:ascii="仿宋_GB2312" w:eastAsia="仿宋_GB2312" w:hAnsi="仿宋_GB2312" w:cs="仿宋_GB2312" w:hint="eastAsia"/>
                <w:sz w:val="24"/>
              </w:rPr>
              <w:t>；内容完整性一般、可操作性一般，评价为中得10分；</w:t>
            </w:r>
          </w:p>
          <w:p w14:paraId="10936B6E"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t>内容不完整、</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可操作，评价为差得0分。</w:t>
            </w:r>
          </w:p>
        </w:tc>
        <w:tc>
          <w:tcPr>
            <w:tcW w:w="524" w:type="dxa"/>
            <w:tcBorders>
              <w:top w:val="single" w:sz="4" w:space="0" w:color="auto"/>
              <w:left w:val="single" w:sz="4" w:space="0" w:color="auto"/>
              <w:bottom w:val="single" w:sz="4" w:space="0" w:color="auto"/>
              <w:right w:val="single" w:sz="4" w:space="0" w:color="auto"/>
            </w:tcBorders>
            <w:vAlign w:val="center"/>
          </w:tcPr>
          <w:p w14:paraId="16686B55" w14:textId="77777777" w:rsidR="007D08B0" w:rsidRDefault="007D08B0">
            <w:pPr>
              <w:jc w:val="left"/>
              <w:rPr>
                <w:rFonts w:ascii="仿宋_GB2312" w:eastAsia="仿宋_GB2312" w:hAnsi="仿宋_GB2312" w:cs="仿宋_GB2312"/>
                <w:sz w:val="24"/>
              </w:rPr>
            </w:pPr>
          </w:p>
        </w:tc>
      </w:tr>
      <w:tr w:rsidR="007D08B0" w14:paraId="2167CB4E" w14:textId="77777777">
        <w:trPr>
          <w:trHeight w:val="39"/>
        </w:trPr>
        <w:tc>
          <w:tcPr>
            <w:tcW w:w="497" w:type="dxa"/>
            <w:vMerge/>
            <w:tcBorders>
              <w:left w:val="single" w:sz="4" w:space="0" w:color="auto"/>
              <w:right w:val="single" w:sz="4" w:space="0" w:color="auto"/>
            </w:tcBorders>
            <w:vAlign w:val="center"/>
          </w:tcPr>
          <w:p w14:paraId="774D5D6B" w14:textId="77777777" w:rsidR="007D08B0" w:rsidRDefault="007D08B0">
            <w:pPr>
              <w:widowControl/>
              <w:jc w:val="left"/>
              <w:rPr>
                <w:rFonts w:ascii="仿宋_GB2312" w:eastAsia="仿宋_GB2312" w:hAnsi="仿宋_GB2312" w:cs="仿宋_GB2312"/>
                <w:sz w:val="24"/>
              </w:rPr>
            </w:pPr>
          </w:p>
        </w:tc>
        <w:tc>
          <w:tcPr>
            <w:tcW w:w="659" w:type="dxa"/>
            <w:tcBorders>
              <w:top w:val="single" w:sz="4" w:space="0" w:color="auto"/>
              <w:left w:val="single" w:sz="4" w:space="0" w:color="auto"/>
              <w:bottom w:val="single" w:sz="4" w:space="0" w:color="auto"/>
              <w:right w:val="single" w:sz="4" w:space="0" w:color="auto"/>
            </w:tcBorders>
            <w:vAlign w:val="center"/>
          </w:tcPr>
          <w:p w14:paraId="6E05CBDB"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.3</w:t>
            </w:r>
          </w:p>
        </w:tc>
        <w:tc>
          <w:tcPr>
            <w:tcW w:w="1188" w:type="dxa"/>
            <w:tcBorders>
              <w:top w:val="single" w:sz="4" w:space="0" w:color="auto"/>
              <w:left w:val="single" w:sz="4" w:space="0" w:color="auto"/>
              <w:bottom w:val="single" w:sz="4" w:space="0" w:color="auto"/>
              <w:right w:val="single" w:sz="4" w:space="0" w:color="auto"/>
            </w:tcBorders>
            <w:vAlign w:val="center"/>
          </w:tcPr>
          <w:p w14:paraId="6F6A7662"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hint="eastAsia"/>
                <w:sz w:val="24"/>
              </w:rPr>
              <w:t>质量保障</w:t>
            </w:r>
            <w:r>
              <w:rPr>
                <w:rFonts w:ascii="仿宋_GB2312" w:eastAsia="仿宋_GB2312" w:hAnsi="仿宋_GB2312" w:cs="仿宋_GB2312" w:hint="eastAsia"/>
                <w:sz w:val="24"/>
              </w:rPr>
              <w:lastRenderedPageBreak/>
              <w:t>措施及方案</w:t>
            </w:r>
          </w:p>
        </w:tc>
        <w:tc>
          <w:tcPr>
            <w:tcW w:w="661" w:type="dxa"/>
            <w:tcBorders>
              <w:top w:val="single" w:sz="4" w:space="0" w:color="auto"/>
              <w:left w:val="single" w:sz="4" w:space="0" w:color="auto"/>
              <w:bottom w:val="single" w:sz="4" w:space="0" w:color="auto"/>
              <w:right w:val="single" w:sz="4" w:space="0" w:color="auto"/>
            </w:tcBorders>
            <w:vAlign w:val="center"/>
          </w:tcPr>
          <w:p w14:paraId="624C881C"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10</w:t>
            </w:r>
          </w:p>
        </w:tc>
        <w:tc>
          <w:tcPr>
            <w:tcW w:w="6235" w:type="dxa"/>
            <w:tcBorders>
              <w:top w:val="single" w:sz="4" w:space="0" w:color="auto"/>
              <w:left w:val="single" w:sz="4" w:space="0" w:color="auto"/>
              <w:bottom w:val="single" w:sz="4" w:space="0" w:color="auto"/>
              <w:right w:val="single" w:sz="4" w:space="0" w:color="auto"/>
            </w:tcBorders>
            <w:vAlign w:val="center"/>
          </w:tcPr>
          <w:p w14:paraId="2D0E736A"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t>（一）评审内容：</w:t>
            </w:r>
          </w:p>
          <w:p w14:paraId="1E6E69CC"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lastRenderedPageBreak/>
              <w:t>详细阐述服务质量管理制度与措施；</w:t>
            </w:r>
          </w:p>
          <w:p w14:paraId="0CDD8B1C"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t>（二）优良中差评分标准：</w:t>
            </w:r>
          </w:p>
          <w:p w14:paraId="2A2E560A" w14:textId="77777777" w:rsidR="007D08B0" w:rsidRDefault="009D55A1">
            <w:pPr>
              <w:jc w:val="left"/>
              <w:rPr>
                <w:rFonts w:ascii="仿宋_GB2312" w:eastAsia="仿宋_GB2312" w:hAnsi="仿宋_GB2312" w:cs="仿宋_GB2312"/>
                <w:strike/>
                <w:sz w:val="24"/>
              </w:rPr>
            </w:pPr>
            <w:r>
              <w:rPr>
                <w:rFonts w:ascii="仿宋_GB2312" w:eastAsia="仿宋_GB2312" w:hAnsi="仿宋_GB2312" w:cs="仿宋_GB2312" w:hint="eastAsia"/>
                <w:sz w:val="24"/>
              </w:rPr>
              <w:t>根据招标文件的需求和投标文件响应情况，按照内容完整和合理性进行分档评分：</w:t>
            </w:r>
          </w:p>
          <w:p w14:paraId="4EA77F32"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t>内容完整、可操作性强，评价</w:t>
            </w:r>
            <w:proofErr w:type="gramStart"/>
            <w:r>
              <w:rPr>
                <w:rFonts w:ascii="仿宋_GB2312" w:eastAsia="仿宋_GB2312" w:hAnsi="仿宋_GB2312" w:cs="仿宋_GB2312" w:hint="eastAsia"/>
                <w:sz w:val="24"/>
              </w:rPr>
              <w:t>为优得10分</w:t>
            </w:r>
            <w:proofErr w:type="gramEnd"/>
            <w:r>
              <w:rPr>
                <w:rFonts w:ascii="仿宋_GB2312" w:eastAsia="仿宋_GB2312" w:hAnsi="仿宋_GB2312" w:cs="仿宋_GB2312" w:hint="eastAsia"/>
                <w:sz w:val="24"/>
              </w:rPr>
              <w:t>；内容较完整、可操作性较强，评价</w:t>
            </w:r>
            <w:proofErr w:type="gramStart"/>
            <w:r>
              <w:rPr>
                <w:rFonts w:ascii="仿宋_GB2312" w:eastAsia="仿宋_GB2312" w:hAnsi="仿宋_GB2312" w:cs="仿宋_GB2312" w:hint="eastAsia"/>
                <w:sz w:val="24"/>
              </w:rPr>
              <w:t>为良得8分</w:t>
            </w:r>
            <w:proofErr w:type="gramEnd"/>
            <w:r>
              <w:rPr>
                <w:rFonts w:ascii="仿宋_GB2312" w:eastAsia="仿宋_GB2312" w:hAnsi="仿宋_GB2312" w:cs="仿宋_GB2312" w:hint="eastAsia"/>
                <w:sz w:val="24"/>
              </w:rPr>
              <w:t>；内容完整性一般、可操作性一般，评价为中得6分；</w:t>
            </w:r>
          </w:p>
          <w:p w14:paraId="0AC77889"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t>内容不完整、</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可操作，评价为差得0分。</w:t>
            </w:r>
          </w:p>
        </w:tc>
        <w:tc>
          <w:tcPr>
            <w:tcW w:w="524" w:type="dxa"/>
            <w:tcBorders>
              <w:top w:val="single" w:sz="4" w:space="0" w:color="auto"/>
              <w:left w:val="single" w:sz="4" w:space="0" w:color="auto"/>
              <w:bottom w:val="single" w:sz="4" w:space="0" w:color="auto"/>
              <w:right w:val="single" w:sz="4" w:space="0" w:color="auto"/>
            </w:tcBorders>
            <w:vAlign w:val="center"/>
          </w:tcPr>
          <w:p w14:paraId="3E88A102" w14:textId="77777777" w:rsidR="007D08B0" w:rsidRDefault="007D08B0">
            <w:pPr>
              <w:jc w:val="left"/>
              <w:rPr>
                <w:rFonts w:ascii="仿宋_GB2312" w:eastAsia="仿宋_GB2312" w:hAnsi="仿宋_GB2312" w:cs="仿宋_GB2312"/>
                <w:sz w:val="24"/>
              </w:rPr>
            </w:pPr>
          </w:p>
        </w:tc>
      </w:tr>
      <w:tr w:rsidR="007D08B0" w14:paraId="5CDCF104" w14:textId="77777777">
        <w:trPr>
          <w:trHeight w:val="208"/>
        </w:trPr>
        <w:tc>
          <w:tcPr>
            <w:tcW w:w="497" w:type="dxa"/>
            <w:vMerge w:val="restart"/>
            <w:tcBorders>
              <w:top w:val="single" w:sz="4" w:space="0" w:color="auto"/>
              <w:left w:val="single" w:sz="4" w:space="0" w:color="auto"/>
              <w:right w:val="single" w:sz="4" w:space="0" w:color="auto"/>
            </w:tcBorders>
            <w:vAlign w:val="center"/>
          </w:tcPr>
          <w:p w14:paraId="25EF3745"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sz w:val="24"/>
              </w:rPr>
              <w:t>3</w:t>
            </w:r>
          </w:p>
        </w:tc>
        <w:tc>
          <w:tcPr>
            <w:tcW w:w="2508" w:type="dxa"/>
            <w:gridSpan w:val="3"/>
            <w:tcBorders>
              <w:top w:val="single" w:sz="4" w:space="0" w:color="auto"/>
              <w:left w:val="single" w:sz="4" w:space="0" w:color="auto"/>
              <w:bottom w:val="single" w:sz="4" w:space="0" w:color="auto"/>
              <w:right w:val="single" w:sz="4" w:space="0" w:color="auto"/>
            </w:tcBorders>
            <w:vAlign w:val="center"/>
          </w:tcPr>
          <w:p w14:paraId="652813ED"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hint="eastAsia"/>
                <w:sz w:val="24"/>
              </w:rPr>
              <w:t>综合实力部分</w:t>
            </w:r>
          </w:p>
        </w:tc>
        <w:tc>
          <w:tcPr>
            <w:tcW w:w="6759" w:type="dxa"/>
            <w:gridSpan w:val="2"/>
            <w:tcBorders>
              <w:top w:val="single" w:sz="4" w:space="0" w:color="auto"/>
              <w:left w:val="single" w:sz="4" w:space="0" w:color="auto"/>
              <w:bottom w:val="single" w:sz="4" w:space="0" w:color="auto"/>
              <w:right w:val="single" w:sz="4" w:space="0" w:color="auto"/>
            </w:tcBorders>
            <w:vAlign w:val="center"/>
          </w:tcPr>
          <w:p w14:paraId="76412AEB"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sz w:val="24"/>
              </w:rPr>
              <w:t>4</w:t>
            </w:r>
            <w:r>
              <w:rPr>
                <w:rFonts w:ascii="仿宋_GB2312" w:eastAsia="仿宋_GB2312" w:hAnsi="仿宋_GB2312" w:cs="仿宋_GB2312" w:hint="eastAsia"/>
                <w:sz w:val="24"/>
              </w:rPr>
              <w:t>0</w:t>
            </w:r>
          </w:p>
        </w:tc>
      </w:tr>
      <w:tr w:rsidR="007D08B0" w14:paraId="58E2E206" w14:textId="77777777">
        <w:trPr>
          <w:trHeight w:val="50"/>
        </w:trPr>
        <w:tc>
          <w:tcPr>
            <w:tcW w:w="497" w:type="dxa"/>
            <w:vMerge/>
            <w:tcBorders>
              <w:left w:val="single" w:sz="4" w:space="0" w:color="auto"/>
              <w:right w:val="single" w:sz="4" w:space="0" w:color="auto"/>
            </w:tcBorders>
            <w:vAlign w:val="center"/>
          </w:tcPr>
          <w:p w14:paraId="23171640" w14:textId="77777777" w:rsidR="007D08B0" w:rsidRDefault="007D08B0">
            <w:pPr>
              <w:jc w:val="center"/>
              <w:rPr>
                <w:rFonts w:ascii="仿宋_GB2312" w:eastAsia="仿宋_GB2312" w:hAnsi="仿宋_GB2312" w:cs="仿宋_GB2312"/>
                <w:sz w:val="24"/>
              </w:rPr>
            </w:pPr>
          </w:p>
        </w:tc>
        <w:tc>
          <w:tcPr>
            <w:tcW w:w="659" w:type="dxa"/>
            <w:tcBorders>
              <w:top w:val="single" w:sz="4" w:space="0" w:color="auto"/>
              <w:left w:val="single" w:sz="4" w:space="0" w:color="auto"/>
              <w:bottom w:val="single" w:sz="4" w:space="0" w:color="auto"/>
              <w:right w:val="single" w:sz="4" w:space="0" w:color="auto"/>
            </w:tcBorders>
            <w:vAlign w:val="center"/>
          </w:tcPr>
          <w:p w14:paraId="47BD4906"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hint="eastAsia"/>
                <w:sz w:val="24"/>
              </w:rPr>
              <w:t>行号</w:t>
            </w:r>
          </w:p>
        </w:tc>
        <w:tc>
          <w:tcPr>
            <w:tcW w:w="1188" w:type="dxa"/>
            <w:tcBorders>
              <w:top w:val="single" w:sz="4" w:space="0" w:color="auto"/>
              <w:left w:val="single" w:sz="4" w:space="0" w:color="auto"/>
              <w:bottom w:val="single" w:sz="4" w:space="0" w:color="auto"/>
              <w:right w:val="single" w:sz="4" w:space="0" w:color="auto"/>
            </w:tcBorders>
            <w:vAlign w:val="center"/>
          </w:tcPr>
          <w:p w14:paraId="43A758BA"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hint="eastAsia"/>
                <w:sz w:val="24"/>
              </w:rPr>
              <w:t>评分因素</w:t>
            </w:r>
          </w:p>
        </w:tc>
        <w:tc>
          <w:tcPr>
            <w:tcW w:w="661" w:type="dxa"/>
            <w:tcBorders>
              <w:top w:val="single" w:sz="4" w:space="0" w:color="auto"/>
              <w:left w:val="single" w:sz="4" w:space="0" w:color="auto"/>
              <w:bottom w:val="single" w:sz="4" w:space="0" w:color="auto"/>
              <w:right w:val="single" w:sz="4" w:space="0" w:color="auto"/>
            </w:tcBorders>
            <w:vAlign w:val="center"/>
          </w:tcPr>
          <w:p w14:paraId="0603A07B"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hint="eastAsia"/>
                <w:sz w:val="24"/>
              </w:rPr>
              <w:t>权重</w:t>
            </w:r>
          </w:p>
        </w:tc>
        <w:tc>
          <w:tcPr>
            <w:tcW w:w="6759" w:type="dxa"/>
            <w:gridSpan w:val="2"/>
            <w:tcBorders>
              <w:top w:val="single" w:sz="4" w:space="0" w:color="auto"/>
              <w:left w:val="single" w:sz="4" w:space="0" w:color="auto"/>
              <w:bottom w:val="single" w:sz="4" w:space="0" w:color="auto"/>
              <w:right w:val="single" w:sz="4" w:space="0" w:color="auto"/>
            </w:tcBorders>
            <w:vAlign w:val="center"/>
          </w:tcPr>
          <w:p w14:paraId="6E2DD775"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hint="eastAsia"/>
                <w:sz w:val="24"/>
              </w:rPr>
              <w:t>评分准则</w:t>
            </w:r>
          </w:p>
        </w:tc>
      </w:tr>
      <w:tr w:rsidR="007D08B0" w14:paraId="286C9066" w14:textId="77777777">
        <w:trPr>
          <w:trHeight w:val="982"/>
        </w:trPr>
        <w:tc>
          <w:tcPr>
            <w:tcW w:w="497" w:type="dxa"/>
            <w:vMerge/>
            <w:tcBorders>
              <w:left w:val="single" w:sz="4" w:space="0" w:color="auto"/>
              <w:right w:val="single" w:sz="4" w:space="0" w:color="auto"/>
            </w:tcBorders>
            <w:vAlign w:val="center"/>
          </w:tcPr>
          <w:p w14:paraId="1305ECD4" w14:textId="77777777" w:rsidR="007D08B0" w:rsidRDefault="007D08B0">
            <w:pPr>
              <w:widowControl/>
              <w:jc w:val="left"/>
              <w:rPr>
                <w:rFonts w:ascii="仿宋_GB2312" w:eastAsia="仿宋_GB2312" w:hAnsi="仿宋_GB2312" w:cs="仿宋_GB2312"/>
                <w:sz w:val="24"/>
              </w:rPr>
            </w:pPr>
          </w:p>
        </w:tc>
        <w:tc>
          <w:tcPr>
            <w:tcW w:w="659" w:type="dxa"/>
            <w:tcBorders>
              <w:top w:val="single" w:sz="4" w:space="0" w:color="auto"/>
              <w:left w:val="single" w:sz="4" w:space="0" w:color="auto"/>
              <w:bottom w:val="single" w:sz="4" w:space="0" w:color="auto"/>
              <w:right w:val="single" w:sz="4" w:space="0" w:color="auto"/>
            </w:tcBorders>
            <w:vAlign w:val="center"/>
          </w:tcPr>
          <w:p w14:paraId="655B4307" w14:textId="77777777" w:rsidR="007D08B0" w:rsidRDefault="009D55A1">
            <w:pPr>
              <w:jc w:val="center"/>
              <w:rPr>
                <w:rFonts w:ascii="仿宋_GB2312" w:eastAsia="仿宋_GB2312" w:hAnsi="仿宋_GB2312" w:cs="仿宋_GB2312"/>
                <w:strike/>
                <w:sz w:val="24"/>
              </w:rPr>
            </w:pPr>
            <w:r>
              <w:rPr>
                <w:rFonts w:ascii="仿宋_GB2312" w:eastAsia="仿宋_GB2312" w:hAnsi="仿宋_GB2312" w:cs="仿宋_GB2312"/>
                <w:sz w:val="24"/>
              </w:rPr>
              <w:t>3</w:t>
            </w:r>
            <w:r>
              <w:rPr>
                <w:rFonts w:ascii="仿宋_GB2312" w:eastAsia="仿宋_GB2312" w:hAnsi="仿宋_GB2312" w:cs="仿宋_GB2312" w:hint="eastAsia"/>
                <w:sz w:val="24"/>
              </w:rPr>
              <w:t>.1</w:t>
            </w:r>
          </w:p>
        </w:tc>
        <w:tc>
          <w:tcPr>
            <w:tcW w:w="1188" w:type="dxa"/>
            <w:tcBorders>
              <w:top w:val="single" w:sz="4" w:space="0" w:color="auto"/>
              <w:left w:val="single" w:sz="4" w:space="0" w:color="auto"/>
              <w:bottom w:val="single" w:sz="4" w:space="0" w:color="auto"/>
              <w:right w:val="single" w:sz="4" w:space="0" w:color="auto"/>
            </w:tcBorders>
            <w:vAlign w:val="center"/>
          </w:tcPr>
          <w:p w14:paraId="79273E5A"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hint="eastAsia"/>
                <w:sz w:val="24"/>
              </w:rPr>
              <w:t>投标</w:t>
            </w:r>
            <w:proofErr w:type="gramStart"/>
            <w:r>
              <w:rPr>
                <w:rFonts w:ascii="仿宋_GB2312" w:eastAsia="仿宋_GB2312" w:hAnsi="仿宋_GB2312" w:cs="仿宋_GB2312" w:hint="eastAsia"/>
                <w:sz w:val="24"/>
              </w:rPr>
              <w:t>方资格</w:t>
            </w:r>
            <w:proofErr w:type="gramEnd"/>
            <w:r>
              <w:rPr>
                <w:rFonts w:ascii="仿宋_GB2312" w:eastAsia="仿宋_GB2312" w:hAnsi="仿宋_GB2312" w:cs="仿宋_GB2312" w:hint="eastAsia"/>
                <w:sz w:val="24"/>
              </w:rPr>
              <w:t>情况及通过相关认证情况</w:t>
            </w:r>
          </w:p>
        </w:tc>
        <w:tc>
          <w:tcPr>
            <w:tcW w:w="661" w:type="dxa"/>
            <w:tcBorders>
              <w:top w:val="single" w:sz="4" w:space="0" w:color="auto"/>
              <w:left w:val="single" w:sz="4" w:space="0" w:color="auto"/>
              <w:bottom w:val="single" w:sz="4" w:space="0" w:color="auto"/>
              <w:right w:val="single" w:sz="4" w:space="0" w:color="auto"/>
            </w:tcBorders>
            <w:vAlign w:val="center"/>
          </w:tcPr>
          <w:p w14:paraId="71900897"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hint="eastAsia"/>
                <w:sz w:val="24"/>
              </w:rPr>
              <w:t>8</w:t>
            </w:r>
          </w:p>
        </w:tc>
        <w:tc>
          <w:tcPr>
            <w:tcW w:w="6235" w:type="dxa"/>
            <w:tcBorders>
              <w:top w:val="single" w:sz="4" w:space="0" w:color="auto"/>
              <w:left w:val="single" w:sz="4" w:space="0" w:color="auto"/>
              <w:bottom w:val="single" w:sz="4" w:space="0" w:color="auto"/>
              <w:right w:val="single" w:sz="4" w:space="0" w:color="auto"/>
            </w:tcBorders>
            <w:vAlign w:val="center"/>
          </w:tcPr>
          <w:p w14:paraId="3DA67979"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t>（一）评分内容：</w:t>
            </w:r>
          </w:p>
          <w:p w14:paraId="368EF119"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t>具有①ISO9001质量管理体系认证证书、②软件能力成熟度认证CMMI3或以上证书、③ISO/IEC 27001信息安全管理体系认证证书、④ISO/IEC 20000-1信息技术服务管理体系认证证书；①②③④</w:t>
            </w:r>
            <w:proofErr w:type="gramStart"/>
            <w:r>
              <w:rPr>
                <w:rFonts w:ascii="仿宋_GB2312" w:eastAsia="仿宋_GB2312" w:hAnsi="仿宋_GB2312" w:cs="仿宋_GB2312" w:hint="eastAsia"/>
                <w:sz w:val="24"/>
              </w:rPr>
              <w:t>每具有</w:t>
            </w:r>
            <w:proofErr w:type="gramEnd"/>
            <w:r>
              <w:rPr>
                <w:rFonts w:ascii="仿宋_GB2312" w:eastAsia="仿宋_GB2312" w:hAnsi="仿宋_GB2312" w:cs="仿宋_GB2312" w:hint="eastAsia"/>
                <w:sz w:val="24"/>
              </w:rPr>
              <w:t>一项证书得2分，以上累计最高得分8分。</w:t>
            </w:r>
          </w:p>
          <w:p w14:paraId="24C41344"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t>（二）评分依据：</w:t>
            </w:r>
          </w:p>
          <w:p w14:paraId="1123E09D"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t>提供相关认证机构颁发的有效期内的认证证书扫描件加盖公章，分支机构取得的资质证书可以作为得分依据。以上资料均要求，原件备查。</w:t>
            </w:r>
          </w:p>
        </w:tc>
        <w:tc>
          <w:tcPr>
            <w:tcW w:w="524" w:type="dxa"/>
            <w:tcBorders>
              <w:top w:val="single" w:sz="4" w:space="0" w:color="auto"/>
              <w:left w:val="single" w:sz="4" w:space="0" w:color="auto"/>
              <w:bottom w:val="single" w:sz="4" w:space="0" w:color="auto"/>
              <w:right w:val="single" w:sz="4" w:space="0" w:color="auto"/>
            </w:tcBorders>
            <w:vAlign w:val="center"/>
          </w:tcPr>
          <w:p w14:paraId="3F9B4EEA" w14:textId="77777777" w:rsidR="007D08B0" w:rsidRDefault="007D08B0">
            <w:pPr>
              <w:jc w:val="left"/>
              <w:rPr>
                <w:rFonts w:ascii="仿宋_GB2312" w:eastAsia="仿宋_GB2312" w:hAnsi="仿宋_GB2312" w:cs="仿宋_GB2312"/>
                <w:sz w:val="24"/>
              </w:rPr>
            </w:pPr>
          </w:p>
        </w:tc>
      </w:tr>
      <w:tr w:rsidR="007D08B0" w14:paraId="104ABC74" w14:textId="77777777">
        <w:trPr>
          <w:trHeight w:val="49"/>
        </w:trPr>
        <w:tc>
          <w:tcPr>
            <w:tcW w:w="497" w:type="dxa"/>
            <w:vMerge/>
            <w:tcBorders>
              <w:left w:val="single" w:sz="4" w:space="0" w:color="auto"/>
              <w:right w:val="single" w:sz="4" w:space="0" w:color="auto"/>
            </w:tcBorders>
            <w:vAlign w:val="center"/>
          </w:tcPr>
          <w:p w14:paraId="67EC56B8" w14:textId="77777777" w:rsidR="007D08B0" w:rsidRDefault="007D08B0">
            <w:pPr>
              <w:widowControl/>
              <w:jc w:val="left"/>
              <w:rPr>
                <w:rFonts w:ascii="仿宋_GB2312" w:eastAsia="仿宋_GB2312" w:hAnsi="仿宋_GB2312" w:cs="仿宋_GB2312"/>
                <w:sz w:val="24"/>
              </w:rPr>
            </w:pPr>
          </w:p>
        </w:tc>
        <w:tc>
          <w:tcPr>
            <w:tcW w:w="659" w:type="dxa"/>
            <w:tcBorders>
              <w:top w:val="single" w:sz="4" w:space="0" w:color="auto"/>
              <w:left w:val="single" w:sz="4" w:space="0" w:color="auto"/>
              <w:bottom w:val="single" w:sz="4" w:space="0" w:color="auto"/>
              <w:right w:val="single" w:sz="4" w:space="0" w:color="auto"/>
            </w:tcBorders>
            <w:vAlign w:val="center"/>
          </w:tcPr>
          <w:p w14:paraId="70C7BD7D"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.2</w:t>
            </w:r>
          </w:p>
        </w:tc>
        <w:tc>
          <w:tcPr>
            <w:tcW w:w="1188" w:type="dxa"/>
            <w:tcBorders>
              <w:top w:val="single" w:sz="4" w:space="0" w:color="auto"/>
              <w:left w:val="single" w:sz="4" w:space="0" w:color="auto"/>
              <w:bottom w:val="single" w:sz="4" w:space="0" w:color="auto"/>
              <w:right w:val="single" w:sz="4" w:space="0" w:color="auto"/>
            </w:tcBorders>
            <w:vAlign w:val="center"/>
          </w:tcPr>
          <w:p w14:paraId="39BD4CC9"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hint="eastAsia"/>
                <w:sz w:val="24"/>
              </w:rPr>
              <w:t>投标人项目经验评价</w:t>
            </w:r>
          </w:p>
        </w:tc>
        <w:tc>
          <w:tcPr>
            <w:tcW w:w="661" w:type="dxa"/>
            <w:tcBorders>
              <w:top w:val="single" w:sz="4" w:space="0" w:color="auto"/>
              <w:left w:val="single" w:sz="4" w:space="0" w:color="auto"/>
              <w:bottom w:val="single" w:sz="4" w:space="0" w:color="auto"/>
              <w:right w:val="single" w:sz="4" w:space="0" w:color="auto"/>
            </w:tcBorders>
            <w:vAlign w:val="center"/>
          </w:tcPr>
          <w:p w14:paraId="2E3795E9"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hint="eastAsia"/>
                <w:sz w:val="24"/>
              </w:rPr>
              <w:t>8</w:t>
            </w:r>
          </w:p>
        </w:tc>
        <w:tc>
          <w:tcPr>
            <w:tcW w:w="6235" w:type="dxa"/>
            <w:tcBorders>
              <w:top w:val="single" w:sz="4" w:space="0" w:color="auto"/>
              <w:left w:val="single" w:sz="4" w:space="0" w:color="auto"/>
              <w:bottom w:val="single" w:sz="4" w:space="0" w:color="auto"/>
              <w:right w:val="single" w:sz="4" w:space="0" w:color="auto"/>
            </w:tcBorders>
            <w:vAlign w:val="center"/>
          </w:tcPr>
          <w:p w14:paraId="257ECBC9"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t>（一）评分内容：</w:t>
            </w:r>
          </w:p>
          <w:p w14:paraId="0C5CA415"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t>承担过近三年BIM咨询服务相关项目经验的，每提供一个项目得2分，本项最高得8分；</w:t>
            </w:r>
          </w:p>
          <w:p w14:paraId="590F66BC"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t>（二）评分依据：</w:t>
            </w:r>
          </w:p>
          <w:p w14:paraId="3EE52179"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t>证明材料：</w:t>
            </w:r>
          </w:p>
          <w:p w14:paraId="7741FD5D"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t>（1）提供合同关键页扫描件（内容至少包括合同首页、服务内容页、签字盖章</w:t>
            </w:r>
            <w:proofErr w:type="gramStart"/>
            <w:r>
              <w:rPr>
                <w:rFonts w:ascii="仿宋_GB2312" w:eastAsia="仿宋_GB2312" w:hAnsi="仿宋_GB2312" w:cs="仿宋_GB2312" w:hint="eastAsia"/>
                <w:sz w:val="24"/>
              </w:rPr>
              <w:t>页相关</w:t>
            </w:r>
            <w:proofErr w:type="gramEnd"/>
            <w:r>
              <w:rPr>
                <w:rFonts w:ascii="仿宋_GB2312" w:eastAsia="仿宋_GB2312" w:hAnsi="仿宋_GB2312" w:cs="仿宋_GB2312" w:hint="eastAsia"/>
                <w:sz w:val="24"/>
              </w:rPr>
              <w:t>内容）。</w:t>
            </w:r>
          </w:p>
          <w:p w14:paraId="39A1D3E5"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t>（2）以上资料均原件备查。评分中出现无证明资料或招标工作小组无法凭所提供资料判断是否得分的情况，一律作不得分处理。</w:t>
            </w:r>
          </w:p>
        </w:tc>
        <w:tc>
          <w:tcPr>
            <w:tcW w:w="524" w:type="dxa"/>
            <w:tcBorders>
              <w:top w:val="single" w:sz="4" w:space="0" w:color="auto"/>
              <w:left w:val="single" w:sz="4" w:space="0" w:color="auto"/>
              <w:bottom w:val="single" w:sz="4" w:space="0" w:color="auto"/>
              <w:right w:val="single" w:sz="4" w:space="0" w:color="auto"/>
            </w:tcBorders>
            <w:vAlign w:val="center"/>
          </w:tcPr>
          <w:p w14:paraId="61A42FDA" w14:textId="77777777" w:rsidR="007D08B0" w:rsidRDefault="007D08B0">
            <w:pPr>
              <w:jc w:val="left"/>
              <w:rPr>
                <w:rFonts w:ascii="仿宋_GB2312" w:eastAsia="仿宋_GB2312" w:hAnsi="仿宋_GB2312" w:cs="仿宋_GB2312"/>
                <w:sz w:val="24"/>
              </w:rPr>
            </w:pPr>
          </w:p>
        </w:tc>
      </w:tr>
      <w:tr w:rsidR="007D08B0" w14:paraId="3F0CDAC2" w14:textId="77777777">
        <w:trPr>
          <w:trHeight w:val="49"/>
        </w:trPr>
        <w:tc>
          <w:tcPr>
            <w:tcW w:w="497" w:type="dxa"/>
            <w:vMerge/>
            <w:tcBorders>
              <w:left w:val="single" w:sz="4" w:space="0" w:color="auto"/>
              <w:right w:val="single" w:sz="4" w:space="0" w:color="auto"/>
            </w:tcBorders>
            <w:vAlign w:val="center"/>
          </w:tcPr>
          <w:p w14:paraId="1E2C73D4" w14:textId="77777777" w:rsidR="007D08B0" w:rsidRDefault="007D08B0">
            <w:pPr>
              <w:widowControl/>
              <w:jc w:val="left"/>
              <w:rPr>
                <w:rFonts w:ascii="仿宋_GB2312" w:eastAsia="仿宋_GB2312" w:hAnsi="仿宋_GB2312" w:cs="仿宋_GB2312"/>
                <w:sz w:val="24"/>
              </w:rPr>
            </w:pPr>
          </w:p>
        </w:tc>
        <w:tc>
          <w:tcPr>
            <w:tcW w:w="659" w:type="dxa"/>
            <w:tcBorders>
              <w:top w:val="single" w:sz="4" w:space="0" w:color="auto"/>
              <w:left w:val="single" w:sz="4" w:space="0" w:color="auto"/>
              <w:bottom w:val="single" w:sz="4" w:space="0" w:color="auto"/>
              <w:right w:val="single" w:sz="4" w:space="0" w:color="auto"/>
            </w:tcBorders>
            <w:vAlign w:val="center"/>
          </w:tcPr>
          <w:p w14:paraId="2A643CA5"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.3</w:t>
            </w:r>
          </w:p>
        </w:tc>
        <w:tc>
          <w:tcPr>
            <w:tcW w:w="1188" w:type="dxa"/>
            <w:tcBorders>
              <w:top w:val="single" w:sz="4" w:space="0" w:color="auto"/>
              <w:left w:val="single" w:sz="4" w:space="0" w:color="auto"/>
              <w:bottom w:val="single" w:sz="4" w:space="0" w:color="auto"/>
              <w:right w:val="single" w:sz="4" w:space="0" w:color="auto"/>
            </w:tcBorders>
            <w:vAlign w:val="center"/>
          </w:tcPr>
          <w:p w14:paraId="62775B5C"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hint="eastAsia"/>
                <w:sz w:val="24"/>
              </w:rPr>
              <w:t>拟安排的项目负责人情况</w:t>
            </w:r>
          </w:p>
          <w:p w14:paraId="17F8B4F6" w14:textId="77777777" w:rsidR="007D08B0" w:rsidRDefault="007D08B0">
            <w:pPr>
              <w:jc w:val="center"/>
              <w:rPr>
                <w:rFonts w:ascii="仿宋_GB2312" w:eastAsia="仿宋_GB2312" w:hAnsi="仿宋_GB2312" w:cs="仿宋_GB2312"/>
                <w:sz w:val="24"/>
              </w:rPr>
            </w:pPr>
          </w:p>
        </w:tc>
        <w:tc>
          <w:tcPr>
            <w:tcW w:w="661" w:type="dxa"/>
            <w:tcBorders>
              <w:top w:val="single" w:sz="4" w:space="0" w:color="auto"/>
              <w:left w:val="single" w:sz="4" w:space="0" w:color="auto"/>
              <w:bottom w:val="single" w:sz="4" w:space="0" w:color="auto"/>
              <w:right w:val="single" w:sz="4" w:space="0" w:color="auto"/>
            </w:tcBorders>
            <w:vAlign w:val="center"/>
          </w:tcPr>
          <w:p w14:paraId="3B43015B"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hint="eastAsia"/>
                <w:sz w:val="24"/>
              </w:rPr>
              <w:t>10</w:t>
            </w:r>
          </w:p>
        </w:tc>
        <w:tc>
          <w:tcPr>
            <w:tcW w:w="6235" w:type="dxa"/>
            <w:tcBorders>
              <w:top w:val="single" w:sz="4" w:space="0" w:color="auto"/>
              <w:left w:val="single" w:sz="4" w:space="0" w:color="auto"/>
              <w:bottom w:val="single" w:sz="4" w:space="0" w:color="auto"/>
              <w:right w:val="single" w:sz="4" w:space="0" w:color="auto"/>
            </w:tcBorders>
            <w:vAlign w:val="center"/>
          </w:tcPr>
          <w:p w14:paraId="1497DE8C"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t>（一）评分内容：</w:t>
            </w:r>
          </w:p>
          <w:p w14:paraId="21415636"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t>项目负责人（仅限1人）须为自有员工（以社保为准），否则本项不得分：</w:t>
            </w:r>
          </w:p>
          <w:p w14:paraId="629515AE"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t>（1）具有计算机类或电子技术类或软件类专业硕士及以上学历，且具有计算机技术与软件专业技术资格证书（专业：信息系统项目管理师，级别：高级），得4分；</w:t>
            </w:r>
          </w:p>
          <w:p w14:paraId="0C6D99AB"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t>（2）担任过BIM咨询或服务的项目负责人，得3分；</w:t>
            </w:r>
          </w:p>
          <w:p w14:paraId="63ACE659"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3</w:t>
            </w:r>
            <w:r>
              <w:rPr>
                <w:rFonts w:ascii="仿宋_GB2312" w:eastAsia="仿宋_GB2312" w:hAnsi="仿宋_GB2312" w:cs="仿宋_GB2312" w:hint="eastAsia"/>
                <w:sz w:val="24"/>
              </w:rPr>
              <w:t>）担任过BIM相关信息化项目的项目负责人，得3分；</w:t>
            </w:r>
          </w:p>
          <w:p w14:paraId="7B0DCB21"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t>以上累计最高得分10分。</w:t>
            </w:r>
          </w:p>
          <w:p w14:paraId="5B36B948"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t>（二）评分依据：</w:t>
            </w:r>
          </w:p>
          <w:p w14:paraId="5D6EE894"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t>（1）提供毕业证书、学位证书和其他相关专家或顾问或获奖证明材料扫描件；</w:t>
            </w:r>
          </w:p>
          <w:p w14:paraId="02DD656A"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lastRenderedPageBreak/>
              <w:t>（</w:t>
            </w:r>
            <w:r>
              <w:rPr>
                <w:rFonts w:ascii="仿宋_GB2312" w:eastAsia="仿宋_GB2312" w:hAnsi="仿宋_GB2312" w:cs="仿宋_GB2312"/>
                <w:sz w:val="24"/>
              </w:rPr>
              <w:t>2</w:t>
            </w:r>
            <w:r>
              <w:rPr>
                <w:rFonts w:ascii="仿宋_GB2312" w:eastAsia="仿宋_GB2312" w:hAnsi="仿宋_GB2312" w:cs="仿宋_GB2312" w:hint="eastAsia"/>
                <w:sz w:val="24"/>
              </w:rPr>
              <w:t>）提供相关人员开标日前3个月在本公司缴纳且载有社保部门公章的社保缴</w:t>
            </w:r>
            <w:proofErr w:type="gramStart"/>
            <w:r>
              <w:rPr>
                <w:rFonts w:ascii="仿宋_GB2312" w:eastAsia="仿宋_GB2312" w:hAnsi="仿宋_GB2312" w:cs="仿宋_GB2312" w:hint="eastAsia"/>
                <w:sz w:val="24"/>
              </w:rPr>
              <w:t>交证明</w:t>
            </w:r>
            <w:proofErr w:type="gramEnd"/>
            <w:r>
              <w:rPr>
                <w:rFonts w:ascii="仿宋_GB2312" w:eastAsia="仿宋_GB2312" w:hAnsi="仿宋_GB2312" w:cs="仿宋_GB2312" w:hint="eastAsia"/>
                <w:sz w:val="24"/>
              </w:rPr>
              <w:t>材料;</w:t>
            </w:r>
          </w:p>
          <w:p w14:paraId="0288395A" w14:textId="77777777" w:rsidR="007D08B0" w:rsidRDefault="009D55A1">
            <w:pPr>
              <w:jc w:val="left"/>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3</w:t>
            </w:r>
            <w:r>
              <w:rPr>
                <w:rFonts w:ascii="仿宋_GB2312" w:eastAsia="仿宋_GB2312" w:hAnsi="仿宋_GB2312" w:cs="仿宋_GB2312" w:hint="eastAsia"/>
                <w:sz w:val="24"/>
              </w:rPr>
              <w:t>）未按要求提供相关材料或提供不清晰导致招标工作小组无法判断的不得分，原件备查。</w:t>
            </w:r>
          </w:p>
        </w:tc>
        <w:tc>
          <w:tcPr>
            <w:tcW w:w="524" w:type="dxa"/>
            <w:tcBorders>
              <w:top w:val="single" w:sz="4" w:space="0" w:color="auto"/>
              <w:left w:val="single" w:sz="4" w:space="0" w:color="auto"/>
              <w:bottom w:val="single" w:sz="4" w:space="0" w:color="auto"/>
              <w:right w:val="single" w:sz="4" w:space="0" w:color="auto"/>
            </w:tcBorders>
            <w:vAlign w:val="center"/>
          </w:tcPr>
          <w:p w14:paraId="2E30A019" w14:textId="77777777" w:rsidR="007D08B0" w:rsidRDefault="007D08B0">
            <w:pPr>
              <w:jc w:val="left"/>
              <w:rPr>
                <w:rFonts w:ascii="仿宋_GB2312" w:eastAsia="仿宋_GB2312" w:hAnsi="仿宋_GB2312" w:cs="仿宋_GB2312"/>
                <w:sz w:val="24"/>
              </w:rPr>
            </w:pPr>
          </w:p>
        </w:tc>
      </w:tr>
      <w:tr w:rsidR="007D08B0" w14:paraId="4820119F" w14:textId="77777777">
        <w:trPr>
          <w:trHeight w:val="49"/>
        </w:trPr>
        <w:tc>
          <w:tcPr>
            <w:tcW w:w="497" w:type="dxa"/>
            <w:vMerge/>
            <w:tcBorders>
              <w:left w:val="single" w:sz="4" w:space="0" w:color="auto"/>
              <w:right w:val="single" w:sz="4" w:space="0" w:color="auto"/>
            </w:tcBorders>
            <w:vAlign w:val="center"/>
          </w:tcPr>
          <w:p w14:paraId="6B3123A1" w14:textId="77777777" w:rsidR="007D08B0" w:rsidRDefault="007D08B0">
            <w:pPr>
              <w:widowControl/>
              <w:jc w:val="left"/>
              <w:rPr>
                <w:rFonts w:ascii="仿宋_GB2312" w:eastAsia="仿宋_GB2312" w:hAnsi="仿宋_GB2312" w:cs="仿宋_GB2312"/>
                <w:sz w:val="24"/>
              </w:rPr>
            </w:pPr>
          </w:p>
        </w:tc>
        <w:tc>
          <w:tcPr>
            <w:tcW w:w="659" w:type="dxa"/>
            <w:tcBorders>
              <w:top w:val="single" w:sz="4" w:space="0" w:color="auto"/>
              <w:left w:val="single" w:sz="4" w:space="0" w:color="auto"/>
              <w:bottom w:val="single" w:sz="4" w:space="0" w:color="auto"/>
              <w:right w:val="single" w:sz="4" w:space="0" w:color="auto"/>
            </w:tcBorders>
            <w:vAlign w:val="center"/>
          </w:tcPr>
          <w:p w14:paraId="5730C3E9" w14:textId="77777777" w:rsidR="007D08B0" w:rsidRDefault="009D55A1">
            <w:pPr>
              <w:jc w:val="center"/>
              <w:rPr>
                <w:rFonts w:ascii="仿宋_GB2312" w:eastAsia="仿宋_GB2312" w:hAnsi="仿宋_GB2312" w:cs="仿宋_GB2312"/>
                <w:color w:val="0000FF"/>
                <w:sz w:val="24"/>
              </w:rPr>
            </w:pPr>
            <w:r>
              <w:rPr>
                <w:rFonts w:ascii="仿宋_GB2312" w:eastAsia="仿宋_GB2312" w:hAnsi="仿宋_GB2312" w:cs="仿宋_GB2312"/>
                <w:sz w:val="24"/>
              </w:rPr>
              <w:t>3</w:t>
            </w:r>
            <w:r>
              <w:rPr>
                <w:rFonts w:ascii="仿宋_GB2312" w:eastAsia="仿宋_GB2312" w:hAnsi="仿宋_GB2312" w:cs="仿宋_GB2312" w:hint="eastAsia"/>
                <w:sz w:val="24"/>
              </w:rPr>
              <w:t>.4</w:t>
            </w:r>
          </w:p>
        </w:tc>
        <w:tc>
          <w:tcPr>
            <w:tcW w:w="1188" w:type="dxa"/>
            <w:tcBorders>
              <w:top w:val="single" w:sz="4" w:space="0" w:color="auto"/>
              <w:left w:val="single" w:sz="4" w:space="0" w:color="auto"/>
              <w:bottom w:val="single" w:sz="4" w:space="0" w:color="auto"/>
              <w:right w:val="single" w:sz="4" w:space="0" w:color="auto"/>
            </w:tcBorders>
            <w:vAlign w:val="center"/>
          </w:tcPr>
          <w:p w14:paraId="04D89532"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hint="eastAsia"/>
                <w:sz w:val="24"/>
              </w:rPr>
              <w:t>拟安排的项目团队成员情况（项目负责人除外）</w:t>
            </w:r>
          </w:p>
          <w:p w14:paraId="03E04096" w14:textId="77777777" w:rsidR="007D08B0" w:rsidRDefault="007D08B0">
            <w:pPr>
              <w:jc w:val="center"/>
              <w:rPr>
                <w:rFonts w:ascii="仿宋_GB2312" w:eastAsia="仿宋_GB2312" w:hAnsi="仿宋_GB2312" w:cs="仿宋_GB2312"/>
                <w:sz w:val="24"/>
              </w:rPr>
            </w:pPr>
          </w:p>
        </w:tc>
        <w:tc>
          <w:tcPr>
            <w:tcW w:w="661" w:type="dxa"/>
            <w:tcBorders>
              <w:top w:val="single" w:sz="4" w:space="0" w:color="auto"/>
              <w:left w:val="single" w:sz="4" w:space="0" w:color="auto"/>
              <w:bottom w:val="single" w:sz="4" w:space="0" w:color="auto"/>
              <w:right w:val="single" w:sz="4" w:space="0" w:color="auto"/>
            </w:tcBorders>
            <w:vAlign w:val="center"/>
          </w:tcPr>
          <w:p w14:paraId="4D1A6E6B"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hint="eastAsia"/>
                <w:sz w:val="24"/>
              </w:rPr>
              <w:t>8</w:t>
            </w:r>
          </w:p>
        </w:tc>
        <w:tc>
          <w:tcPr>
            <w:tcW w:w="6235" w:type="dxa"/>
            <w:tcBorders>
              <w:top w:val="single" w:sz="4" w:space="0" w:color="auto"/>
              <w:left w:val="single" w:sz="4" w:space="0" w:color="auto"/>
              <w:bottom w:val="single" w:sz="4" w:space="0" w:color="auto"/>
              <w:right w:val="single" w:sz="4" w:space="0" w:color="auto"/>
            </w:tcBorders>
            <w:vAlign w:val="center"/>
          </w:tcPr>
          <w:p w14:paraId="42444833" w14:textId="77777777" w:rsidR="007D08B0" w:rsidRDefault="009D55A1">
            <w:pPr>
              <w:rPr>
                <w:rFonts w:ascii="仿宋_GB2312" w:eastAsia="仿宋_GB2312" w:hAnsi="仿宋_GB2312" w:cs="仿宋_GB2312"/>
                <w:sz w:val="24"/>
              </w:rPr>
            </w:pPr>
            <w:r>
              <w:rPr>
                <w:rFonts w:ascii="仿宋_GB2312" w:eastAsia="仿宋_GB2312" w:hAnsi="仿宋_GB2312" w:cs="仿宋_GB2312" w:hint="eastAsia"/>
                <w:sz w:val="24"/>
              </w:rPr>
              <w:t>拟安排的项目主要团队成员（主要技术人员）情况（项目负责人除外）须为自有员工（以社保为准），否则本项不得分：</w:t>
            </w:r>
          </w:p>
          <w:p w14:paraId="50929F8C" w14:textId="77777777" w:rsidR="007D08B0" w:rsidRDefault="009D55A1">
            <w:pPr>
              <w:rPr>
                <w:rFonts w:ascii="仿宋_GB2312" w:eastAsia="仿宋_GB2312" w:hAnsi="仿宋_GB2312" w:cs="仿宋_GB2312"/>
                <w:sz w:val="24"/>
              </w:rPr>
            </w:pPr>
            <w:r>
              <w:rPr>
                <w:rFonts w:ascii="仿宋_GB2312" w:eastAsia="仿宋_GB2312" w:hAnsi="仿宋_GB2312" w:cs="仿宋_GB2312" w:hint="eastAsia"/>
                <w:sz w:val="24"/>
              </w:rPr>
              <w:t>（一）评分内容：</w:t>
            </w:r>
          </w:p>
          <w:p w14:paraId="23FFA197" w14:textId="77777777" w:rsidR="007D08B0" w:rsidRDefault="009D55A1">
            <w:pPr>
              <w:rPr>
                <w:rFonts w:ascii="仿宋_GB2312" w:eastAsia="仿宋_GB2312" w:hAnsi="仿宋_GB2312" w:cs="仿宋_GB2312"/>
                <w:sz w:val="24"/>
              </w:rPr>
            </w:pPr>
            <w:r>
              <w:rPr>
                <w:rFonts w:ascii="仿宋_GB2312" w:eastAsia="仿宋_GB2312" w:hAnsi="仿宋_GB2312" w:cs="仿宋_GB2312" w:hint="eastAsia"/>
                <w:sz w:val="24"/>
              </w:rPr>
              <w:t>（1）具有建筑类或计算机类相关专业本科及以上学历；</w:t>
            </w:r>
          </w:p>
          <w:p w14:paraId="20E6EEA1" w14:textId="77777777" w:rsidR="007D08B0" w:rsidRDefault="009D55A1">
            <w:pPr>
              <w:rPr>
                <w:rFonts w:ascii="仿宋_GB2312" w:eastAsia="仿宋_GB2312" w:hAnsi="仿宋_GB2312" w:cs="仿宋_GB2312"/>
                <w:sz w:val="24"/>
              </w:rPr>
            </w:pPr>
            <w:r>
              <w:rPr>
                <w:rFonts w:ascii="仿宋_GB2312" w:eastAsia="仿宋_GB2312" w:hAnsi="仿宋_GB2312" w:cs="仿宋_GB2312" w:hint="eastAsia"/>
                <w:sz w:val="24"/>
              </w:rPr>
              <w:t>（2）项目团队成员具有中国建设教育协会、中国图</w:t>
            </w:r>
            <w:proofErr w:type="gramStart"/>
            <w:r>
              <w:rPr>
                <w:rFonts w:ascii="仿宋_GB2312" w:eastAsia="仿宋_GB2312" w:hAnsi="仿宋_GB2312" w:cs="仿宋_GB2312" w:hint="eastAsia"/>
                <w:sz w:val="24"/>
              </w:rPr>
              <w:t>学</w:t>
            </w:r>
            <w:proofErr w:type="gramEnd"/>
            <w:r>
              <w:rPr>
                <w:rFonts w:ascii="仿宋_GB2312" w:eastAsia="仿宋_GB2312" w:hAnsi="仿宋_GB2312" w:cs="仿宋_GB2312" w:hint="eastAsia"/>
                <w:sz w:val="24"/>
              </w:rPr>
              <w:t>学会BIM证书，每提供1项得2分，最高得8分。</w:t>
            </w:r>
          </w:p>
          <w:p w14:paraId="565D68FC" w14:textId="77777777" w:rsidR="007D08B0" w:rsidRDefault="009D55A1">
            <w:pPr>
              <w:rPr>
                <w:rFonts w:ascii="仿宋_GB2312" w:eastAsia="仿宋_GB2312" w:hAnsi="仿宋_GB2312" w:cs="仿宋_GB2312"/>
                <w:sz w:val="24"/>
              </w:rPr>
            </w:pPr>
            <w:r>
              <w:rPr>
                <w:rFonts w:ascii="仿宋_GB2312" w:eastAsia="仿宋_GB2312" w:hAnsi="仿宋_GB2312" w:cs="仿宋_GB2312" w:hint="eastAsia"/>
                <w:sz w:val="24"/>
              </w:rPr>
              <w:t>（二）评分依据：</w:t>
            </w:r>
          </w:p>
          <w:p w14:paraId="589164DC" w14:textId="77777777" w:rsidR="007D08B0" w:rsidRDefault="009D55A1">
            <w:pPr>
              <w:rPr>
                <w:rFonts w:ascii="仿宋_GB2312" w:eastAsia="仿宋_GB2312" w:hAnsi="仿宋_GB2312" w:cs="仿宋_GB2312"/>
                <w:sz w:val="24"/>
              </w:rPr>
            </w:pPr>
            <w:r>
              <w:rPr>
                <w:rFonts w:ascii="仿宋_GB2312" w:eastAsia="仿宋_GB2312" w:hAnsi="仿宋_GB2312" w:cs="仿宋_GB2312" w:hint="eastAsia"/>
                <w:sz w:val="24"/>
              </w:rPr>
              <w:t>（1）提供BIM证书、毕业证书、学位证书证明材料扫描件；</w:t>
            </w:r>
          </w:p>
          <w:p w14:paraId="5CD7398A" w14:textId="77777777" w:rsidR="007D08B0" w:rsidRDefault="009D55A1">
            <w:pPr>
              <w:rPr>
                <w:rFonts w:ascii="仿宋_GB2312" w:eastAsia="仿宋_GB2312" w:hAnsi="仿宋_GB2312" w:cs="仿宋_GB2312"/>
                <w:sz w:val="24"/>
              </w:rPr>
            </w:pPr>
            <w:r>
              <w:rPr>
                <w:rFonts w:ascii="仿宋_GB2312" w:eastAsia="仿宋_GB2312" w:hAnsi="仿宋_GB2312" w:cs="仿宋_GB2312" w:hint="eastAsia"/>
                <w:sz w:val="24"/>
              </w:rPr>
              <w:t>（2）提供相关人员开标日前3个月在本公司或分支机构缴纳且载有社保部门公章的社保缴</w:t>
            </w:r>
            <w:proofErr w:type="gramStart"/>
            <w:r>
              <w:rPr>
                <w:rFonts w:ascii="仿宋_GB2312" w:eastAsia="仿宋_GB2312" w:hAnsi="仿宋_GB2312" w:cs="仿宋_GB2312" w:hint="eastAsia"/>
                <w:sz w:val="24"/>
              </w:rPr>
              <w:t>交证明</w:t>
            </w:r>
            <w:proofErr w:type="gramEnd"/>
            <w:r>
              <w:rPr>
                <w:rFonts w:ascii="仿宋_GB2312" w:eastAsia="仿宋_GB2312" w:hAnsi="仿宋_GB2312" w:cs="仿宋_GB2312" w:hint="eastAsia"/>
                <w:sz w:val="24"/>
              </w:rPr>
              <w:t>材料;</w:t>
            </w:r>
          </w:p>
          <w:p w14:paraId="0DD8902F" w14:textId="77777777" w:rsidR="007D08B0" w:rsidRDefault="009D55A1">
            <w:pPr>
              <w:rPr>
                <w:rFonts w:ascii="仿宋_GB2312" w:eastAsia="仿宋_GB2312" w:hAnsi="仿宋_GB2312" w:cs="仿宋_GB2312"/>
                <w:color w:val="0000FF"/>
                <w:sz w:val="24"/>
              </w:rPr>
            </w:pPr>
            <w:r>
              <w:rPr>
                <w:rFonts w:ascii="仿宋_GB2312" w:eastAsia="仿宋_GB2312" w:hAnsi="仿宋_GB2312" w:cs="仿宋_GB2312" w:hint="eastAsia"/>
                <w:sz w:val="24"/>
              </w:rPr>
              <w:t>（3）未按要求提供相关材料或提供不清晰导致招标工作小组无法判断的不得分，原件备查。</w:t>
            </w:r>
          </w:p>
        </w:tc>
        <w:tc>
          <w:tcPr>
            <w:tcW w:w="524" w:type="dxa"/>
            <w:tcBorders>
              <w:top w:val="single" w:sz="4" w:space="0" w:color="auto"/>
              <w:left w:val="single" w:sz="4" w:space="0" w:color="auto"/>
              <w:bottom w:val="single" w:sz="4" w:space="0" w:color="auto"/>
              <w:right w:val="single" w:sz="4" w:space="0" w:color="auto"/>
            </w:tcBorders>
            <w:vAlign w:val="center"/>
          </w:tcPr>
          <w:p w14:paraId="6EED203C" w14:textId="77777777" w:rsidR="007D08B0" w:rsidRDefault="007D08B0">
            <w:pPr>
              <w:rPr>
                <w:rFonts w:ascii="仿宋_GB2312" w:eastAsia="仿宋_GB2312" w:hAnsi="仿宋_GB2312" w:cs="仿宋_GB2312"/>
                <w:sz w:val="24"/>
              </w:rPr>
            </w:pPr>
          </w:p>
        </w:tc>
      </w:tr>
      <w:tr w:rsidR="007D08B0" w14:paraId="1C22FB54" w14:textId="77777777">
        <w:trPr>
          <w:trHeight w:val="1092"/>
        </w:trPr>
        <w:tc>
          <w:tcPr>
            <w:tcW w:w="497" w:type="dxa"/>
            <w:vMerge/>
            <w:tcBorders>
              <w:left w:val="single" w:sz="4" w:space="0" w:color="auto"/>
              <w:right w:val="single" w:sz="4" w:space="0" w:color="auto"/>
            </w:tcBorders>
            <w:vAlign w:val="center"/>
          </w:tcPr>
          <w:p w14:paraId="1150E398" w14:textId="77777777" w:rsidR="007D08B0" w:rsidRDefault="007D08B0">
            <w:pPr>
              <w:widowControl/>
              <w:jc w:val="left"/>
              <w:rPr>
                <w:rFonts w:ascii="仿宋_GB2312" w:eastAsia="仿宋_GB2312" w:hAnsi="仿宋_GB2312" w:cs="仿宋_GB2312"/>
                <w:sz w:val="24"/>
              </w:rPr>
            </w:pPr>
          </w:p>
        </w:tc>
        <w:tc>
          <w:tcPr>
            <w:tcW w:w="659" w:type="dxa"/>
            <w:tcBorders>
              <w:top w:val="single" w:sz="4" w:space="0" w:color="auto"/>
              <w:left w:val="single" w:sz="4" w:space="0" w:color="auto"/>
              <w:bottom w:val="single" w:sz="4" w:space="0" w:color="auto"/>
              <w:right w:val="single" w:sz="4" w:space="0" w:color="auto"/>
            </w:tcBorders>
            <w:vAlign w:val="center"/>
          </w:tcPr>
          <w:p w14:paraId="67380819"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.5</w:t>
            </w:r>
          </w:p>
        </w:tc>
        <w:tc>
          <w:tcPr>
            <w:tcW w:w="1188" w:type="dxa"/>
            <w:tcBorders>
              <w:top w:val="single" w:sz="4" w:space="0" w:color="auto"/>
              <w:left w:val="single" w:sz="4" w:space="0" w:color="auto"/>
              <w:bottom w:val="single" w:sz="4" w:space="0" w:color="auto"/>
              <w:right w:val="single" w:sz="4" w:space="0" w:color="auto"/>
            </w:tcBorders>
            <w:vAlign w:val="center"/>
          </w:tcPr>
          <w:p w14:paraId="6B9B84AA"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hint="eastAsia"/>
                <w:sz w:val="24"/>
              </w:rPr>
              <w:t>投标方自主知识产权产品（创新、设计）情况</w:t>
            </w:r>
          </w:p>
        </w:tc>
        <w:tc>
          <w:tcPr>
            <w:tcW w:w="661" w:type="dxa"/>
            <w:tcBorders>
              <w:top w:val="single" w:sz="4" w:space="0" w:color="auto"/>
              <w:left w:val="single" w:sz="4" w:space="0" w:color="auto"/>
              <w:bottom w:val="single" w:sz="4" w:space="0" w:color="auto"/>
              <w:right w:val="single" w:sz="4" w:space="0" w:color="auto"/>
            </w:tcBorders>
            <w:vAlign w:val="center"/>
          </w:tcPr>
          <w:p w14:paraId="483D68F1"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p>
          <w:p w14:paraId="76EFB0B3" w14:textId="77777777" w:rsidR="007D08B0" w:rsidRDefault="009D55A1">
            <w:pPr>
              <w:jc w:val="center"/>
              <w:rPr>
                <w:rFonts w:ascii="仿宋_GB2312" w:eastAsia="仿宋_GB2312" w:hAnsi="仿宋_GB2312" w:cs="仿宋_GB2312"/>
                <w:sz w:val="24"/>
              </w:rPr>
            </w:pPr>
            <w:r>
              <w:rPr>
                <w:rFonts w:ascii="仿宋_GB2312" w:eastAsia="仿宋_GB2312" w:hAnsi="仿宋_GB2312" w:cs="仿宋_GB2312"/>
                <w:sz w:val="24"/>
              </w:rPr>
              <w:t>6</w:t>
            </w:r>
          </w:p>
        </w:tc>
        <w:tc>
          <w:tcPr>
            <w:tcW w:w="6235" w:type="dxa"/>
            <w:tcBorders>
              <w:top w:val="single" w:sz="4" w:space="0" w:color="auto"/>
              <w:left w:val="single" w:sz="4" w:space="0" w:color="auto"/>
              <w:bottom w:val="single" w:sz="4" w:space="0" w:color="auto"/>
              <w:right w:val="single" w:sz="4" w:space="0" w:color="auto"/>
            </w:tcBorders>
            <w:vAlign w:val="center"/>
          </w:tcPr>
          <w:p w14:paraId="645ACA59" w14:textId="77777777" w:rsidR="007D08B0" w:rsidRDefault="009D55A1">
            <w:pPr>
              <w:rPr>
                <w:rFonts w:ascii="仿宋_GB2312" w:eastAsia="仿宋_GB2312" w:hAnsi="仿宋_GB2312" w:cs="仿宋_GB2312"/>
                <w:sz w:val="24"/>
              </w:rPr>
            </w:pPr>
            <w:r>
              <w:rPr>
                <w:rFonts w:ascii="仿宋_GB2312" w:eastAsia="仿宋_GB2312" w:hAnsi="仿宋_GB2312" w:cs="仿宋_GB2312" w:hint="eastAsia"/>
                <w:sz w:val="24"/>
              </w:rPr>
              <w:t>（一）评分内容：</w:t>
            </w:r>
          </w:p>
          <w:p w14:paraId="0A1193F9" w14:textId="77777777" w:rsidR="007D08B0" w:rsidRDefault="009D55A1">
            <w:pPr>
              <w:rPr>
                <w:rFonts w:ascii="仿宋_GB2312" w:eastAsia="仿宋_GB2312" w:hAnsi="仿宋_GB2312" w:cs="仿宋_GB2312"/>
                <w:sz w:val="24"/>
              </w:rPr>
            </w:pPr>
            <w:r>
              <w:rPr>
                <w:rFonts w:ascii="仿宋_GB2312" w:eastAsia="仿宋_GB2312" w:hAnsi="仿宋_GB2312" w:cs="仿宋_GB2312" w:hint="eastAsia"/>
                <w:sz w:val="24"/>
              </w:rPr>
              <w:t>投标方具有工程行业数据服务平台或建筑信息模型软件的著作权，每个得1</w:t>
            </w:r>
            <w:r>
              <w:rPr>
                <w:rFonts w:ascii="仿宋_GB2312" w:eastAsia="仿宋_GB2312" w:hAnsi="仿宋_GB2312" w:cs="仿宋_GB2312"/>
                <w:sz w:val="24"/>
              </w:rPr>
              <w:t>.5</w:t>
            </w:r>
            <w:r>
              <w:rPr>
                <w:rFonts w:ascii="仿宋_GB2312" w:eastAsia="仿宋_GB2312" w:hAnsi="仿宋_GB2312" w:cs="仿宋_GB2312" w:hint="eastAsia"/>
                <w:sz w:val="24"/>
              </w:rPr>
              <w:t>分，本项最高得</w:t>
            </w:r>
            <w:r>
              <w:rPr>
                <w:rFonts w:ascii="仿宋_GB2312" w:eastAsia="仿宋_GB2312" w:hAnsi="仿宋_GB2312" w:cs="仿宋_GB2312"/>
                <w:sz w:val="24"/>
              </w:rPr>
              <w:t>6</w:t>
            </w:r>
            <w:r>
              <w:rPr>
                <w:rFonts w:ascii="仿宋_GB2312" w:eastAsia="仿宋_GB2312" w:hAnsi="仿宋_GB2312" w:cs="仿宋_GB2312" w:hint="eastAsia"/>
                <w:sz w:val="24"/>
              </w:rPr>
              <w:t>分。</w:t>
            </w:r>
          </w:p>
          <w:p w14:paraId="5F66708D" w14:textId="77777777" w:rsidR="007D08B0" w:rsidRDefault="009D55A1">
            <w:pPr>
              <w:rPr>
                <w:rFonts w:ascii="仿宋_GB2312" w:eastAsia="仿宋_GB2312" w:hAnsi="仿宋_GB2312" w:cs="仿宋_GB2312"/>
                <w:sz w:val="24"/>
              </w:rPr>
            </w:pPr>
            <w:r>
              <w:rPr>
                <w:rFonts w:ascii="仿宋_GB2312" w:eastAsia="仿宋_GB2312" w:hAnsi="仿宋_GB2312" w:cs="仿宋_GB2312" w:hint="eastAsia"/>
                <w:sz w:val="24"/>
              </w:rPr>
              <w:t>（二）评分依据：</w:t>
            </w:r>
          </w:p>
          <w:p w14:paraId="032F29C1" w14:textId="77777777" w:rsidR="007D08B0" w:rsidRDefault="009D55A1">
            <w:pPr>
              <w:rPr>
                <w:rFonts w:ascii="仿宋_GB2312" w:eastAsia="仿宋_GB2312" w:hAnsi="仿宋_GB2312" w:cs="仿宋_GB2312"/>
                <w:sz w:val="24"/>
              </w:rPr>
            </w:pPr>
            <w:r>
              <w:rPr>
                <w:rFonts w:ascii="仿宋_GB2312" w:eastAsia="仿宋_GB2312" w:hAnsi="仿宋_GB2312" w:cs="仿宋_GB2312" w:hint="eastAsia"/>
                <w:sz w:val="24"/>
              </w:rPr>
              <w:t>需提供著作权证书或其他相关证明资料。</w:t>
            </w:r>
          </w:p>
          <w:p w14:paraId="77F8BACB" w14:textId="77777777" w:rsidR="007D08B0" w:rsidRDefault="007D08B0">
            <w:pPr>
              <w:pStyle w:val="2"/>
            </w:pPr>
          </w:p>
        </w:tc>
        <w:tc>
          <w:tcPr>
            <w:tcW w:w="524" w:type="dxa"/>
            <w:tcBorders>
              <w:top w:val="single" w:sz="4" w:space="0" w:color="auto"/>
              <w:left w:val="single" w:sz="4" w:space="0" w:color="auto"/>
              <w:bottom w:val="single" w:sz="4" w:space="0" w:color="auto"/>
              <w:right w:val="single" w:sz="4" w:space="0" w:color="auto"/>
            </w:tcBorders>
            <w:vAlign w:val="center"/>
          </w:tcPr>
          <w:p w14:paraId="3C53115B" w14:textId="77777777" w:rsidR="007D08B0" w:rsidRDefault="007D08B0">
            <w:pPr>
              <w:rPr>
                <w:rFonts w:ascii="仿宋_GB2312" w:eastAsia="仿宋_GB2312" w:hAnsi="仿宋_GB2312" w:cs="仿宋_GB2312"/>
                <w:sz w:val="24"/>
              </w:rPr>
            </w:pPr>
          </w:p>
        </w:tc>
      </w:tr>
      <w:tr w:rsidR="007D08B0" w14:paraId="4727ED61" w14:textId="77777777">
        <w:trPr>
          <w:trHeight w:val="243"/>
        </w:trPr>
        <w:tc>
          <w:tcPr>
            <w:tcW w:w="497" w:type="dxa"/>
            <w:tcBorders>
              <w:left w:val="single" w:sz="4" w:space="0" w:color="auto"/>
              <w:right w:val="single" w:sz="4" w:space="0" w:color="auto"/>
            </w:tcBorders>
            <w:vAlign w:val="center"/>
          </w:tcPr>
          <w:p w14:paraId="32EF2630" w14:textId="77777777" w:rsidR="007D08B0" w:rsidRDefault="009D55A1">
            <w:pPr>
              <w:widowControl/>
              <w:jc w:val="left"/>
              <w:rPr>
                <w:rFonts w:ascii="仿宋_GB2312" w:eastAsia="仿宋_GB2312" w:hAnsi="仿宋_GB2312" w:cs="仿宋_GB2312"/>
                <w:b/>
                <w:bCs/>
                <w:sz w:val="24"/>
              </w:rPr>
            </w:pPr>
            <w:r>
              <w:rPr>
                <w:rFonts w:ascii="仿宋_GB2312" w:eastAsia="仿宋_GB2312" w:hAnsi="仿宋_GB2312" w:cs="仿宋_GB2312" w:hint="eastAsia"/>
                <w:b/>
                <w:bCs/>
                <w:sz w:val="24"/>
              </w:rPr>
              <w:t>总分</w:t>
            </w:r>
          </w:p>
        </w:tc>
        <w:tc>
          <w:tcPr>
            <w:tcW w:w="9267" w:type="dxa"/>
            <w:gridSpan w:val="5"/>
            <w:tcBorders>
              <w:top w:val="single" w:sz="4" w:space="0" w:color="auto"/>
              <w:left w:val="single" w:sz="4" w:space="0" w:color="auto"/>
              <w:bottom w:val="single" w:sz="4" w:space="0" w:color="auto"/>
              <w:right w:val="single" w:sz="4" w:space="0" w:color="auto"/>
            </w:tcBorders>
            <w:vAlign w:val="center"/>
          </w:tcPr>
          <w:p w14:paraId="3EC2B358" w14:textId="77777777" w:rsidR="007D08B0" w:rsidRDefault="007D08B0">
            <w:pPr>
              <w:rPr>
                <w:rFonts w:ascii="仿宋_GB2312" w:eastAsia="仿宋_GB2312" w:hAnsi="仿宋_GB2312" w:cs="仿宋_GB2312"/>
                <w:sz w:val="24"/>
              </w:rPr>
            </w:pPr>
          </w:p>
        </w:tc>
      </w:tr>
    </w:tbl>
    <w:p w14:paraId="063F6278" w14:textId="77777777" w:rsidR="007D08B0" w:rsidRDefault="007D08B0">
      <w:pPr>
        <w:widowControl/>
        <w:jc w:val="left"/>
        <w:rPr>
          <w:rFonts w:ascii="宋体" w:hAnsi="宋体"/>
          <w:szCs w:val="21"/>
        </w:rPr>
      </w:pPr>
    </w:p>
    <w:sectPr w:rsidR="007D08B0">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B044E" w14:textId="77777777" w:rsidR="007C5A59" w:rsidRDefault="007C5A59" w:rsidP="00492BA9">
      <w:r>
        <w:separator/>
      </w:r>
    </w:p>
  </w:endnote>
  <w:endnote w:type="continuationSeparator" w:id="0">
    <w:p w14:paraId="1EA54B29" w14:textId="77777777" w:rsidR="007C5A59" w:rsidRDefault="007C5A59" w:rsidP="0049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2000000000000000000"/>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78A2A" w14:textId="77777777" w:rsidR="007C5A59" w:rsidRDefault="007C5A59" w:rsidP="00492BA9">
      <w:r>
        <w:separator/>
      </w:r>
    </w:p>
  </w:footnote>
  <w:footnote w:type="continuationSeparator" w:id="0">
    <w:p w14:paraId="67315EEA" w14:textId="77777777" w:rsidR="007C5A59" w:rsidRDefault="007C5A59" w:rsidP="00492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grammar="clean"/>
  <w:defaultTabStop w:val="420"/>
  <w:evenAndOddHeaders/>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447"/>
    <w:rsid w:val="00055FE1"/>
    <w:rsid w:val="000834C5"/>
    <w:rsid w:val="000A4F50"/>
    <w:rsid w:val="00131CD4"/>
    <w:rsid w:val="0014758A"/>
    <w:rsid w:val="00155B44"/>
    <w:rsid w:val="00157AAF"/>
    <w:rsid w:val="0016162D"/>
    <w:rsid w:val="00161AF1"/>
    <w:rsid w:val="00183CF3"/>
    <w:rsid w:val="001A0DCC"/>
    <w:rsid w:val="001D407E"/>
    <w:rsid w:val="00227E6A"/>
    <w:rsid w:val="0029298D"/>
    <w:rsid w:val="00386A9C"/>
    <w:rsid w:val="00394F76"/>
    <w:rsid w:val="003D7576"/>
    <w:rsid w:val="003D79B9"/>
    <w:rsid w:val="00427680"/>
    <w:rsid w:val="00492BA9"/>
    <w:rsid w:val="004946EF"/>
    <w:rsid w:val="004A1995"/>
    <w:rsid w:val="004F5D24"/>
    <w:rsid w:val="005718DB"/>
    <w:rsid w:val="005A23E5"/>
    <w:rsid w:val="005B650D"/>
    <w:rsid w:val="005D6F7D"/>
    <w:rsid w:val="00615D4E"/>
    <w:rsid w:val="00654E8F"/>
    <w:rsid w:val="00656DA4"/>
    <w:rsid w:val="00684E42"/>
    <w:rsid w:val="006A4253"/>
    <w:rsid w:val="006F3656"/>
    <w:rsid w:val="007710F8"/>
    <w:rsid w:val="007A3615"/>
    <w:rsid w:val="007B19A8"/>
    <w:rsid w:val="007C5A59"/>
    <w:rsid w:val="007D08B0"/>
    <w:rsid w:val="008020D5"/>
    <w:rsid w:val="0088391B"/>
    <w:rsid w:val="008F1282"/>
    <w:rsid w:val="009D30CD"/>
    <w:rsid w:val="009D55A1"/>
    <w:rsid w:val="00A05201"/>
    <w:rsid w:val="00A86B81"/>
    <w:rsid w:val="00A87098"/>
    <w:rsid w:val="00A87817"/>
    <w:rsid w:val="00AB6A8D"/>
    <w:rsid w:val="00B01EAB"/>
    <w:rsid w:val="00B554D8"/>
    <w:rsid w:val="00BA4017"/>
    <w:rsid w:val="00C52AE7"/>
    <w:rsid w:val="00C74BBC"/>
    <w:rsid w:val="00CB4757"/>
    <w:rsid w:val="00D24298"/>
    <w:rsid w:val="00E51A9F"/>
    <w:rsid w:val="00E54731"/>
    <w:rsid w:val="00E9376D"/>
    <w:rsid w:val="00EA5453"/>
    <w:rsid w:val="00EF30EA"/>
    <w:rsid w:val="00EF33FD"/>
    <w:rsid w:val="00FA7447"/>
    <w:rsid w:val="00FB1B36"/>
    <w:rsid w:val="00FD1409"/>
    <w:rsid w:val="00FF3A0E"/>
    <w:rsid w:val="079A2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56D04"/>
  <w15:docId w15:val="{9879E7C4-2537-4A10-982A-40F88CA3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pBdr>
        <w:top w:val="none" w:sz="0" w:space="0" w:color="000000"/>
        <w:left w:val="none" w:sz="0" w:space="0" w:color="000000"/>
        <w:bottom w:val="none" w:sz="0" w:space="0" w:color="000000"/>
        <w:right w:val="none" w:sz="0" w:space="0" w:color="000000"/>
        <w:between w:val="none" w:sz="0" w:space="0" w:color="000000"/>
      </w:pBdr>
      <w:jc w:val="both"/>
    </w:pPr>
    <w:rPr>
      <w:kern w:val="2"/>
      <w:sz w:val="21"/>
      <w:szCs w:val="24"/>
    </w:rPr>
  </w:style>
  <w:style w:type="paragraph" w:styleId="1">
    <w:name w:val="heading 1"/>
    <w:basedOn w:val="a"/>
    <w:next w:val="a"/>
    <w:link w:val="10"/>
    <w:uiPriority w:val="9"/>
    <w:qFormat/>
    <w:pPr>
      <w:keepNext/>
      <w:keepLines/>
      <w:overflowPunct w:val="0"/>
      <w:autoSpaceDE w:val="0"/>
      <w:autoSpaceDN w:val="0"/>
      <w:spacing w:before="480" w:after="200"/>
      <w:outlineLvl w:val="0"/>
    </w:pPr>
    <w:rPr>
      <w:rFonts w:ascii="Arial" w:eastAsia="Arial" w:hAnsi="Arial" w:cs="Arial"/>
      <w:sz w:val="40"/>
      <w:szCs w:val="40"/>
    </w:rPr>
  </w:style>
  <w:style w:type="paragraph" w:styleId="2">
    <w:name w:val="heading 2"/>
    <w:basedOn w:val="a"/>
    <w:next w:val="a"/>
    <w:qFormat/>
    <w:pPr>
      <w:jc w:val="center"/>
      <w:outlineLvl w:val="1"/>
    </w:pPr>
    <w:rPr>
      <w:kern w:val="0"/>
      <w:sz w:val="24"/>
      <w:szCs w:val="20"/>
    </w:rPr>
  </w:style>
  <w:style w:type="paragraph" w:styleId="3">
    <w:name w:val="heading 3"/>
    <w:basedOn w:val="a"/>
    <w:next w:val="a"/>
    <w:link w:val="30"/>
    <w:uiPriority w:val="9"/>
    <w:unhideWhenUsed/>
    <w:qFormat/>
    <w:pPr>
      <w:keepNext/>
      <w:keepLines/>
      <w:overflowPunct w:val="0"/>
      <w:autoSpaceDE w:val="0"/>
      <w:autoSpaceDN w:val="0"/>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overflowPunct w:val="0"/>
      <w:autoSpaceDE w:val="0"/>
      <w:autoSpaceDN w:val="0"/>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overflowPunct w:val="0"/>
      <w:autoSpaceDE w:val="0"/>
      <w:autoSpaceDN w:val="0"/>
      <w:spacing w:before="320" w:after="200"/>
      <w:outlineLvl w:val="4"/>
    </w:pPr>
    <w:rPr>
      <w:rFonts w:ascii="Arial" w:eastAsia="Arial" w:hAnsi="Arial" w:cs="Arial"/>
      <w:b/>
      <w:bCs/>
      <w:sz w:val="24"/>
    </w:rPr>
  </w:style>
  <w:style w:type="paragraph" w:styleId="6">
    <w:name w:val="heading 6"/>
    <w:basedOn w:val="a"/>
    <w:next w:val="a"/>
    <w:link w:val="60"/>
    <w:uiPriority w:val="9"/>
    <w:unhideWhenUsed/>
    <w:qFormat/>
    <w:pPr>
      <w:keepNext/>
      <w:keepLines/>
      <w:overflowPunct w:val="0"/>
      <w:autoSpaceDE w:val="0"/>
      <w:autoSpaceDN w:val="0"/>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overflowPunct w:val="0"/>
      <w:autoSpaceDE w:val="0"/>
      <w:autoSpaceDN w:val="0"/>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overflowPunct w:val="0"/>
      <w:autoSpaceDE w:val="0"/>
      <w:autoSpaceDN w:val="0"/>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overflowPunct w:val="0"/>
      <w:autoSpaceDE w:val="0"/>
      <w:autoSpaceDN w:val="0"/>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overflowPunct w:val="0"/>
      <w:autoSpaceDE w:val="0"/>
      <w:autoSpaceDN w:val="0"/>
      <w:spacing w:after="57"/>
      <w:ind w:left="1701"/>
    </w:pPr>
  </w:style>
  <w:style w:type="paragraph" w:styleId="a3">
    <w:name w:val="Normal Indent"/>
    <w:basedOn w:val="a"/>
    <w:qFormat/>
    <w:pPr>
      <w:ind w:firstLineChars="200" w:firstLine="420"/>
    </w:pPr>
    <w:rPr>
      <w:sz w:val="24"/>
    </w:rPr>
  </w:style>
  <w:style w:type="paragraph" w:styleId="a4">
    <w:name w:val="caption"/>
    <w:basedOn w:val="a"/>
    <w:next w:val="a"/>
    <w:uiPriority w:val="35"/>
    <w:semiHidden/>
    <w:unhideWhenUsed/>
    <w:qFormat/>
    <w:pPr>
      <w:overflowPunct w:val="0"/>
      <w:autoSpaceDE w:val="0"/>
      <w:autoSpaceDN w:val="0"/>
      <w:spacing w:line="276" w:lineRule="auto"/>
    </w:pPr>
    <w:rPr>
      <w:b/>
      <w:bCs/>
      <w:color w:val="4472C4" w:themeColor="accent1"/>
      <w:sz w:val="18"/>
      <w:szCs w:val="18"/>
    </w:rPr>
  </w:style>
  <w:style w:type="paragraph" w:styleId="a5">
    <w:name w:val="annotation text"/>
    <w:basedOn w:val="a"/>
    <w:link w:val="a6"/>
    <w:uiPriority w:val="99"/>
    <w:semiHidden/>
    <w:unhideWhenUsed/>
    <w:qFormat/>
    <w:pPr>
      <w:jc w:val="left"/>
    </w:pPr>
  </w:style>
  <w:style w:type="paragraph" w:styleId="a7">
    <w:name w:val="Body Text"/>
    <w:basedOn w:val="a"/>
    <w:link w:val="a8"/>
    <w:qFormat/>
    <w:pPr>
      <w:spacing w:line="360" w:lineRule="auto"/>
    </w:pPr>
    <w:rPr>
      <w:rFonts w:ascii="宋体" w:hAnsi="宋体"/>
      <w:color w:val="000000"/>
      <w:sz w:val="24"/>
    </w:rPr>
  </w:style>
  <w:style w:type="paragraph" w:styleId="a9">
    <w:name w:val="Block Text"/>
    <w:basedOn w:val="a"/>
    <w:qFormat/>
    <w:pPr>
      <w:spacing w:line="360" w:lineRule="auto"/>
      <w:ind w:leftChars="257" w:left="540" w:rightChars="259" w:right="544"/>
    </w:pPr>
    <w:rPr>
      <w:rFonts w:ascii="Arial Narrow" w:hAnsi="Arial Narrow"/>
      <w:sz w:val="18"/>
    </w:rPr>
  </w:style>
  <w:style w:type="paragraph" w:styleId="TOC5">
    <w:name w:val="toc 5"/>
    <w:basedOn w:val="a"/>
    <w:next w:val="a"/>
    <w:uiPriority w:val="39"/>
    <w:unhideWhenUsed/>
    <w:qFormat/>
    <w:pPr>
      <w:overflowPunct w:val="0"/>
      <w:autoSpaceDE w:val="0"/>
      <w:autoSpaceDN w:val="0"/>
      <w:spacing w:after="57"/>
      <w:ind w:left="1134"/>
    </w:pPr>
  </w:style>
  <w:style w:type="paragraph" w:styleId="TOC3">
    <w:name w:val="toc 3"/>
    <w:basedOn w:val="a"/>
    <w:next w:val="a"/>
    <w:uiPriority w:val="39"/>
    <w:unhideWhenUsed/>
    <w:qFormat/>
    <w:pPr>
      <w:overflowPunct w:val="0"/>
      <w:autoSpaceDE w:val="0"/>
      <w:autoSpaceDN w:val="0"/>
      <w:spacing w:after="57"/>
      <w:ind w:left="567"/>
    </w:pPr>
  </w:style>
  <w:style w:type="paragraph" w:styleId="aa">
    <w:name w:val="Plain Text"/>
    <w:basedOn w:val="a"/>
    <w:link w:val="ab"/>
    <w:unhideWhenUsed/>
    <w:qFormat/>
    <w:rPr>
      <w:rFonts w:ascii="宋体" w:hAnsi="Courier New"/>
      <w:kern w:val="0"/>
      <w:sz w:val="20"/>
      <w:szCs w:val="21"/>
    </w:rPr>
  </w:style>
  <w:style w:type="paragraph" w:styleId="TOC8">
    <w:name w:val="toc 8"/>
    <w:basedOn w:val="a"/>
    <w:next w:val="a"/>
    <w:uiPriority w:val="39"/>
    <w:unhideWhenUsed/>
    <w:qFormat/>
    <w:pPr>
      <w:overflowPunct w:val="0"/>
      <w:autoSpaceDE w:val="0"/>
      <w:autoSpaceDN w:val="0"/>
      <w:spacing w:after="57"/>
      <w:ind w:left="1984"/>
    </w:pPr>
  </w:style>
  <w:style w:type="paragraph" w:styleId="ac">
    <w:name w:val="Date"/>
    <w:basedOn w:val="a"/>
    <w:next w:val="a"/>
    <w:link w:val="ad"/>
    <w:uiPriority w:val="99"/>
    <w:semiHidden/>
    <w:unhideWhenUsed/>
    <w:qFormat/>
    <w:pPr>
      <w:ind w:leftChars="2500" w:left="100"/>
    </w:p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overflowPunct w:val="0"/>
      <w:autoSpaceDE w:val="0"/>
      <w:autoSpaceDN w:val="0"/>
      <w:spacing w:after="57"/>
    </w:pPr>
  </w:style>
  <w:style w:type="paragraph" w:styleId="TOC4">
    <w:name w:val="toc 4"/>
    <w:basedOn w:val="a"/>
    <w:next w:val="a"/>
    <w:uiPriority w:val="39"/>
    <w:unhideWhenUsed/>
    <w:qFormat/>
    <w:pPr>
      <w:overflowPunct w:val="0"/>
      <w:autoSpaceDE w:val="0"/>
      <w:autoSpaceDN w:val="0"/>
      <w:spacing w:after="57"/>
      <w:ind w:left="850"/>
    </w:pPr>
  </w:style>
  <w:style w:type="paragraph" w:styleId="af2">
    <w:name w:val="Subtitle"/>
    <w:basedOn w:val="a"/>
    <w:next w:val="a"/>
    <w:link w:val="af3"/>
    <w:uiPriority w:val="11"/>
    <w:qFormat/>
    <w:pPr>
      <w:overflowPunct w:val="0"/>
      <w:autoSpaceDE w:val="0"/>
      <w:autoSpaceDN w:val="0"/>
      <w:spacing w:before="200" w:after="200"/>
    </w:pPr>
    <w:rPr>
      <w:sz w:val="24"/>
    </w:rPr>
  </w:style>
  <w:style w:type="paragraph" w:styleId="af4">
    <w:name w:val="footnote text"/>
    <w:basedOn w:val="a"/>
    <w:link w:val="af5"/>
    <w:uiPriority w:val="99"/>
    <w:semiHidden/>
    <w:unhideWhenUsed/>
    <w:qFormat/>
    <w:pPr>
      <w:overflowPunct w:val="0"/>
      <w:autoSpaceDE w:val="0"/>
      <w:autoSpaceDN w:val="0"/>
      <w:spacing w:after="40"/>
    </w:pPr>
    <w:rPr>
      <w:sz w:val="18"/>
    </w:rPr>
  </w:style>
  <w:style w:type="paragraph" w:styleId="TOC6">
    <w:name w:val="toc 6"/>
    <w:basedOn w:val="a"/>
    <w:next w:val="a"/>
    <w:uiPriority w:val="39"/>
    <w:unhideWhenUsed/>
    <w:qFormat/>
    <w:pPr>
      <w:overflowPunct w:val="0"/>
      <w:autoSpaceDE w:val="0"/>
      <w:autoSpaceDN w:val="0"/>
      <w:spacing w:after="57"/>
      <w:ind w:left="1417"/>
    </w:pPr>
  </w:style>
  <w:style w:type="paragraph" w:styleId="TOC2">
    <w:name w:val="toc 2"/>
    <w:basedOn w:val="a"/>
    <w:next w:val="a"/>
    <w:uiPriority w:val="39"/>
    <w:unhideWhenUsed/>
    <w:qFormat/>
    <w:pPr>
      <w:overflowPunct w:val="0"/>
      <w:autoSpaceDE w:val="0"/>
      <w:autoSpaceDN w:val="0"/>
      <w:spacing w:after="57"/>
      <w:ind w:left="283"/>
    </w:pPr>
  </w:style>
  <w:style w:type="paragraph" w:styleId="TOC9">
    <w:name w:val="toc 9"/>
    <w:basedOn w:val="a"/>
    <w:next w:val="a"/>
    <w:uiPriority w:val="39"/>
    <w:unhideWhenUsed/>
    <w:qFormat/>
    <w:pPr>
      <w:overflowPunct w:val="0"/>
      <w:autoSpaceDE w:val="0"/>
      <w:autoSpaceDN w:val="0"/>
      <w:spacing w:after="57"/>
      <w:ind w:left="2268"/>
    </w:pPr>
  </w:style>
  <w:style w:type="paragraph" w:styleId="af6">
    <w:name w:val="Title"/>
    <w:basedOn w:val="a"/>
    <w:next w:val="a"/>
    <w:link w:val="af7"/>
    <w:uiPriority w:val="10"/>
    <w:qFormat/>
    <w:pPr>
      <w:overflowPunct w:val="0"/>
      <w:autoSpaceDE w:val="0"/>
      <w:autoSpaceDN w:val="0"/>
      <w:spacing w:before="300" w:after="200"/>
      <w:contextualSpacing/>
    </w:pPr>
    <w:rPr>
      <w:sz w:val="48"/>
      <w:szCs w:val="48"/>
    </w:rPr>
  </w:style>
  <w:style w:type="paragraph" w:styleId="af8">
    <w:name w:val="annotation subject"/>
    <w:basedOn w:val="a5"/>
    <w:next w:val="a5"/>
    <w:link w:val="af9"/>
    <w:uiPriority w:val="99"/>
    <w:semiHidden/>
    <w:unhideWhenUsed/>
    <w:qFormat/>
    <w:rPr>
      <w:b/>
      <w:bCs/>
    </w:rPr>
  </w:style>
  <w:style w:type="table" w:styleId="afa">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Strong"/>
    <w:basedOn w:val="a0"/>
    <w:uiPriority w:val="22"/>
    <w:qFormat/>
    <w:rPr>
      <w:b/>
    </w:rPr>
  </w:style>
  <w:style w:type="character" w:styleId="afc">
    <w:name w:val="Hyperlink"/>
    <w:basedOn w:val="a0"/>
    <w:uiPriority w:val="99"/>
    <w:semiHidden/>
    <w:unhideWhenUsed/>
    <w:qFormat/>
    <w:rPr>
      <w:color w:val="0000FF"/>
      <w:u w:val="single"/>
    </w:rPr>
  </w:style>
  <w:style w:type="character" w:styleId="afd">
    <w:name w:val="annotation reference"/>
    <w:basedOn w:val="a0"/>
    <w:qFormat/>
    <w:rPr>
      <w:sz w:val="21"/>
      <w:szCs w:val="21"/>
    </w:rPr>
  </w:style>
  <w:style w:type="character" w:styleId="afe">
    <w:name w:val="footnote reference"/>
    <w:basedOn w:val="a0"/>
    <w:uiPriority w:val="99"/>
    <w:unhideWhenUsed/>
    <w:qFormat/>
    <w:rPr>
      <w:vertAlign w:val="superscript"/>
    </w:rPr>
  </w:style>
  <w:style w:type="character" w:customStyle="1" w:styleId="10">
    <w:name w:val="标题 1 字符"/>
    <w:basedOn w:val="a0"/>
    <w:link w:val="1"/>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30">
    <w:name w:val="标题 3 字符"/>
    <w:basedOn w:val="a0"/>
    <w:link w:val="3"/>
    <w:uiPriority w:val="9"/>
    <w:qFormat/>
    <w:rPr>
      <w:rFonts w:ascii="Arial" w:eastAsia="Arial" w:hAnsi="Arial" w:cs="Arial"/>
      <w:sz w:val="30"/>
      <w:szCs w:val="30"/>
    </w:rPr>
  </w:style>
  <w:style w:type="character" w:customStyle="1" w:styleId="40">
    <w:name w:val="标题 4 字符"/>
    <w:basedOn w:val="a0"/>
    <w:link w:val="4"/>
    <w:uiPriority w:val="9"/>
    <w:qFormat/>
    <w:rPr>
      <w:rFonts w:ascii="Arial" w:eastAsia="Arial" w:hAnsi="Arial" w:cs="Arial"/>
      <w:b/>
      <w:bCs/>
      <w:sz w:val="26"/>
      <w:szCs w:val="26"/>
    </w:rPr>
  </w:style>
  <w:style w:type="character" w:customStyle="1" w:styleId="50">
    <w:name w:val="标题 5 字符"/>
    <w:basedOn w:val="a0"/>
    <w:link w:val="5"/>
    <w:uiPriority w:val="9"/>
    <w:qFormat/>
    <w:rPr>
      <w:rFonts w:ascii="Arial" w:eastAsia="Arial" w:hAnsi="Arial" w:cs="Arial"/>
      <w:b/>
      <w:bCs/>
      <w:sz w:val="24"/>
      <w:szCs w:val="24"/>
    </w:rPr>
  </w:style>
  <w:style w:type="character" w:customStyle="1" w:styleId="60">
    <w:name w:val="标题 6 字符"/>
    <w:basedOn w:val="a0"/>
    <w:link w:val="6"/>
    <w:uiPriority w:val="9"/>
    <w:qFormat/>
    <w:rPr>
      <w:rFonts w:ascii="Arial" w:eastAsia="Arial" w:hAnsi="Arial" w:cs="Arial"/>
      <w:b/>
      <w:bCs/>
      <w:sz w:val="22"/>
      <w:szCs w:val="22"/>
    </w:rPr>
  </w:style>
  <w:style w:type="character" w:customStyle="1" w:styleId="70">
    <w:name w:val="标题 7 字符"/>
    <w:basedOn w:val="a0"/>
    <w:link w:val="7"/>
    <w:uiPriority w:val="9"/>
    <w:qFormat/>
    <w:rPr>
      <w:rFonts w:ascii="Arial" w:eastAsia="Arial" w:hAnsi="Arial" w:cs="Arial"/>
      <w:b/>
      <w:bCs/>
      <w:i/>
      <w:iCs/>
      <w:sz w:val="22"/>
      <w:szCs w:val="22"/>
    </w:rPr>
  </w:style>
  <w:style w:type="character" w:customStyle="1" w:styleId="80">
    <w:name w:val="标题 8 字符"/>
    <w:basedOn w:val="a0"/>
    <w:link w:val="8"/>
    <w:uiPriority w:val="9"/>
    <w:qFormat/>
    <w:rPr>
      <w:rFonts w:ascii="Arial" w:eastAsia="Arial" w:hAnsi="Arial" w:cs="Arial"/>
      <w:i/>
      <w:iCs/>
      <w:sz w:val="22"/>
      <w:szCs w:val="22"/>
    </w:rPr>
  </w:style>
  <w:style w:type="character" w:customStyle="1" w:styleId="90">
    <w:name w:val="标题 9 字符"/>
    <w:basedOn w:val="a0"/>
    <w:link w:val="9"/>
    <w:uiPriority w:val="9"/>
    <w:qFormat/>
    <w:rPr>
      <w:rFonts w:ascii="Arial" w:eastAsia="Arial" w:hAnsi="Arial" w:cs="Arial"/>
      <w:i/>
      <w:iCs/>
      <w:sz w:val="21"/>
      <w:szCs w:val="21"/>
    </w:rPr>
  </w:style>
  <w:style w:type="paragraph" w:styleId="aff">
    <w:name w:val="No Spacing"/>
    <w:uiPriority w:val="1"/>
    <w:qFormat/>
    <w:pPr>
      <w:pBdr>
        <w:top w:val="none" w:sz="0" w:space="0" w:color="000000"/>
        <w:left w:val="none" w:sz="0" w:space="0" w:color="000000"/>
        <w:bottom w:val="none" w:sz="0" w:space="0" w:color="000000"/>
        <w:right w:val="none" w:sz="0" w:space="0" w:color="000000"/>
        <w:between w:val="none" w:sz="0" w:space="0" w:color="000000"/>
      </w:pBdr>
      <w:overflowPunct w:val="0"/>
      <w:autoSpaceDE w:val="0"/>
      <w:autoSpaceDN w:val="0"/>
    </w:pPr>
    <w:rPr>
      <w:sz w:val="21"/>
      <w:szCs w:val="22"/>
      <w:lang w:eastAsia="en-US" w:bidi="en-US"/>
    </w:rPr>
  </w:style>
  <w:style w:type="character" w:customStyle="1" w:styleId="af7">
    <w:name w:val="标题 字符"/>
    <w:basedOn w:val="a0"/>
    <w:link w:val="af6"/>
    <w:uiPriority w:val="10"/>
    <w:qFormat/>
    <w:rPr>
      <w:sz w:val="48"/>
      <w:szCs w:val="48"/>
    </w:rPr>
  </w:style>
  <w:style w:type="character" w:customStyle="1" w:styleId="af3">
    <w:name w:val="副标题 字符"/>
    <w:basedOn w:val="a0"/>
    <w:link w:val="af2"/>
    <w:uiPriority w:val="11"/>
    <w:qFormat/>
    <w:rPr>
      <w:sz w:val="24"/>
      <w:szCs w:val="24"/>
    </w:rPr>
  </w:style>
  <w:style w:type="paragraph" w:styleId="aff0">
    <w:name w:val="Quote"/>
    <w:basedOn w:val="a"/>
    <w:next w:val="a"/>
    <w:link w:val="aff1"/>
    <w:uiPriority w:val="29"/>
    <w:qFormat/>
    <w:pPr>
      <w:overflowPunct w:val="0"/>
      <w:autoSpaceDE w:val="0"/>
      <w:autoSpaceDN w:val="0"/>
      <w:ind w:left="720" w:right="720"/>
    </w:pPr>
    <w:rPr>
      <w:i/>
    </w:rPr>
  </w:style>
  <w:style w:type="character" w:customStyle="1" w:styleId="aff1">
    <w:name w:val="引用 字符"/>
    <w:link w:val="aff0"/>
    <w:uiPriority w:val="29"/>
    <w:qFormat/>
    <w:rPr>
      <w:i/>
    </w:rPr>
  </w:style>
  <w:style w:type="paragraph" w:styleId="aff2">
    <w:name w:val="Intense Quote"/>
    <w:basedOn w:val="a"/>
    <w:next w:val="a"/>
    <w:link w:val="aff3"/>
    <w:uiPriority w:val="30"/>
    <w:qFormat/>
    <w:pPr>
      <w:pBdr>
        <w:top w:val="single" w:sz="4" w:space="5" w:color="FFFFFF"/>
        <w:left w:val="single" w:sz="4" w:space="10" w:color="FFFFFF"/>
        <w:bottom w:val="single" w:sz="4" w:space="5" w:color="FFFFFF"/>
        <w:right w:val="single" w:sz="4" w:space="10" w:color="FFFFFF"/>
      </w:pBdr>
      <w:shd w:val="clear" w:color="auto" w:fill="F2F2F2"/>
      <w:overflowPunct w:val="0"/>
      <w:autoSpaceDE w:val="0"/>
      <w:autoSpaceDN w:val="0"/>
      <w:ind w:left="720" w:right="720"/>
    </w:pPr>
    <w:rPr>
      <w:i/>
    </w:rPr>
  </w:style>
  <w:style w:type="character" w:customStyle="1" w:styleId="aff3">
    <w:name w:val="明显引用 字符"/>
    <w:link w:val="aff2"/>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table" w:customStyle="1" w:styleId="TableGridLight">
    <w:name w:val="Table Grid Light"/>
    <w:basedOn w:val="a1"/>
    <w:uiPriority w:val="59"/>
    <w:qFormat/>
    <w:pPr>
      <w:overflowPunct w:val="0"/>
      <w:autoSpaceDE w:val="0"/>
      <w:autoSpaceDN w:val="0"/>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无格式表格 11"/>
    <w:basedOn w:val="a1"/>
    <w:uiPriority w:val="59"/>
    <w:qFormat/>
    <w:pPr>
      <w:overflowPunct w:val="0"/>
      <w:autoSpaceDE w:val="0"/>
      <w:autoSpaceDN w:val="0"/>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
    <w:name w:val="无格式表格 21"/>
    <w:basedOn w:val="a1"/>
    <w:uiPriority w:val="59"/>
    <w:qFormat/>
    <w:pPr>
      <w:overflowPunct w:val="0"/>
      <w:autoSpaceDE w:val="0"/>
      <w:autoSpaceDN w:val="0"/>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basedOn w:val="a1"/>
    <w:uiPriority w:val="99"/>
    <w:qFormat/>
    <w:pPr>
      <w:overflowPunct w:val="0"/>
      <w:autoSpaceDE w:val="0"/>
      <w:autoSpaceDN w:val="0"/>
    </w:p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无格式表格 41"/>
    <w:basedOn w:val="a1"/>
    <w:uiPriority w:val="99"/>
    <w:qFormat/>
    <w:pPr>
      <w:overflowPunct w:val="0"/>
      <w:autoSpaceDE w:val="0"/>
      <w:autoSpaceDN w:val="0"/>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无格式表格 51"/>
    <w:basedOn w:val="a1"/>
    <w:uiPriority w:val="99"/>
    <w:qFormat/>
    <w:pPr>
      <w:overflowPunct w:val="0"/>
      <w:autoSpaceDE w:val="0"/>
      <w:autoSpaceDN w:val="0"/>
    </w:pPr>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overflowPunct w:val="0"/>
        <w:autoSpaceDE w:val="0"/>
        <w:autoSpaceDN w:val="0"/>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0">
    <w:name w:val="网格表 1 浅色1"/>
    <w:basedOn w:val="a1"/>
    <w:uiPriority w:val="99"/>
    <w:qFormat/>
    <w:pPr>
      <w:overflowPunct w:val="0"/>
      <w:autoSpaceDE w:val="0"/>
      <w:autoSpaceDN w:val="0"/>
    </w:p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pPr>
      <w:overflowPunct w:val="0"/>
      <w:autoSpaceDE w:val="0"/>
      <w:autoSpaceDN w:val="0"/>
    </w:p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qFormat/>
    <w:pPr>
      <w:overflowPunct w:val="0"/>
      <w:autoSpaceDE w:val="0"/>
      <w:autoSpaceDN w:val="0"/>
    </w:p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qFormat/>
    <w:pPr>
      <w:overflowPunct w:val="0"/>
      <w:autoSpaceDE w:val="0"/>
      <w:autoSpaceDN w:val="0"/>
    </w:p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qFormat/>
    <w:pPr>
      <w:overflowPunct w:val="0"/>
      <w:autoSpaceDE w:val="0"/>
      <w:autoSpaceDN w:val="0"/>
    </w:p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qFormat/>
    <w:pPr>
      <w:overflowPunct w:val="0"/>
      <w:autoSpaceDE w:val="0"/>
      <w:autoSpaceDN w:val="0"/>
    </w:p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qFormat/>
    <w:pPr>
      <w:overflowPunct w:val="0"/>
      <w:autoSpaceDE w:val="0"/>
      <w:autoSpaceDN w:val="0"/>
    </w:p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0">
    <w:name w:val="网格表 21"/>
    <w:basedOn w:val="a1"/>
    <w:uiPriority w:val="99"/>
    <w:qFormat/>
    <w:pPr>
      <w:overflowPunct w:val="0"/>
      <w:autoSpaceDE w:val="0"/>
      <w:autoSpaceDN w:val="0"/>
    </w:p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qFormat/>
    <w:pPr>
      <w:overflowPunct w:val="0"/>
      <w:autoSpaceDE w:val="0"/>
      <w:autoSpaceDN w:val="0"/>
    </w:p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a1"/>
    <w:uiPriority w:val="99"/>
    <w:qFormat/>
    <w:pPr>
      <w:overflowPunct w:val="0"/>
      <w:autoSpaceDE w:val="0"/>
      <w:autoSpaceDN w:val="0"/>
    </w:p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qFormat/>
    <w:pPr>
      <w:overflowPunct w:val="0"/>
      <w:autoSpaceDE w:val="0"/>
      <w:autoSpaceDN w:val="0"/>
    </w:p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qFormat/>
    <w:pPr>
      <w:overflowPunct w:val="0"/>
      <w:autoSpaceDE w:val="0"/>
      <w:autoSpaceDN w:val="0"/>
    </w:p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qFormat/>
    <w:pPr>
      <w:overflowPunct w:val="0"/>
      <w:autoSpaceDE w:val="0"/>
      <w:autoSpaceDN w:val="0"/>
    </w:p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a1"/>
    <w:uiPriority w:val="99"/>
    <w:qFormat/>
    <w:pPr>
      <w:overflowPunct w:val="0"/>
      <w:autoSpaceDE w:val="0"/>
      <w:autoSpaceDN w:val="0"/>
    </w:p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0">
    <w:name w:val="网格表 31"/>
    <w:basedOn w:val="a1"/>
    <w:uiPriority w:val="99"/>
    <w:qFormat/>
    <w:pPr>
      <w:overflowPunct w:val="0"/>
      <w:autoSpaceDE w:val="0"/>
      <w:autoSpaceDN w:val="0"/>
    </w:p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blPr/>
      <w:tcPr>
        <w:tcBorders>
          <w:top w:val="nil"/>
          <w:left w:val="nil"/>
          <w:bottom w:val="nil"/>
          <w:right w:val="nil"/>
        </w:tcBorders>
        <w:shd w:val="clear" w:color="auto" w:fill="auto"/>
      </w:tcPr>
    </w:tblStylePr>
    <w:tblStylePr w:type="lastCol">
      <w:rPr>
        <w:i/>
        <w:color w:val="404040"/>
      </w:rPr>
      <w:tblPr/>
      <w:tcPr>
        <w:tcBorders>
          <w:top w:val="nil"/>
          <w:left w:val="nil"/>
          <w:bottom w:val="nil"/>
          <w:right w:val="nil"/>
        </w:tcBorders>
        <w:shd w:val="clear" w:color="auto" w:fill="auto"/>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qFormat/>
    <w:pPr>
      <w:overflowPunct w:val="0"/>
      <w:autoSpaceDE w:val="0"/>
      <w:autoSpaceDN w:val="0"/>
    </w:p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blPr/>
      <w:tcPr>
        <w:tcBorders>
          <w:top w:val="nil"/>
          <w:left w:val="nil"/>
          <w:bottom w:val="nil"/>
          <w:right w:val="nil"/>
        </w:tcBorders>
        <w:shd w:val="clear" w:color="auto" w:fill="auto"/>
      </w:tcPr>
    </w:tblStylePr>
    <w:tblStylePr w:type="lastCol">
      <w:rPr>
        <w:i/>
        <w:color w:val="404040"/>
      </w:rPr>
      <w:tblPr/>
      <w:tcPr>
        <w:tcBorders>
          <w:top w:val="nil"/>
          <w:left w:val="nil"/>
          <w:bottom w:val="nil"/>
          <w:right w:val="nil"/>
        </w:tcBorders>
        <w:shd w:val="clear" w:color="auto" w:fill="auto"/>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a1"/>
    <w:uiPriority w:val="99"/>
    <w:qFormat/>
    <w:pPr>
      <w:overflowPunct w:val="0"/>
      <w:autoSpaceDE w:val="0"/>
      <w:autoSpaceDN w:val="0"/>
    </w:p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blPr/>
      <w:tcPr>
        <w:tcBorders>
          <w:top w:val="nil"/>
          <w:left w:val="nil"/>
          <w:bottom w:val="nil"/>
          <w:right w:val="nil"/>
        </w:tcBorders>
        <w:shd w:val="clear" w:color="auto" w:fill="auto"/>
      </w:tcPr>
    </w:tblStylePr>
    <w:tblStylePr w:type="lastCol">
      <w:rPr>
        <w:i/>
        <w:color w:val="404040"/>
      </w:rPr>
      <w:tblPr/>
      <w:tcPr>
        <w:tcBorders>
          <w:top w:val="nil"/>
          <w:left w:val="nil"/>
          <w:bottom w:val="nil"/>
          <w:right w:val="nil"/>
        </w:tcBorders>
        <w:shd w:val="clear" w:color="auto" w:fill="auto"/>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qFormat/>
    <w:pPr>
      <w:overflowPunct w:val="0"/>
      <w:autoSpaceDE w:val="0"/>
      <w:autoSpaceDN w:val="0"/>
    </w:p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blPr/>
      <w:tcPr>
        <w:tcBorders>
          <w:top w:val="nil"/>
          <w:left w:val="nil"/>
          <w:bottom w:val="nil"/>
          <w:right w:val="nil"/>
        </w:tcBorders>
        <w:shd w:val="clear" w:color="auto" w:fill="auto"/>
      </w:tcPr>
    </w:tblStylePr>
    <w:tblStylePr w:type="lastCol">
      <w:rPr>
        <w:i/>
        <w:color w:val="404040"/>
      </w:rPr>
      <w:tblPr/>
      <w:tcPr>
        <w:tcBorders>
          <w:top w:val="nil"/>
          <w:left w:val="nil"/>
          <w:bottom w:val="nil"/>
          <w:right w:val="nil"/>
        </w:tcBorders>
        <w:shd w:val="clear" w:color="auto" w:fill="auto"/>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qFormat/>
    <w:pPr>
      <w:overflowPunct w:val="0"/>
      <w:autoSpaceDE w:val="0"/>
      <w:autoSpaceDN w:val="0"/>
    </w:p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blPr/>
      <w:tcPr>
        <w:tcBorders>
          <w:top w:val="nil"/>
          <w:left w:val="nil"/>
          <w:bottom w:val="nil"/>
          <w:right w:val="nil"/>
        </w:tcBorders>
        <w:shd w:val="clear" w:color="auto" w:fill="auto"/>
      </w:tcPr>
    </w:tblStylePr>
    <w:tblStylePr w:type="lastCol">
      <w:rPr>
        <w:i/>
        <w:color w:val="404040"/>
      </w:rPr>
      <w:tblPr/>
      <w:tcPr>
        <w:tcBorders>
          <w:top w:val="nil"/>
          <w:left w:val="nil"/>
          <w:bottom w:val="nil"/>
          <w:right w:val="nil"/>
        </w:tcBorders>
        <w:shd w:val="clear" w:color="auto" w:fill="auto"/>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qFormat/>
    <w:pPr>
      <w:overflowPunct w:val="0"/>
      <w:autoSpaceDE w:val="0"/>
      <w:autoSpaceDN w:val="0"/>
    </w:p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blPr/>
      <w:tcPr>
        <w:tcBorders>
          <w:top w:val="nil"/>
          <w:left w:val="nil"/>
          <w:bottom w:val="nil"/>
          <w:right w:val="nil"/>
        </w:tcBorders>
        <w:shd w:val="clear" w:color="auto" w:fill="auto"/>
      </w:tcPr>
    </w:tblStylePr>
    <w:tblStylePr w:type="lastCol">
      <w:rPr>
        <w:i/>
        <w:color w:val="404040"/>
      </w:rPr>
      <w:tblPr/>
      <w:tcPr>
        <w:tcBorders>
          <w:top w:val="nil"/>
          <w:left w:val="nil"/>
          <w:bottom w:val="nil"/>
          <w:right w:val="nil"/>
        </w:tcBorders>
        <w:shd w:val="clear" w:color="auto" w:fill="auto"/>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a1"/>
    <w:uiPriority w:val="99"/>
    <w:qFormat/>
    <w:pPr>
      <w:overflowPunct w:val="0"/>
      <w:autoSpaceDE w:val="0"/>
      <w:autoSpaceDN w:val="0"/>
    </w:p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blPr/>
      <w:tcPr>
        <w:tcBorders>
          <w:top w:val="nil"/>
          <w:left w:val="nil"/>
          <w:bottom w:val="nil"/>
          <w:right w:val="nil"/>
        </w:tcBorders>
        <w:shd w:val="clear" w:color="auto" w:fill="auto"/>
      </w:tcPr>
    </w:tblStylePr>
    <w:tblStylePr w:type="lastCol">
      <w:rPr>
        <w:i/>
        <w:color w:val="404040"/>
      </w:rPr>
      <w:tblPr/>
      <w:tcPr>
        <w:tcBorders>
          <w:top w:val="nil"/>
          <w:left w:val="nil"/>
          <w:bottom w:val="nil"/>
          <w:right w:val="nil"/>
        </w:tcBorders>
        <w:shd w:val="clear" w:color="auto" w:fill="auto"/>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0">
    <w:name w:val="网格表 41"/>
    <w:basedOn w:val="a1"/>
    <w:uiPriority w:val="59"/>
    <w:qFormat/>
    <w:pPr>
      <w:overflowPunct w:val="0"/>
      <w:autoSpaceDE w:val="0"/>
      <w:autoSpaceDN w:val="0"/>
    </w:p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qFormat/>
    <w:pPr>
      <w:overflowPunct w:val="0"/>
      <w:autoSpaceDE w:val="0"/>
      <w:autoSpaceDN w:val="0"/>
    </w:p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a1"/>
    <w:uiPriority w:val="59"/>
    <w:qFormat/>
    <w:pPr>
      <w:overflowPunct w:val="0"/>
      <w:autoSpaceDE w:val="0"/>
      <w:autoSpaceDN w:val="0"/>
    </w:p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qFormat/>
    <w:pPr>
      <w:overflowPunct w:val="0"/>
      <w:autoSpaceDE w:val="0"/>
      <w:autoSpaceDN w:val="0"/>
    </w:p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qFormat/>
    <w:pPr>
      <w:overflowPunct w:val="0"/>
      <w:autoSpaceDE w:val="0"/>
      <w:autoSpaceDN w:val="0"/>
    </w:p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qFormat/>
    <w:pPr>
      <w:overflowPunct w:val="0"/>
      <w:autoSpaceDE w:val="0"/>
      <w:autoSpaceDN w:val="0"/>
    </w:p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a1"/>
    <w:uiPriority w:val="59"/>
    <w:qFormat/>
    <w:pPr>
      <w:overflowPunct w:val="0"/>
      <w:autoSpaceDE w:val="0"/>
      <w:autoSpaceDN w:val="0"/>
    </w:p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0">
    <w:name w:val="网格表 5 深色1"/>
    <w:basedOn w:val="a1"/>
    <w:uiPriority w:val="99"/>
    <w:qFormat/>
    <w:pPr>
      <w:overflowPunct w:val="0"/>
      <w:autoSpaceDE w:val="0"/>
      <w:autoSpaceDN w:val="0"/>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qFormat/>
    <w:pPr>
      <w:overflowPunct w:val="0"/>
      <w:autoSpaceDE w:val="0"/>
      <w:autoSpaceDN w:val="0"/>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a1"/>
    <w:uiPriority w:val="99"/>
    <w:qFormat/>
    <w:pPr>
      <w:overflowPunct w:val="0"/>
      <w:autoSpaceDE w:val="0"/>
      <w:autoSpaceDN w:val="0"/>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qFormat/>
    <w:pPr>
      <w:overflowPunct w:val="0"/>
      <w:autoSpaceDE w:val="0"/>
      <w:autoSpaceDN w:val="0"/>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qFormat/>
    <w:pPr>
      <w:overflowPunct w:val="0"/>
      <w:autoSpaceDE w:val="0"/>
      <w:autoSpaceDN w:val="0"/>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qFormat/>
    <w:pPr>
      <w:overflowPunct w:val="0"/>
      <w:autoSpaceDE w:val="0"/>
      <w:autoSpaceDN w:val="0"/>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a1"/>
    <w:uiPriority w:val="99"/>
    <w:qFormat/>
    <w:pPr>
      <w:overflowPunct w:val="0"/>
      <w:autoSpaceDE w:val="0"/>
      <w:autoSpaceDN w:val="0"/>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网格表 6 彩色1"/>
    <w:basedOn w:val="a1"/>
    <w:uiPriority w:val="99"/>
    <w:qFormat/>
    <w:pPr>
      <w:overflowPunct w:val="0"/>
      <w:autoSpaceDE w:val="0"/>
      <w:autoSpaceDN w:val="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qFormat/>
    <w:pPr>
      <w:overflowPunct w:val="0"/>
      <w:autoSpaceDE w:val="0"/>
      <w:autoSpaceDN w:val="0"/>
    </w:pPr>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qFormat/>
    <w:pPr>
      <w:overflowPunct w:val="0"/>
      <w:autoSpaceDE w:val="0"/>
      <w:autoSpaceDN w:val="0"/>
    </w:p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qFormat/>
    <w:pPr>
      <w:overflowPunct w:val="0"/>
      <w:autoSpaceDE w:val="0"/>
      <w:autoSpaceDN w:val="0"/>
    </w:p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qFormat/>
    <w:pPr>
      <w:overflowPunct w:val="0"/>
      <w:autoSpaceDE w:val="0"/>
      <w:autoSpaceDN w:val="0"/>
    </w:p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pPr>
      <w:overflowPunct w:val="0"/>
      <w:autoSpaceDE w:val="0"/>
      <w:autoSpaceDN w:val="0"/>
    </w:pPr>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qFormat/>
    <w:pPr>
      <w:overflowPunct w:val="0"/>
      <w:autoSpaceDE w:val="0"/>
      <w:autoSpaceDN w:val="0"/>
    </w:p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71">
    <w:name w:val="网格表 7 彩色1"/>
    <w:basedOn w:val="a1"/>
    <w:uiPriority w:val="99"/>
    <w:qFormat/>
    <w:pPr>
      <w:overflowPunct w:val="0"/>
      <w:autoSpaceDE w:val="0"/>
      <w:autoSpaceDN w:val="0"/>
    </w:p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auto"/>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qFormat/>
    <w:pPr>
      <w:overflowPunct w:val="0"/>
      <w:autoSpaceDE w:val="0"/>
      <w:autoSpaceDN w:val="0"/>
    </w:pPr>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auto"/>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qFormat/>
    <w:pPr>
      <w:overflowPunct w:val="0"/>
      <w:autoSpaceDE w:val="0"/>
      <w:autoSpaceDN w:val="0"/>
    </w:p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auto"/>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pPr>
      <w:overflowPunct w:val="0"/>
      <w:autoSpaceDE w:val="0"/>
      <w:autoSpaceDN w:val="0"/>
    </w:p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auto"/>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pPr>
      <w:overflowPunct w:val="0"/>
      <w:autoSpaceDE w:val="0"/>
      <w:autoSpaceDN w:val="0"/>
    </w:p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auto"/>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qFormat/>
    <w:pPr>
      <w:overflowPunct w:val="0"/>
      <w:autoSpaceDE w:val="0"/>
      <w:autoSpaceDN w:val="0"/>
    </w:pPr>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auto"/>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qFormat/>
    <w:pPr>
      <w:overflowPunct w:val="0"/>
      <w:autoSpaceDE w:val="0"/>
      <w:autoSpaceDN w:val="0"/>
    </w:p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auto"/>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111">
    <w:name w:val="清单表 1 浅色1"/>
    <w:basedOn w:val="a1"/>
    <w:uiPriority w:val="99"/>
    <w:qFormat/>
    <w:pPr>
      <w:overflowPunct w:val="0"/>
      <w:autoSpaceDE w:val="0"/>
      <w:autoSpaceDN w:val="0"/>
    </w:pP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qFormat/>
    <w:pPr>
      <w:overflowPunct w:val="0"/>
      <w:autoSpaceDE w:val="0"/>
      <w:autoSpaceDN w:val="0"/>
    </w:pP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a1"/>
    <w:uiPriority w:val="99"/>
    <w:qFormat/>
    <w:pPr>
      <w:overflowPunct w:val="0"/>
      <w:autoSpaceDE w:val="0"/>
      <w:autoSpaceDN w:val="0"/>
    </w:pP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qFormat/>
    <w:pPr>
      <w:overflowPunct w:val="0"/>
      <w:autoSpaceDE w:val="0"/>
      <w:autoSpaceDN w:val="0"/>
    </w:pP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qFormat/>
    <w:pPr>
      <w:overflowPunct w:val="0"/>
      <w:autoSpaceDE w:val="0"/>
      <w:autoSpaceDN w:val="0"/>
    </w:pP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qFormat/>
    <w:pPr>
      <w:overflowPunct w:val="0"/>
      <w:autoSpaceDE w:val="0"/>
      <w:autoSpaceDN w:val="0"/>
    </w:pP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a1"/>
    <w:uiPriority w:val="99"/>
    <w:qFormat/>
    <w:pPr>
      <w:overflowPunct w:val="0"/>
      <w:autoSpaceDE w:val="0"/>
      <w:autoSpaceDN w:val="0"/>
    </w:pP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1">
    <w:name w:val="清单表 21"/>
    <w:basedOn w:val="a1"/>
    <w:uiPriority w:val="99"/>
    <w:qFormat/>
    <w:pPr>
      <w:overflowPunct w:val="0"/>
      <w:autoSpaceDE w:val="0"/>
      <w:autoSpaceDN w:val="0"/>
    </w:pPr>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qFormat/>
    <w:pPr>
      <w:overflowPunct w:val="0"/>
      <w:autoSpaceDE w:val="0"/>
      <w:autoSpaceDN w:val="0"/>
    </w:pPr>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a1"/>
    <w:uiPriority w:val="99"/>
    <w:qFormat/>
    <w:pPr>
      <w:overflowPunct w:val="0"/>
      <w:autoSpaceDE w:val="0"/>
      <w:autoSpaceDN w:val="0"/>
    </w:pPr>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qFormat/>
    <w:pPr>
      <w:overflowPunct w:val="0"/>
      <w:autoSpaceDE w:val="0"/>
      <w:autoSpaceDN w:val="0"/>
    </w:pPr>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qFormat/>
    <w:pPr>
      <w:overflowPunct w:val="0"/>
      <w:autoSpaceDE w:val="0"/>
      <w:autoSpaceDN w:val="0"/>
    </w:pPr>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qFormat/>
    <w:pPr>
      <w:overflowPunct w:val="0"/>
      <w:autoSpaceDE w:val="0"/>
      <w:autoSpaceDN w:val="0"/>
    </w:pPr>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a1"/>
    <w:uiPriority w:val="99"/>
    <w:qFormat/>
    <w:pPr>
      <w:overflowPunct w:val="0"/>
      <w:autoSpaceDE w:val="0"/>
      <w:autoSpaceDN w:val="0"/>
    </w:pPr>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1">
    <w:name w:val="清单表 31"/>
    <w:basedOn w:val="a1"/>
    <w:uiPriority w:val="99"/>
    <w:qFormat/>
    <w:pPr>
      <w:overflowPunct w:val="0"/>
      <w:autoSpaceDE w:val="0"/>
      <w:autoSpaceDN w:val="0"/>
    </w:p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pPr>
      <w:overflowPunct w:val="0"/>
      <w:autoSpaceDE w:val="0"/>
      <w:autoSpaceDN w:val="0"/>
    </w:pPr>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qFormat/>
    <w:pPr>
      <w:overflowPunct w:val="0"/>
      <w:autoSpaceDE w:val="0"/>
      <w:autoSpaceDN w:val="0"/>
    </w:p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pPr>
      <w:overflowPunct w:val="0"/>
      <w:autoSpaceDE w:val="0"/>
      <w:autoSpaceDN w:val="0"/>
    </w:p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pPr>
      <w:overflowPunct w:val="0"/>
      <w:autoSpaceDE w:val="0"/>
      <w:autoSpaceDN w:val="0"/>
    </w:p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pPr>
      <w:overflowPunct w:val="0"/>
      <w:autoSpaceDE w:val="0"/>
      <w:autoSpaceDN w:val="0"/>
    </w:pPr>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qFormat/>
    <w:pPr>
      <w:overflowPunct w:val="0"/>
      <w:autoSpaceDE w:val="0"/>
      <w:autoSpaceDN w:val="0"/>
    </w:p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
    <w:name w:val="清单表 41"/>
    <w:basedOn w:val="a1"/>
    <w:uiPriority w:val="99"/>
    <w:qFormat/>
    <w:pPr>
      <w:overflowPunct w:val="0"/>
      <w:autoSpaceDE w:val="0"/>
      <w:autoSpaceDN w:val="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qFormat/>
    <w:pPr>
      <w:overflowPunct w:val="0"/>
      <w:autoSpaceDE w:val="0"/>
      <w:autoSpaceDN w:val="0"/>
    </w:p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a1"/>
    <w:uiPriority w:val="99"/>
    <w:qFormat/>
    <w:pPr>
      <w:overflowPunct w:val="0"/>
      <w:autoSpaceDE w:val="0"/>
      <w:autoSpaceDN w:val="0"/>
    </w:p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qFormat/>
    <w:pPr>
      <w:overflowPunct w:val="0"/>
      <w:autoSpaceDE w:val="0"/>
      <w:autoSpaceDN w:val="0"/>
    </w:p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qFormat/>
    <w:pPr>
      <w:overflowPunct w:val="0"/>
      <w:autoSpaceDE w:val="0"/>
      <w:autoSpaceDN w:val="0"/>
    </w:p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qFormat/>
    <w:pPr>
      <w:overflowPunct w:val="0"/>
      <w:autoSpaceDE w:val="0"/>
      <w:autoSpaceDN w:val="0"/>
    </w:p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a1"/>
    <w:uiPriority w:val="99"/>
    <w:qFormat/>
    <w:pPr>
      <w:overflowPunct w:val="0"/>
      <w:autoSpaceDE w:val="0"/>
      <w:autoSpaceDN w:val="0"/>
    </w:p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1">
    <w:name w:val="清单表 5 深色1"/>
    <w:basedOn w:val="a1"/>
    <w:uiPriority w:val="99"/>
    <w:qFormat/>
    <w:pPr>
      <w:overflowPunct w:val="0"/>
      <w:autoSpaceDE w:val="0"/>
      <w:autoSpaceDN w:val="0"/>
    </w:p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qFormat/>
    <w:pPr>
      <w:overflowPunct w:val="0"/>
      <w:autoSpaceDE w:val="0"/>
      <w:autoSpaceDN w:val="0"/>
    </w:pPr>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a1"/>
    <w:uiPriority w:val="99"/>
    <w:qFormat/>
    <w:pPr>
      <w:overflowPunct w:val="0"/>
      <w:autoSpaceDE w:val="0"/>
      <w:autoSpaceDN w:val="0"/>
    </w:p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qFormat/>
    <w:pPr>
      <w:overflowPunct w:val="0"/>
      <w:autoSpaceDE w:val="0"/>
      <w:autoSpaceDN w:val="0"/>
    </w:p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qFormat/>
    <w:pPr>
      <w:overflowPunct w:val="0"/>
      <w:autoSpaceDE w:val="0"/>
      <w:autoSpaceDN w:val="0"/>
    </w:p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qFormat/>
    <w:pPr>
      <w:overflowPunct w:val="0"/>
      <w:autoSpaceDE w:val="0"/>
      <w:autoSpaceDN w:val="0"/>
    </w:pPr>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a1"/>
    <w:uiPriority w:val="99"/>
    <w:qFormat/>
    <w:pPr>
      <w:overflowPunct w:val="0"/>
      <w:autoSpaceDE w:val="0"/>
      <w:autoSpaceDN w:val="0"/>
    </w:p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清单表 6 彩色1"/>
    <w:basedOn w:val="a1"/>
    <w:uiPriority w:val="99"/>
    <w:qFormat/>
    <w:pPr>
      <w:overflowPunct w:val="0"/>
      <w:autoSpaceDE w:val="0"/>
      <w:autoSpaceDN w:val="0"/>
    </w:pPr>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pPr>
      <w:overflowPunct w:val="0"/>
      <w:autoSpaceDE w:val="0"/>
      <w:autoSpaceDN w:val="0"/>
    </w:pPr>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qFormat/>
    <w:pPr>
      <w:overflowPunct w:val="0"/>
      <w:autoSpaceDE w:val="0"/>
      <w:autoSpaceDN w:val="0"/>
    </w:pPr>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pPr>
      <w:overflowPunct w:val="0"/>
      <w:autoSpaceDE w:val="0"/>
      <w:autoSpaceDN w:val="0"/>
    </w:pPr>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pPr>
      <w:overflowPunct w:val="0"/>
      <w:autoSpaceDE w:val="0"/>
      <w:autoSpaceDN w:val="0"/>
    </w:pPr>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pPr>
      <w:overflowPunct w:val="0"/>
      <w:autoSpaceDE w:val="0"/>
      <w:autoSpaceDN w:val="0"/>
    </w:pPr>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qFormat/>
    <w:pPr>
      <w:overflowPunct w:val="0"/>
      <w:autoSpaceDE w:val="0"/>
      <w:autoSpaceDN w:val="0"/>
    </w:pPr>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a1"/>
    <w:uiPriority w:val="99"/>
    <w:qFormat/>
    <w:pPr>
      <w:overflowPunct w:val="0"/>
      <w:autoSpaceDE w:val="0"/>
      <w:autoSpaceDN w:val="0"/>
    </w:pPr>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auto"/>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pPr>
      <w:overflowPunct w:val="0"/>
      <w:autoSpaceDE w:val="0"/>
      <w:autoSpaceDN w:val="0"/>
    </w:pPr>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auto"/>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qFormat/>
    <w:pPr>
      <w:overflowPunct w:val="0"/>
      <w:autoSpaceDE w:val="0"/>
      <w:autoSpaceDN w:val="0"/>
    </w:pPr>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auto"/>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pPr>
      <w:overflowPunct w:val="0"/>
      <w:autoSpaceDE w:val="0"/>
      <w:autoSpaceDN w:val="0"/>
    </w:pPr>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auto"/>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pPr>
      <w:overflowPunct w:val="0"/>
      <w:autoSpaceDE w:val="0"/>
      <w:autoSpaceDN w:val="0"/>
    </w:pPr>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auto"/>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pPr>
      <w:overflowPunct w:val="0"/>
      <w:autoSpaceDE w:val="0"/>
      <w:autoSpaceDN w:val="0"/>
    </w:pPr>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auto"/>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qFormat/>
    <w:pPr>
      <w:overflowPunct w:val="0"/>
      <w:autoSpaceDE w:val="0"/>
      <w:autoSpaceDN w:val="0"/>
    </w:pPr>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auto"/>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pPr>
      <w:overflowPunct w:val="0"/>
      <w:autoSpaceDE w:val="0"/>
      <w:autoSpaceDN w:val="0"/>
    </w:pPr>
    <w:rPr>
      <w:color w:val="404040"/>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qFormat/>
    <w:pPr>
      <w:overflowPunct w:val="0"/>
      <w:autoSpaceDE w:val="0"/>
      <w:autoSpaceDN w:val="0"/>
    </w:pPr>
    <w:rPr>
      <w:color w:val="404040"/>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1"/>
    <w:uiPriority w:val="99"/>
    <w:qFormat/>
    <w:pPr>
      <w:overflowPunct w:val="0"/>
      <w:autoSpaceDE w:val="0"/>
      <w:autoSpaceDN w:val="0"/>
    </w:pPr>
    <w:rPr>
      <w:color w:val="404040"/>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qFormat/>
    <w:pPr>
      <w:overflowPunct w:val="0"/>
      <w:autoSpaceDE w:val="0"/>
      <w:autoSpaceDN w:val="0"/>
    </w:pPr>
    <w:rPr>
      <w:color w:val="404040"/>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qFormat/>
    <w:pPr>
      <w:overflowPunct w:val="0"/>
      <w:autoSpaceDE w:val="0"/>
      <w:autoSpaceDN w:val="0"/>
    </w:pPr>
    <w:rPr>
      <w:color w:val="404040"/>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qFormat/>
    <w:pPr>
      <w:overflowPunct w:val="0"/>
      <w:autoSpaceDE w:val="0"/>
      <w:autoSpaceDN w:val="0"/>
    </w:pPr>
    <w:rPr>
      <w:color w:val="404040"/>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1"/>
    <w:uiPriority w:val="99"/>
    <w:qFormat/>
    <w:pPr>
      <w:overflowPunct w:val="0"/>
      <w:autoSpaceDE w:val="0"/>
      <w:autoSpaceDN w:val="0"/>
    </w:pPr>
    <w:rPr>
      <w:color w:val="404040"/>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qFormat/>
    <w:pPr>
      <w:overflowPunct w:val="0"/>
      <w:autoSpaceDE w:val="0"/>
      <w:autoSpaceDN w:val="0"/>
    </w:pPr>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qFormat/>
    <w:pPr>
      <w:overflowPunct w:val="0"/>
      <w:autoSpaceDE w:val="0"/>
      <w:autoSpaceDN w:val="0"/>
    </w:pPr>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1"/>
    <w:uiPriority w:val="99"/>
    <w:qFormat/>
    <w:pPr>
      <w:overflowPunct w:val="0"/>
      <w:autoSpaceDE w:val="0"/>
      <w:autoSpaceDN w:val="0"/>
    </w:pPr>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qFormat/>
    <w:pPr>
      <w:overflowPunct w:val="0"/>
      <w:autoSpaceDE w:val="0"/>
      <w:autoSpaceDN w:val="0"/>
    </w:pPr>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qFormat/>
    <w:pPr>
      <w:overflowPunct w:val="0"/>
      <w:autoSpaceDE w:val="0"/>
      <w:autoSpaceDN w:val="0"/>
    </w:pPr>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qFormat/>
    <w:pPr>
      <w:overflowPunct w:val="0"/>
      <w:autoSpaceDE w:val="0"/>
      <w:autoSpaceDN w:val="0"/>
    </w:pPr>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1"/>
    <w:uiPriority w:val="99"/>
    <w:qFormat/>
    <w:pPr>
      <w:overflowPunct w:val="0"/>
      <w:autoSpaceDE w:val="0"/>
      <w:autoSpaceDN w:val="0"/>
    </w:pPr>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qFormat/>
    <w:pPr>
      <w:overflowPunct w:val="0"/>
      <w:autoSpaceDE w:val="0"/>
      <w:autoSpaceDN w:val="0"/>
    </w:p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pPr>
      <w:overflowPunct w:val="0"/>
      <w:autoSpaceDE w:val="0"/>
      <w:autoSpaceDN w:val="0"/>
    </w:p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pPr>
      <w:overflowPunct w:val="0"/>
      <w:autoSpaceDE w:val="0"/>
      <w:autoSpaceDN w:val="0"/>
    </w:p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pPr>
      <w:overflowPunct w:val="0"/>
      <w:autoSpaceDE w:val="0"/>
      <w:autoSpaceDN w:val="0"/>
    </w:p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pPr>
      <w:overflowPunct w:val="0"/>
      <w:autoSpaceDE w:val="0"/>
      <w:autoSpaceDN w:val="0"/>
    </w:p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pPr>
      <w:overflowPunct w:val="0"/>
      <w:autoSpaceDE w:val="0"/>
      <w:autoSpaceDN w:val="0"/>
    </w:p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pPr>
      <w:overflowPunct w:val="0"/>
      <w:autoSpaceDE w:val="0"/>
      <w:autoSpaceDN w:val="0"/>
    </w:p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5">
    <w:name w:val="脚注文本 字符"/>
    <w:link w:val="af4"/>
    <w:uiPriority w:val="99"/>
    <w:qFormat/>
    <w:rPr>
      <w:sz w:val="18"/>
    </w:rPr>
  </w:style>
  <w:style w:type="paragraph" w:customStyle="1" w:styleId="TOC10">
    <w:name w:val="TOC 标题1"/>
    <w:uiPriority w:val="39"/>
    <w:unhideWhenUsed/>
    <w:qFormat/>
    <w:pPr>
      <w:pBdr>
        <w:top w:val="none" w:sz="0" w:space="0" w:color="000000"/>
        <w:left w:val="none" w:sz="0" w:space="0" w:color="000000"/>
        <w:bottom w:val="none" w:sz="0" w:space="0" w:color="000000"/>
        <w:right w:val="none" w:sz="0" w:space="0" w:color="000000"/>
        <w:between w:val="none" w:sz="0" w:space="0" w:color="000000"/>
      </w:pBdr>
      <w:overflowPunct w:val="0"/>
      <w:autoSpaceDE w:val="0"/>
      <w:autoSpaceDN w:val="0"/>
    </w:pPr>
    <w:rPr>
      <w:sz w:val="21"/>
      <w:szCs w:val="22"/>
      <w:lang w:eastAsia="en-US" w:bidi="en-US"/>
    </w:rPr>
  </w:style>
  <w:style w:type="paragraph" w:styleId="aff4">
    <w:name w:val="List Paragraph"/>
    <w:basedOn w:val="a"/>
    <w:uiPriority w:val="34"/>
    <w:qFormat/>
    <w:pPr>
      <w:ind w:firstLineChars="200" w:firstLine="420"/>
    </w:pPr>
  </w:style>
  <w:style w:type="character" w:customStyle="1" w:styleId="af1">
    <w:name w:val="页眉 字符"/>
    <w:basedOn w:val="a0"/>
    <w:link w:val="af0"/>
    <w:uiPriority w:val="99"/>
    <w:qFormat/>
    <w:rPr>
      <w:rFonts w:ascii="Times New Roman" w:eastAsia="宋体" w:hAnsi="Times New Roman" w:cs="Times New Roman"/>
      <w:sz w:val="18"/>
      <w:szCs w:val="18"/>
    </w:rPr>
  </w:style>
  <w:style w:type="character" w:customStyle="1" w:styleId="af">
    <w:name w:val="页脚 字符"/>
    <w:basedOn w:val="a0"/>
    <w:link w:val="ae"/>
    <w:uiPriority w:val="99"/>
    <w:qFormat/>
    <w:rPr>
      <w:rFonts w:ascii="Times New Roman" w:eastAsia="宋体" w:hAnsi="Times New Roman" w:cs="Times New Roman"/>
      <w:sz w:val="18"/>
      <w:szCs w:val="18"/>
    </w:rPr>
  </w:style>
  <w:style w:type="character" w:customStyle="1" w:styleId="ab">
    <w:name w:val="纯文本 字符"/>
    <w:basedOn w:val="a0"/>
    <w:link w:val="aa"/>
    <w:qFormat/>
    <w:rPr>
      <w:rFonts w:ascii="宋体" w:eastAsia="宋体" w:hAnsi="Courier New" w:cs="Times New Roman"/>
      <w:szCs w:val="21"/>
    </w:rPr>
  </w:style>
  <w:style w:type="character" w:customStyle="1" w:styleId="a8">
    <w:name w:val="正文文本 字符"/>
    <w:basedOn w:val="a0"/>
    <w:link w:val="a7"/>
    <w:qFormat/>
    <w:rPr>
      <w:rFonts w:ascii="宋体" w:eastAsia="宋体" w:hAnsi="宋体" w:cs="Times New Roman"/>
      <w:color w:val="000000"/>
      <w:kern w:val="2"/>
      <w:sz w:val="24"/>
      <w:szCs w:val="24"/>
    </w:rPr>
  </w:style>
  <w:style w:type="paragraph" w:customStyle="1" w:styleId="Default">
    <w:name w:val="Default"/>
    <w:qFormat/>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pPr>
    <w:rPr>
      <w:color w:val="000000"/>
      <w:sz w:val="24"/>
      <w:szCs w:val="24"/>
    </w:rPr>
  </w:style>
  <w:style w:type="character" w:customStyle="1" w:styleId="a6">
    <w:name w:val="批注文字 字符"/>
    <w:basedOn w:val="a0"/>
    <w:link w:val="a5"/>
    <w:uiPriority w:val="99"/>
    <w:semiHidden/>
    <w:qFormat/>
    <w:rPr>
      <w:rFonts w:ascii="Times New Roman" w:eastAsia="宋体" w:hAnsi="Times New Roman" w:cs="Times New Roman"/>
      <w:kern w:val="2"/>
      <w:sz w:val="21"/>
      <w:szCs w:val="24"/>
    </w:rPr>
  </w:style>
  <w:style w:type="character" w:customStyle="1" w:styleId="af9">
    <w:name w:val="批注主题 字符"/>
    <w:basedOn w:val="a6"/>
    <w:link w:val="af8"/>
    <w:uiPriority w:val="99"/>
    <w:semiHidden/>
    <w:qFormat/>
    <w:rPr>
      <w:rFonts w:ascii="Times New Roman" w:eastAsia="宋体" w:hAnsi="Times New Roman" w:cs="Times New Roman"/>
      <w:b/>
      <w:bCs/>
      <w:kern w:val="2"/>
      <w:sz w:val="21"/>
      <w:szCs w:val="24"/>
    </w:rPr>
  </w:style>
  <w:style w:type="character" w:customStyle="1" w:styleId="ad">
    <w:name w:val="日期 字符"/>
    <w:basedOn w:val="a0"/>
    <w:link w:val="ac"/>
    <w:uiPriority w:val="99"/>
    <w:semiHidden/>
    <w:qFormat/>
    <w:rPr>
      <w:rFonts w:ascii="Times New Roman" w:eastAsia="宋体" w:hAnsi="Times New Roman" w:cs="Times New Roman"/>
      <w:kern w:val="2"/>
      <w:sz w:val="21"/>
      <w:szCs w:val="24"/>
    </w:rPr>
  </w:style>
  <w:style w:type="character" w:customStyle="1" w:styleId="font41">
    <w:name w:val="font41"/>
    <w:basedOn w:val="a0"/>
    <w:qFormat/>
    <w:rPr>
      <w:rFonts w:ascii="宋体" w:eastAsia="宋体" w:hAnsi="宋体" w:cs="宋体"/>
      <w:color w:val="000000"/>
      <w:sz w:val="20"/>
      <w:szCs w:val="20"/>
      <w:u w:val="none"/>
    </w:rPr>
  </w:style>
  <w:style w:type="character" w:customStyle="1" w:styleId="font21">
    <w:name w:val="font21"/>
    <w:basedOn w:val="a0"/>
    <w:qFormat/>
    <w:rPr>
      <w:rFonts w:ascii="Times New Roman" w:hAnsi="Times New Roman" w:cs="Times New Roman" w:hint="default"/>
      <w:color w:val="000000"/>
      <w:sz w:val="20"/>
      <w:szCs w:val="20"/>
      <w:u w:val="none"/>
    </w:rPr>
  </w:style>
  <w:style w:type="character" w:customStyle="1" w:styleId="font81">
    <w:name w:val="font81"/>
    <w:basedOn w:val="a0"/>
    <w:qFormat/>
    <w:rPr>
      <w:rFonts w:ascii="宋体" w:eastAsia="宋体" w:hAnsi="宋体" w:cs="宋体"/>
      <w:color w:val="000000"/>
      <w:sz w:val="20"/>
      <w:szCs w:val="20"/>
      <w:u w:val="none"/>
    </w:rPr>
  </w:style>
  <w:style w:type="character" w:customStyle="1" w:styleId="font91">
    <w:name w:val="font91"/>
    <w:basedOn w:val="a0"/>
    <w:qFormat/>
    <w:rPr>
      <w:rFonts w:ascii="Times New Roman" w:hAnsi="Times New Roman" w:cs="Times New Roman" w:hint="default"/>
      <w:color w:val="000000"/>
      <w:sz w:val="20"/>
      <w:szCs w:val="20"/>
      <w:u w:val="none"/>
    </w:rPr>
  </w:style>
  <w:style w:type="character" w:customStyle="1" w:styleId="font101">
    <w:name w:val="font101"/>
    <w:basedOn w:val="a0"/>
    <w:qFormat/>
    <w:rPr>
      <w:rFonts w:ascii="宋体" w:eastAsia="宋体" w:hAnsi="宋体" w:cs="宋体" w:hint="eastAsia"/>
      <w:color w:val="000000"/>
      <w:sz w:val="20"/>
      <w:szCs w:val="20"/>
      <w:u w:val="none"/>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112">
    <w:name w:val="font112"/>
    <w:basedOn w:val="a0"/>
    <w:qFormat/>
    <w:rPr>
      <w:rFonts w:ascii="宋体" w:eastAsia="宋体" w:hAnsi="宋体" w:cs="宋体" w:hint="eastAsia"/>
      <w:color w:val="FF0000"/>
      <w:sz w:val="20"/>
      <w:szCs w:val="20"/>
      <w:u w:val="none"/>
    </w:rPr>
  </w:style>
  <w:style w:type="character" w:customStyle="1" w:styleId="font121">
    <w:name w:val="font121"/>
    <w:basedOn w:val="a0"/>
    <w:qFormat/>
    <w:rPr>
      <w:rFonts w:ascii="宋体" w:eastAsia="宋体" w:hAnsi="宋体" w:cs="宋体"/>
      <w:color w:val="FF0000"/>
      <w:sz w:val="20"/>
      <w:szCs w:val="20"/>
      <w:u w:val="none"/>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5AAC8-9060-449D-B78C-840A097C8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xiaohui bi</dc:creator>
  <cp:lastModifiedBy>xuebin zhang</cp:lastModifiedBy>
  <cp:revision>24</cp:revision>
  <cp:lastPrinted>2026-02-05T06:38:00Z</cp:lastPrinted>
  <dcterms:created xsi:type="dcterms:W3CDTF">2026-02-02T04:49:00Z</dcterms:created>
  <dcterms:modified xsi:type="dcterms:W3CDTF">2026-02-28T01:56:00Z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eyJoZGlkIjoiMTA2YWZhNmM2MTUyMWQ2MTAwZGMyMTgwZTdkNGE4MWUiLCJ1c2VySWQiOiIxNjA3NTQxODU0In0=</vt:lpwstr>
  </property>
  <property fmtid="{D5CDD505-2E9C-101B-9397-08002B2CF9AE}" pid="3" name="KSOProductBuildVer">
    <vt:lpwstr>2052-12.1.0.25225</vt:lpwstr>
  </property>
  <property fmtid="{D5CDD505-2E9C-101B-9397-08002B2CF9AE}" pid="4" name="ICV">
    <vt:lpwstr>504CC009AAF94F21817550B2AF3E7D2C_13</vt:lpwstr>
  </property>
</Properties>
</file>