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深圳市龙华区人民检察院办案及专业技术用房建设工程项目绿色建筑等级符合性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评估服务招标公告</w:t>
      </w:r>
    </w:p>
    <w:p>
      <w:pPr>
        <w:pStyle w:val="3"/>
        <w:keepNext w:val="0"/>
        <w:keepLines w:val="0"/>
        <w:pageBreakBefore w:val="0"/>
        <w:kinsoku/>
        <w:wordWrap/>
        <w:overflowPunct/>
        <w:autoSpaceDE/>
        <w:autoSpaceDN/>
        <w:bidi w:val="0"/>
        <w:spacing w:line="600" w:lineRule="exact"/>
        <w:ind w:firstLine="0"/>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rPr>
        <w:t>深圳市龙华区人民检察院办案及专业技术用房建设工程</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工程名称</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rPr>
        <w:t>深圳市龙华区人民检察院办案及专业技术用房建设工程项目绿色建筑等级符合性评估服务</w:t>
      </w: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招标人：</w:t>
      </w:r>
      <w:r>
        <w:rPr>
          <w:rFonts w:hint="eastAsia" w:ascii="宋体" w:hAnsi="宋体" w:eastAsia="宋体" w:cs="宋体"/>
          <w:b w:val="0"/>
          <w:bCs w:val="0"/>
          <w:sz w:val="24"/>
          <w:szCs w:val="24"/>
          <w:highlight w:val="none"/>
        </w:rPr>
        <w:t>深圳市建筑工务署工程管理中心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招标方式：</w:t>
      </w:r>
      <w:r>
        <w:rPr>
          <w:rFonts w:hint="eastAsia" w:ascii="仿宋" w:hAnsi="仿宋"/>
          <w:color w:val="auto"/>
          <w:sz w:val="24"/>
          <w:highlight w:val="none"/>
        </w:rPr>
        <w:t>小型简易公开招标</w:t>
      </w:r>
      <w:r>
        <w:rPr>
          <w:rFonts w:hint="eastAsia" w:ascii="宋体" w:hAnsi="宋体" w:eastAsia="宋体" w:cs="宋体"/>
          <w:sz w:val="24"/>
          <w:szCs w:val="24"/>
          <w:highlight w:val="none"/>
        </w:rPr>
        <w:t>，资格后审（不设投标报名环节）</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b/>
          <w:sz w:val="24"/>
          <w:szCs w:val="24"/>
          <w:highlight w:val="none"/>
        </w:rPr>
        <w:t>招标联系人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邹工      </w:t>
      </w:r>
      <w:r>
        <w:rPr>
          <w:rFonts w:hint="eastAsia" w:ascii="宋体" w:hAnsi="宋体" w:eastAsia="宋体" w:cs="宋体"/>
          <w:b/>
          <w:bCs/>
          <w:color w:val="auto"/>
          <w:sz w:val="24"/>
          <w:highlight w:val="none"/>
        </w:rPr>
        <w:t>电话：</w:t>
      </w:r>
      <w:r>
        <w:rPr>
          <w:rFonts w:hint="eastAsia" w:ascii="宋体" w:hAnsi="宋体" w:eastAsia="宋体" w:cs="宋体"/>
          <w:color w:val="auto"/>
          <w:sz w:val="24"/>
          <w:highlight w:val="none"/>
        </w:rPr>
        <w:t>18126057823</w:t>
      </w: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项目地址：</w:t>
      </w:r>
      <w:r>
        <w:rPr>
          <w:rFonts w:hint="eastAsia" w:ascii="宋体" w:hAnsi="宋体" w:eastAsia="宋体" w:cs="宋体"/>
          <w:b w:val="0"/>
          <w:bCs w:val="0"/>
          <w:sz w:val="24"/>
          <w:szCs w:val="24"/>
          <w:highlight w:val="none"/>
        </w:rPr>
        <w:t>深圳市龙华区福城街道，茜坑老村北侧，茜坑路西侧</w:t>
      </w: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本项目用地面积为7196.83平方米，新建办案及专业技术用房1栋。建筑面积28790平方米，地下3层，地上14层，建筑高度</w:t>
      </w:r>
      <w:r>
        <w:rPr>
          <w:rFonts w:hint="eastAsia" w:ascii="宋体" w:hAnsi="宋体" w:eastAsia="宋体" w:cs="宋体"/>
          <w:sz w:val="24"/>
          <w:szCs w:val="24"/>
          <w:highlight w:val="none"/>
          <w:lang w:val="en-US" w:eastAsia="en-US"/>
        </w:rPr>
        <w:t>71.</w:t>
      </w:r>
      <w:r>
        <w:rPr>
          <w:rFonts w:hint="eastAsia" w:ascii="宋体" w:hAnsi="宋体" w:eastAsia="宋体" w:cs="宋体"/>
          <w:sz w:val="24"/>
          <w:szCs w:val="24"/>
          <w:highlight w:val="none"/>
          <w:lang w:val="en-US" w:eastAsia="zh-CN"/>
        </w:rPr>
        <w:t>4米。地下室建筑面积</w:t>
      </w:r>
      <w:r>
        <w:rPr>
          <w:rFonts w:hint="eastAsia" w:ascii="宋体" w:hAnsi="宋体" w:eastAsia="宋体" w:cs="宋体"/>
          <w:sz w:val="24"/>
          <w:szCs w:val="24"/>
          <w:highlight w:val="none"/>
          <w:lang w:val="en-US" w:eastAsia="en-US"/>
        </w:rPr>
        <w:t>13442.72</w:t>
      </w:r>
      <w:r>
        <w:rPr>
          <w:rFonts w:hint="eastAsia" w:ascii="宋体" w:hAnsi="宋体" w:eastAsia="宋体" w:cs="宋体"/>
          <w:sz w:val="24"/>
          <w:szCs w:val="24"/>
          <w:highlight w:val="none"/>
          <w:lang w:val="en-US" w:eastAsia="zh-CN"/>
        </w:rPr>
        <w:t>平方米，功能设置为办案用房、地下车库设置车</w:t>
      </w:r>
      <w:bookmarkStart w:id="9" w:name="_GoBack"/>
      <w:bookmarkEnd w:id="9"/>
      <w:r>
        <w:rPr>
          <w:rFonts w:hint="eastAsia" w:ascii="宋体" w:hAnsi="宋体" w:eastAsia="宋体" w:cs="宋体"/>
          <w:sz w:val="24"/>
          <w:szCs w:val="24"/>
          <w:highlight w:val="none"/>
          <w:lang w:val="en-US" w:eastAsia="zh-CN"/>
        </w:rPr>
        <w:t>位244个，设备用房和人防等，地上建筑面积</w:t>
      </w:r>
      <w:r>
        <w:rPr>
          <w:rFonts w:hint="eastAsia" w:ascii="宋体" w:hAnsi="宋体" w:eastAsia="宋体" w:cs="宋体"/>
          <w:sz w:val="24"/>
          <w:szCs w:val="24"/>
          <w:highlight w:val="none"/>
          <w:lang w:val="en-US" w:eastAsia="en-US"/>
        </w:rPr>
        <w:t>15347.</w:t>
      </w:r>
      <w:r>
        <w:rPr>
          <w:rFonts w:hint="eastAsia" w:ascii="宋体" w:hAnsi="宋体" w:eastAsia="宋体" w:cs="宋体"/>
          <w:sz w:val="24"/>
          <w:szCs w:val="24"/>
          <w:highlight w:val="none"/>
          <w:lang w:val="en-US" w:eastAsia="zh-CN"/>
        </w:rPr>
        <w:t>28平方米，功能设置为办案用房、模拟法庭、架空休闲绿化、专业技术用房和配套用房等。</w:t>
      </w:r>
      <w:r>
        <w:rPr>
          <w:rFonts w:hint="eastAsia" w:ascii="宋体" w:hAnsi="宋体" w:eastAsia="宋体" w:cs="宋体"/>
          <w:sz w:val="24"/>
          <w:szCs w:val="24"/>
          <w:highlight w:val="none"/>
        </w:rPr>
        <w:t>本项目节能按《公共建筑节能设计规范》（SJG44-2018），绿建设计原则按《绿色建筑评价标准》（GB/T50378-2019）实施设计，且按绿色建筑二星级设计。本项目已完成绿色建筑预评价，设计文件中已包含绿色建筑预评价自评估报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招标范围：</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完成本</w:t>
      </w:r>
      <w:r>
        <w:rPr>
          <w:rFonts w:hint="eastAsia" w:ascii="宋体" w:hAnsi="宋体" w:eastAsia="宋体" w:cs="宋体"/>
          <w:sz w:val="24"/>
          <w:szCs w:val="24"/>
          <w:highlight w:val="none"/>
        </w:rPr>
        <w:t>项目绿色建筑等级符合性评估相关服务（本项目竣工验收节点为</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sz w:val="24"/>
          <w:szCs w:val="24"/>
          <w:highlight w:val="none"/>
        </w:rPr>
        <w:t>。根据现场实际施工进度，出具绿色建筑等级符合性评估报告），根据绿色建筑等级评估的要求，提供资料收集整理及补充完善等服务，组织各类会议，提供绿色建筑等级符合性评估的全过程技术咨询服务</w:t>
      </w: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1732280</wp:posOffset>
                </wp:positionV>
                <wp:extent cx="0" cy="0"/>
                <wp:effectExtent l="0" t="0" r="0" b="0"/>
                <wp:wrapNone/>
                <wp:docPr id="3" name="直线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198pt;margin-top:136.4pt;height:0pt;width:0pt;z-index:251659264;mso-width-relative:page;mso-height-relative:page;" filled="f" stroked="t" coordsize="21600,21600" o:gfxdata="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4ZHB9UAAAALAQAADwAAAAAA&#10;AAABACAAAAAiAAAAZHJzL2Rvd25yZXYueG1sUEsBAhQAFAAAAAgAh07iQG7bqM7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1732280</wp:posOffset>
                </wp:positionV>
                <wp:extent cx="0" cy="0"/>
                <wp:effectExtent l="0" t="0" r="0" b="0"/>
                <wp:wrapNone/>
                <wp:docPr id="4" name="直线 3"/>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80pt;margin-top:136.4pt;height:0pt;width:0pt;z-index:251660288;mso-width-relative:page;mso-height-relative:page;" filled="f" stroked="t" coordsize="21600,21600" o:gfxdata="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E6/jHVAAAACwEAAA8AAAAA&#10;AAAAAQAgAAAAIgAAAGRycy9kb3ducmV2LnhtbFBLAQIUABQAAAAIAIdO4kBs47Uj3gEAANcDAAAO&#10;AAAAAAAAAAEAIAAAACQBAABkcnMvZTJvRG9jLnhtbFBLBQYAAAAABgAGAFkBAAB0BQAAAAA=&#10;">
                <v:fill on="f" focussize="0,0"/>
                <v:stroke color="#000000" joinstyle="round"/>
                <v:imagedata o:title=""/>
                <o:lock v:ext="edit" aspectratio="f"/>
              </v:line>
            </w:pict>
          </mc:Fallback>
        </mc:AlternateContent>
      </w:r>
      <w:r>
        <w:rPr>
          <w:rFonts w:hint="eastAsia" w:ascii="宋体" w:hAnsi="宋体" w:eastAsia="宋体" w:cs="宋体"/>
          <w:sz w:val="24"/>
          <w:szCs w:val="24"/>
          <w:highlight w:val="none"/>
        </w:rPr>
        <w:t xml:space="preserve">。 </w:t>
      </w:r>
    </w:p>
    <w:p>
      <w:pPr>
        <w:pStyle w:val="5"/>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工期要求：</w:t>
      </w:r>
    </w:p>
    <w:p>
      <w:pPr>
        <w:pStyle w:val="5"/>
        <w:keepNext w:val="0"/>
        <w:keepLines w:val="0"/>
        <w:pageBreakBefore w:val="0"/>
        <w:widowControl w:val="0"/>
        <w:kinsoku/>
        <w:wordWrap/>
        <w:overflowPunct/>
        <w:topLinePunct w:val="0"/>
        <w:autoSpaceDE/>
        <w:autoSpaceDN/>
        <w:bidi w:val="0"/>
        <w:spacing w:line="560" w:lineRule="exact"/>
        <w:ind w:left="0" w:firstLine="480" w:firstLineChars="200"/>
        <w:jc w:val="both"/>
        <w:textAlignment w:val="auto"/>
        <w:rPr>
          <w:rFonts w:hint="eastAsia" w:ascii="宋体" w:hAnsi="宋体" w:eastAsia="宋体" w:cs="宋体"/>
          <w:b w:val="0"/>
          <w:bCs w:val="0"/>
          <w:smallCaps w:val="0"/>
          <w:sz w:val="24"/>
          <w:szCs w:val="24"/>
          <w:highlight w:val="none"/>
        </w:rPr>
      </w:pPr>
      <w:r>
        <w:rPr>
          <w:rFonts w:hint="eastAsia" w:ascii="宋体" w:hAnsi="宋体" w:eastAsia="宋体" w:cs="宋体"/>
          <w:b w:val="0"/>
          <w:bCs w:val="0"/>
          <w:smallCaps w:val="0"/>
          <w:sz w:val="24"/>
          <w:szCs w:val="24"/>
          <w:highlight w:val="none"/>
        </w:rPr>
        <w:t>1、服务周期：中标人服务期限为自中标通知书发出之日起至出具本项目绿色建筑等级符合性评估报告并提交至相关部门。</w:t>
      </w:r>
    </w:p>
    <w:p>
      <w:pPr>
        <w:pStyle w:val="5"/>
        <w:keepNext w:val="0"/>
        <w:keepLines w:val="0"/>
        <w:pageBreakBefore w:val="0"/>
        <w:widowControl w:val="0"/>
        <w:kinsoku/>
        <w:wordWrap/>
        <w:overflowPunct/>
        <w:topLinePunct w:val="0"/>
        <w:autoSpaceDE/>
        <w:autoSpaceDN/>
        <w:bidi w:val="0"/>
        <w:spacing w:line="560" w:lineRule="exact"/>
        <w:ind w:left="0" w:firstLine="480" w:firstLineChars="200"/>
        <w:jc w:val="both"/>
        <w:textAlignment w:val="auto"/>
        <w:rPr>
          <w:rFonts w:hint="eastAsia" w:ascii="宋体" w:hAnsi="宋体" w:eastAsia="宋体" w:cs="宋体"/>
          <w:b w:val="0"/>
          <w:bCs w:val="0"/>
          <w:smallCaps w:val="0"/>
          <w:sz w:val="24"/>
          <w:szCs w:val="24"/>
          <w:highlight w:val="none"/>
        </w:rPr>
      </w:pPr>
      <w:r>
        <w:rPr>
          <w:rFonts w:hint="eastAsia" w:ascii="宋体" w:hAnsi="宋体" w:eastAsia="宋体" w:cs="宋体"/>
          <w:b w:val="0"/>
          <w:bCs w:val="0"/>
          <w:smallCaps w:val="0"/>
          <w:sz w:val="24"/>
          <w:szCs w:val="24"/>
          <w:highlight w:val="none"/>
        </w:rPr>
        <w:t>2、完成时间：现场具备条件（以甲方书面通知为准）后5个工作日完成外业调查，15个日历天内向甲方提供完成初步成果，30个日历天内向甲方提供最终成果并提交至相关部门。</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违约责任：</w:t>
      </w:r>
      <w:r>
        <w:rPr>
          <w:rFonts w:hint="eastAsia" w:ascii="宋体" w:hAnsi="宋体" w:eastAsia="宋体" w:cs="宋体"/>
          <w:b w:val="0"/>
          <w:bCs w:val="0"/>
          <w:sz w:val="24"/>
          <w:szCs w:val="24"/>
          <w:highlight w:val="none"/>
          <w:lang w:val="en-US" w:eastAsia="zh-CN"/>
        </w:rPr>
        <w:t>因乙方原因，</w:t>
      </w:r>
      <w:r>
        <w:rPr>
          <w:rFonts w:hint="eastAsia" w:ascii="宋体" w:hAnsi="宋体" w:eastAsia="宋体" w:cs="宋体"/>
          <w:sz w:val="24"/>
          <w:szCs w:val="24"/>
          <w:highlight w:val="none"/>
          <w:lang w:eastAsia="zh-CN"/>
        </w:rPr>
        <w:t>乙方未按合同约定提交报告成果文件的，按拖期具体日历天数处违约金</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eastAsia="zh-CN"/>
        </w:rPr>
        <w:t>/日历天，总违约金最多不超过合同价的5%。</w:t>
      </w:r>
    </w:p>
    <w:p>
      <w:pPr>
        <w:pStyle w:val="5"/>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工作内容及要求：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完成本项目绿色建筑等级符合性评价服务，包括但不限于以下工作内容：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资料形式审查，根据委托方提供的检验评估资料，对资料完整性进行形式审查，并将形式审查发现的问题反馈委托方，确保提供评估资料的完整性；</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资料专业审查，在资料通过形式审查后，按照规划、建筑、结构、给水排水、暖通空调、电气、智能化、景观等专业，安排专业技术人员对资料的内容进行专业审查，出具专业审查意见；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现场检查，在资料通过专业审查后，安排检查小组，对项目绿色建筑技术落地情况，开展现场核查，并出具现场检验意见通知。如现场检查发现问题，需通知建设单位进行现场整改，并根据建设单位整改情况，再次安排现场检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必要的现场抽检，根据项目情况，有必要时，对绿色建筑工程项目的必要参数进行抽检，了解项目实施的实际情况；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符合性评估，根据现场资料专业审查与现场检查结果，出具符合性评估结论。对于无法达到预期绿色建筑等级的项目，将相关问题反馈建设单位进行整改处理，直至通过绿色建筑等级符合性评估；</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根据符合性评估结果，出具《绿色建筑等级符合性评估报告》；其他与该项目绿色建筑等级评估相关的服务工作。</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递交投标资料的时间及地点：</w:t>
      </w:r>
      <w:r>
        <w:rPr>
          <w:rFonts w:hint="eastAsia" w:ascii="宋体" w:hAnsi="宋体" w:eastAsia="宋体" w:cs="宋体"/>
          <w:b w:val="0"/>
          <w:bCs w:val="0"/>
          <w:color w:val="auto"/>
          <w:sz w:val="24"/>
          <w:szCs w:val="24"/>
          <w:highlight w:val="none"/>
          <w:u w:val="single"/>
          <w:lang w:val="en-US" w:eastAsia="zh-CN"/>
        </w:rPr>
        <w:t>2024年10月17日15点30分深圳市建筑工务署工程管理中心6楼620会议室（深圳市罗湖区深南东路2001号鸿昌广场6楼）</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开标（截标）时间及地点：</w:t>
      </w:r>
      <w:r>
        <w:rPr>
          <w:rFonts w:hint="eastAsia" w:ascii="宋体" w:hAnsi="宋体" w:eastAsia="宋体" w:cs="宋体"/>
          <w:b w:val="0"/>
          <w:bCs w:val="0"/>
          <w:color w:val="auto"/>
          <w:sz w:val="24"/>
          <w:szCs w:val="24"/>
          <w:highlight w:val="none"/>
          <w:u w:val="single"/>
          <w:lang w:val="en-US" w:eastAsia="zh-CN"/>
        </w:rPr>
        <w:t>2024年10月17日15点30分深圳市建筑工务署工程管理中心6楼620会议室（深圳市罗湖区深南东路2001号鸿昌广场6楼）</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拟采用的定标方法</w:t>
      </w:r>
      <w:r>
        <w:rPr>
          <w:rFonts w:hint="eastAsia" w:ascii="宋体" w:hAnsi="宋体" w:eastAsia="宋体" w:cs="宋体"/>
          <w:sz w:val="24"/>
          <w:szCs w:val="24"/>
          <w:highlight w:val="none"/>
        </w:rPr>
        <w:t>：次低价法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按投标报价由低到高对投标人进行排序，并依次进行资格审查，若满足资格条件的投标人达到三家，则投标报价第二低价者为中标候选人；如经招标人审查后合格投标人仅剩两家，则投标报价低者为中标候选人；如合格投标人仅剩1家则进行重新招标。如出现两名及以上投标人报价完全相同且影响中标结果的情形，则采用抽签方式确定1名中标候选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具体抽签方式为：（1）抽签原则：大号中标。（2）抽签顺序为投标人代表签到顺序。（3）如对抽签会程序及结果存在异议的，需在抽签会结束前当场向招标人提出，接受口头异议投诉方式。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w:t>
      </w:r>
      <w:r>
        <w:rPr>
          <w:rFonts w:hint="eastAsia" w:ascii="宋体" w:hAnsi="宋体" w:eastAsia="宋体" w:cs="宋体"/>
          <w:b/>
          <w:color w:val="000000" w:themeColor="text1"/>
          <w:sz w:val="24"/>
          <w:szCs w:val="24"/>
          <w:highlight w:val="none"/>
          <w14:textFill>
            <w14:solidFill>
              <w14:schemeClr w14:val="tx1"/>
            </w14:solidFill>
          </w14:textFill>
        </w:rPr>
        <w:t>标上限价：</w:t>
      </w:r>
      <w:r>
        <w:rPr>
          <w:rFonts w:hint="eastAsia" w:ascii="宋体" w:hAnsi="宋体" w:eastAsia="宋体" w:cs="宋体"/>
          <w:sz w:val="24"/>
          <w:szCs w:val="24"/>
          <w:highlight w:val="none"/>
          <w:u w:val="none"/>
        </w:rPr>
        <w:t xml:space="preserve">¥ </w:t>
      </w:r>
      <w:r>
        <w:rPr>
          <w:rFonts w:hint="eastAsia" w:ascii="宋体" w:hAnsi="宋体" w:eastAsia="宋体" w:cs="宋体"/>
          <w:color w:val="auto"/>
          <w:sz w:val="24"/>
          <w:szCs w:val="24"/>
          <w:highlight w:val="none"/>
          <w:u w:val="none"/>
          <w:lang w:val="en-US" w:eastAsia="zh-CN"/>
        </w:rPr>
        <w:t>50000.00</w:t>
      </w:r>
      <w:r>
        <w:rPr>
          <w:rFonts w:hint="eastAsia" w:ascii="宋体" w:hAnsi="宋体" w:eastAsia="宋体" w:cs="宋体"/>
          <w:sz w:val="24"/>
          <w:szCs w:val="24"/>
          <w:highlight w:val="none"/>
          <w:u w:val="none"/>
        </w:rPr>
        <w:t xml:space="preserve"> </w:t>
      </w:r>
      <w:r>
        <w:rPr>
          <w:rFonts w:hint="eastAsia" w:ascii="宋体" w:hAnsi="宋体" w:eastAsia="宋体" w:cs="宋体"/>
          <w:bCs/>
          <w:color w:val="000000" w:themeColor="text1"/>
          <w:sz w:val="24"/>
          <w:szCs w:val="24"/>
          <w:highlight w:val="none"/>
          <w:u w:val="none"/>
          <w14:textFill>
            <w14:solidFill>
              <w14:schemeClr w14:val="tx1"/>
            </w14:solidFill>
          </w14:textFill>
        </w:rPr>
        <w:t>元</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b/>
          <w:sz w:val="24"/>
          <w:szCs w:val="24"/>
          <w:highlight w:val="none"/>
        </w:rPr>
        <w:t>计价原则：</w:t>
      </w:r>
      <w:r>
        <w:rPr>
          <w:rFonts w:hint="eastAsia" w:ascii="宋体" w:hAnsi="宋体" w:eastAsia="宋体" w:cs="宋体"/>
          <w:sz w:val="24"/>
          <w:szCs w:val="24"/>
          <w:highlight w:val="none"/>
          <w:u w:val="none"/>
        </w:rPr>
        <w:t>总价包干</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计价依据：</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1、《绿色建筑评价标准》（GB/T50378-2019）；</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2、绿色建筑预评价自评估报告；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3、《深圳经济特区绿色建筑条例》（2022年7月1日起施行）；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4、《深圳市住房和建设局关于明确〈深圳经济特区绿色建筑条例〉执行有关事项的通知》（2022年6月28日）。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付款方式：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1、本合同不设预付款；</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2、乙方向甲方提交本项目的绿色建筑等级符合性评价报告，提交绿色建筑等级符合性评价报告并完成本合同约定的所有工作内容后，按基本酬金的90%向甲方申请付款，余款经结算</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完毕后一次性支付；</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3、合同价由基本酬金（占90%）和绩效酬金（占10%）两部分组成，绩效酬金根据履约评价结果支付；</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绩效酬金的计算：甲方按照《市建筑工务署合同履约评价管理办法》及《绿色建筑等级符合性评估服务履约评价细则》对乙方履约情况进行评价，履约评价结果分优秀、良好、中等、合格、不合格五档，对应的绩效检测费支付比例分别为100%、100%、70%、50%、0%。</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4、本工程采用小型工程简易招标形式（服务类），最终结算金额小于100万元，最终结算价以《深圳市财政预算和投资评审中心评审报告》的评审结果为准。</w:t>
      </w:r>
    </w:p>
    <w:p>
      <w:pPr>
        <w:pStyle w:val="5"/>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投标人资质要求：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1、投标人须为中华人民共和国境内注册的独立法人或其他组织</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具有中国合格评定国家认可委员</w:t>
      </w:r>
      <w:r>
        <w:rPr>
          <w:rFonts w:hint="eastAsia" w:ascii="宋体" w:hAnsi="宋体" w:eastAsia="宋体" w:cs="宋体"/>
          <w:sz w:val="24"/>
          <w:szCs w:val="24"/>
          <w:highlight w:val="none"/>
        </w:rPr>
        <w:t>会（CNAS）等认</w:t>
      </w:r>
      <w:r>
        <w:rPr>
          <w:rFonts w:hint="eastAsia" w:ascii="宋体" w:hAnsi="宋体" w:eastAsia="宋体" w:cs="宋体"/>
          <w:sz w:val="24"/>
          <w:szCs w:val="24"/>
          <w:highlight w:val="none"/>
        </w:rPr>
        <w:t>可机构认可，</w:t>
      </w:r>
      <w:r>
        <w:rPr>
          <w:rFonts w:hint="eastAsia" w:ascii="宋体" w:hAnsi="宋体" w:eastAsia="宋体" w:cs="宋体"/>
          <w:sz w:val="24"/>
          <w:szCs w:val="24"/>
          <w:highlight w:val="none"/>
          <w:lang w:val="en-US" w:eastAsia="zh-CN"/>
        </w:rPr>
        <w:t>且</w:t>
      </w:r>
      <w:r>
        <w:rPr>
          <w:rFonts w:hint="eastAsia" w:ascii="宋体" w:hAnsi="宋体" w:eastAsia="宋体" w:cs="宋体"/>
          <w:sz w:val="24"/>
          <w:szCs w:val="24"/>
          <w:highlight w:val="none"/>
        </w:rPr>
        <w:t>具备绿色建筑等级符合性评估能力并拥有证书的单位。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、本次招标不接受联合体投标。</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投标资料组成：</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1、投标报价书（按招标人提供的附件一表格，签名加盖公章）；</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2、营业执照（复印件加盖公章）；</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eastAsia="zh-CN"/>
        </w:rPr>
        <w:t>中国合格评定国家认可委员会（CNAS）相关认定资料；</w:t>
      </w:r>
      <w:r>
        <w:rPr>
          <w:rFonts w:hint="eastAsia" w:ascii="宋体" w:hAnsi="宋体" w:eastAsia="宋体" w:cs="宋体"/>
          <w:sz w:val="24"/>
          <w:szCs w:val="24"/>
          <w:highlight w:val="none"/>
          <w:lang w:eastAsia="zh-CN"/>
        </w:rPr>
        <w:t>（复印件加盖公章）</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法定代表人证明书及法定代表人授权委托书（原件，按招标人提供的附</w:t>
      </w:r>
      <w:r>
        <w:rPr>
          <w:rFonts w:hint="eastAsia" w:ascii="宋体" w:hAnsi="宋体" w:eastAsia="宋体" w:cs="宋体"/>
          <w:sz w:val="24"/>
          <w:szCs w:val="24"/>
          <w:highlight w:val="none"/>
          <w:lang w:val="en-US" w:eastAsia="zh-CN"/>
        </w:rPr>
        <w:t>件二</w:t>
      </w:r>
      <w:r>
        <w:rPr>
          <w:rFonts w:hint="eastAsia" w:ascii="宋体" w:hAnsi="宋体" w:eastAsia="宋体" w:cs="宋体"/>
          <w:sz w:val="24"/>
          <w:szCs w:val="24"/>
          <w:highlight w:val="none"/>
          <w:lang w:eastAsia="zh-CN"/>
        </w:rPr>
        <w:t>，签名加盖公章），法定代表人和法定代表人授权委托人身份证复印件（加盖公章）。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5、本项目拟派人员一览表及简历表（格式自拟，加盖公章）。</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其他说明：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本次</w:t>
      </w:r>
      <w:r>
        <w:rPr>
          <w:rFonts w:hint="eastAsia" w:ascii="宋体" w:hAnsi="宋体" w:eastAsia="宋体" w:cs="宋体"/>
          <w:sz w:val="24"/>
          <w:szCs w:val="24"/>
          <w:highlight w:val="none"/>
          <w:lang w:val="en-US" w:eastAsia="zh-CN"/>
        </w:rPr>
        <w:t>投</w:t>
      </w:r>
      <w:r>
        <w:rPr>
          <w:rFonts w:hint="eastAsia" w:ascii="宋体" w:hAnsi="宋体" w:eastAsia="宋体" w:cs="宋体"/>
          <w:sz w:val="24"/>
          <w:szCs w:val="24"/>
          <w:highlight w:val="none"/>
          <w:lang w:eastAsia="zh-CN"/>
        </w:rPr>
        <w:t>标书一式</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lang w:eastAsia="zh-CN"/>
        </w:rPr>
        <w:t>份，采用A4</w:t>
      </w:r>
      <w:r>
        <w:rPr>
          <w:rFonts w:hint="eastAsia" w:ascii="宋体" w:hAnsi="宋体" w:eastAsia="宋体" w:cs="宋体"/>
          <w:sz w:val="24"/>
          <w:szCs w:val="24"/>
          <w:highlight w:val="none"/>
          <w:lang w:val="en-US" w:eastAsia="zh-CN"/>
        </w:rPr>
        <w:t>纸张</w:t>
      </w:r>
      <w:r>
        <w:rPr>
          <w:rFonts w:hint="eastAsia" w:ascii="宋体" w:hAnsi="宋体" w:eastAsia="宋体" w:cs="宋体"/>
          <w:sz w:val="24"/>
          <w:szCs w:val="24"/>
          <w:highlight w:val="none"/>
          <w:lang w:eastAsia="zh-CN"/>
        </w:rPr>
        <w:t>双面打印，装订成册，密封包装。</w:t>
      </w:r>
      <w:r>
        <w:rPr>
          <w:rFonts w:hint="eastAsia" w:ascii="宋体" w:hAnsi="宋体" w:eastAsia="宋体" w:cs="宋体"/>
          <w:sz w:val="24"/>
          <w:szCs w:val="24"/>
          <w:highlight w:val="none"/>
        </w:rPr>
        <w:t>封面上应清楚地标记“正本”或“副本”的字样。当正本、副本不一致时，以正本为准。</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投标人根据工作内容和要求自行报价，</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不得超过</w:t>
      </w:r>
      <w:r>
        <w:rPr>
          <w:rFonts w:hint="eastAsia" w:ascii="宋体" w:hAnsi="宋体" w:eastAsia="宋体" w:cs="宋体"/>
          <w:sz w:val="24"/>
          <w:szCs w:val="24"/>
          <w:highlight w:val="none"/>
          <w:lang w:val="en-US" w:eastAsia="zh-CN"/>
        </w:rPr>
        <w:t>投</w:t>
      </w:r>
      <w:r>
        <w:rPr>
          <w:rFonts w:hint="eastAsia" w:ascii="宋体" w:hAnsi="宋体" w:eastAsia="宋体" w:cs="宋体"/>
          <w:sz w:val="24"/>
          <w:szCs w:val="24"/>
          <w:highlight w:val="none"/>
          <w:lang w:eastAsia="zh-CN"/>
        </w:rPr>
        <w:t>标</w:t>
      </w:r>
      <w:r>
        <w:rPr>
          <w:rFonts w:hint="eastAsia" w:ascii="宋体" w:hAnsi="宋体" w:eastAsia="宋体" w:cs="宋体"/>
          <w:sz w:val="24"/>
          <w:szCs w:val="24"/>
          <w:highlight w:val="none"/>
        </w:rPr>
        <w:t>上限</w:t>
      </w:r>
      <w:r>
        <w:rPr>
          <w:rFonts w:hint="eastAsia" w:ascii="宋体" w:hAnsi="宋体" w:eastAsia="宋体" w:cs="宋体"/>
          <w:sz w:val="24"/>
          <w:szCs w:val="24"/>
          <w:highlight w:val="none"/>
          <w:lang w:eastAsia="zh-CN"/>
        </w:rPr>
        <w:t>价，</w:t>
      </w:r>
      <w:r>
        <w:rPr>
          <w:rFonts w:hint="eastAsia" w:ascii="宋体" w:hAnsi="宋体" w:eastAsia="宋体" w:cs="宋体"/>
          <w:sz w:val="24"/>
          <w:szCs w:val="24"/>
          <w:highlight w:val="none"/>
          <w:lang w:val="en-US" w:eastAsia="zh-CN"/>
        </w:rPr>
        <w:t>否则</w:t>
      </w:r>
      <w:r>
        <w:rPr>
          <w:rFonts w:hint="eastAsia" w:ascii="宋体" w:hAnsi="宋体" w:eastAsia="宋体" w:cs="宋体"/>
          <w:sz w:val="24"/>
          <w:szCs w:val="24"/>
          <w:highlight w:val="none"/>
          <w:lang w:eastAsia="zh-CN"/>
        </w:rPr>
        <w:t>投标文件将不予受理。</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投标人需于公告指定的时间前至指定地点现场提交投标文件，并提交法人证明和法人授权委托书，</w:t>
      </w:r>
      <w:r>
        <w:rPr>
          <w:rFonts w:hint="eastAsia" w:ascii="宋体" w:hAnsi="宋体" w:eastAsia="宋体" w:cs="宋体"/>
          <w:bCs/>
          <w:color w:val="auto"/>
          <w:kern w:val="0"/>
          <w:highlight w:val="none"/>
          <w:lang w:eastAsia="zh-CN"/>
        </w:rPr>
        <w:t>否则投标文件不予受理</w:t>
      </w:r>
      <w:r>
        <w:rPr>
          <w:rFonts w:hint="eastAsia" w:ascii="宋体" w:hAnsi="宋体" w:eastAsia="宋体" w:cs="宋体"/>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未在规定时间及地点递交投标文件的投标人，投标将被拒绝。</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、投标人资质不满足要求的，投标文件不予受理。</w:t>
      </w:r>
    </w:p>
    <w:p>
      <w:pPr>
        <w:pStyle w:val="8"/>
        <w:keepNext w:val="0"/>
        <w:keepLines w:val="0"/>
        <w:pageBreakBefore w:val="0"/>
        <w:kinsoku/>
        <w:wordWrap/>
        <w:overflowPunct/>
        <w:autoSpaceDE/>
        <w:autoSpaceDN/>
        <w:bidi w:val="0"/>
        <w:adjustRightInd w:val="0"/>
        <w:snapToGrid w:val="0"/>
        <w:spacing w:line="600" w:lineRule="exact"/>
        <w:rPr>
          <w:rFonts w:hint="eastAsia" w:ascii="仿宋" w:hAnsi="仿宋" w:eastAsia="宋体"/>
          <w:b/>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right"/>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深圳市建筑工务署工程管理中心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2024年10月14日</w:t>
      </w:r>
      <w:r>
        <w:rPr>
          <w:rFonts w:hint="eastAsia" w:ascii="宋体" w:hAnsi="宋体" w:eastAsia="宋体" w:cs="宋体"/>
          <w:sz w:val="24"/>
          <w:szCs w:val="24"/>
          <w:highlight w:val="none"/>
          <w:lang w:val="en-US" w:eastAsia="zh-CN"/>
        </w:rPr>
        <w:t xml:space="preserve">         </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topLinePunct w:val="0"/>
        <w:autoSpaceDE/>
        <w:autoSpaceDN/>
        <w:bidi w:val="0"/>
        <w:spacing w:line="560" w:lineRule="exac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附件一：投标报价书</w:t>
      </w:r>
    </w:p>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投标报价书</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1"/>
        <w:gridCol w:w="4098"/>
        <w:gridCol w:w="2060"/>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pct"/>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编号</w:t>
            </w:r>
          </w:p>
        </w:tc>
        <w:tc>
          <w:tcPr>
            <w:tcW w:w="2290" w:type="pct"/>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工程名称</w:t>
            </w:r>
          </w:p>
        </w:tc>
        <w:tc>
          <w:tcPr>
            <w:tcW w:w="1151" w:type="pct"/>
            <w:tcBorders>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上限价（元）</w:t>
            </w:r>
          </w:p>
        </w:tc>
        <w:tc>
          <w:tcPr>
            <w:tcW w:w="1049" w:type="pct"/>
            <w:tcBorders>
              <w:lef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509" w:type="pct"/>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90" w:type="pct"/>
            <w:vAlign w:val="center"/>
          </w:tcPr>
          <w:p>
            <w:pPr>
              <w:pStyle w:val="3"/>
              <w:keepNext w:val="0"/>
              <w:keepLines w:val="0"/>
              <w:pageBreakBefore w:val="0"/>
              <w:kinsoku/>
              <w:wordWrap/>
              <w:overflowPunct/>
              <w:topLinePunct w:val="0"/>
              <w:autoSpaceDE/>
              <w:autoSpaceDN/>
              <w:bidi w:val="0"/>
              <w:spacing w:line="56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深圳市龙华区人民检察院办案及专业技术用房建设工程项目绿色建筑等级符合性评估服务</w:t>
            </w:r>
          </w:p>
        </w:tc>
        <w:tc>
          <w:tcPr>
            <w:tcW w:w="1151" w:type="pct"/>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 w:val="24"/>
                <w:szCs w:val="24"/>
                <w:highlight w:val="none"/>
                <w:lang w:val="en-US"/>
              </w:rPr>
            </w:pPr>
            <w:r>
              <w:rPr>
                <w:rFonts w:hint="eastAsia" w:ascii="宋体" w:hAnsi="宋体" w:eastAsia="宋体" w:cs="宋体"/>
                <w:color w:val="auto"/>
                <w:sz w:val="24"/>
                <w:szCs w:val="24"/>
                <w:highlight w:val="none"/>
                <w:u w:val="none"/>
                <w:lang w:val="en-US" w:eastAsia="zh-CN"/>
              </w:rPr>
              <w:t>50000.00</w:t>
            </w:r>
          </w:p>
        </w:tc>
        <w:tc>
          <w:tcPr>
            <w:tcW w:w="1049" w:type="pct"/>
            <w:tcBorders>
              <w:lef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firstLine="480" w:firstLineChars="200"/>
              <w:jc w:val="center"/>
              <w:textAlignment w:val="center"/>
              <w:rPr>
                <w:rFonts w:hint="eastAsia" w:ascii="宋体" w:hAnsi="宋体" w:eastAsia="宋体" w:cs="宋体"/>
                <w:color w:val="000000"/>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4"/>
          </w:tcPr>
          <w:p>
            <w:pPr>
              <w:keepNext w:val="0"/>
              <w:keepLines w:val="0"/>
              <w:pageBreakBefore w:val="0"/>
              <w:kinsoku/>
              <w:wordWrap/>
              <w:overflowPunct/>
              <w:topLinePunct w:val="0"/>
              <w:autoSpaceDE/>
              <w:autoSpaceDN/>
              <w:bidi w:val="0"/>
              <w:adjustRightInd w:val="0"/>
              <w:snapToGrid w:val="0"/>
              <w:spacing w:line="5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本次服务具体要求：</w:t>
            </w:r>
          </w:p>
          <w:p>
            <w:pPr>
              <w:pStyle w:val="8"/>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工期要求：</w:t>
            </w:r>
          </w:p>
          <w:p>
            <w:pPr>
              <w:pStyle w:val="5"/>
              <w:keepNext w:val="0"/>
              <w:keepLines w:val="0"/>
              <w:pageBreakBefore w:val="0"/>
              <w:kinsoku/>
              <w:wordWrap/>
              <w:overflowPunct/>
              <w:topLinePunct w:val="0"/>
              <w:autoSpaceDE/>
              <w:autoSpaceDN/>
              <w:bidi w:val="0"/>
              <w:spacing w:line="560" w:lineRule="exact"/>
              <w:ind w:left="0" w:firstLine="480" w:firstLineChars="200"/>
              <w:jc w:val="both"/>
              <w:rPr>
                <w:rFonts w:hint="eastAsia" w:ascii="宋体" w:hAnsi="宋体" w:eastAsia="宋体" w:cs="宋体"/>
                <w:b w:val="0"/>
                <w:bCs w:val="0"/>
                <w:smallCaps w:val="0"/>
                <w:sz w:val="24"/>
                <w:szCs w:val="24"/>
                <w:highlight w:val="none"/>
              </w:rPr>
            </w:pPr>
            <w:r>
              <w:rPr>
                <w:rFonts w:hint="eastAsia" w:ascii="宋体" w:hAnsi="宋体" w:eastAsia="宋体" w:cs="宋体"/>
                <w:b w:val="0"/>
                <w:bCs w:val="0"/>
                <w:smallCaps w:val="0"/>
                <w:sz w:val="24"/>
                <w:szCs w:val="24"/>
                <w:highlight w:val="none"/>
              </w:rPr>
              <w:t>（1）服务周期：中标人服务期限为自中标通知书发出之日起至出具本项目绿色建筑等级符合性评估报告并提交至相关部门。</w:t>
            </w:r>
          </w:p>
          <w:p>
            <w:pPr>
              <w:pStyle w:val="5"/>
              <w:keepNext w:val="0"/>
              <w:keepLines w:val="0"/>
              <w:pageBreakBefore w:val="0"/>
              <w:kinsoku/>
              <w:wordWrap/>
              <w:overflowPunct/>
              <w:topLinePunct w:val="0"/>
              <w:autoSpaceDE/>
              <w:autoSpaceDN/>
              <w:bidi w:val="0"/>
              <w:spacing w:line="560" w:lineRule="exact"/>
              <w:ind w:left="0" w:firstLine="480" w:firstLineChars="200"/>
              <w:jc w:val="both"/>
              <w:rPr>
                <w:rFonts w:hint="eastAsia" w:ascii="宋体" w:hAnsi="宋体" w:eastAsia="宋体" w:cs="宋体"/>
                <w:b w:val="0"/>
                <w:bCs w:val="0"/>
                <w:smallCaps w:val="0"/>
                <w:sz w:val="24"/>
                <w:szCs w:val="24"/>
                <w:highlight w:val="none"/>
              </w:rPr>
            </w:pPr>
            <w:r>
              <w:rPr>
                <w:rFonts w:hint="eastAsia" w:ascii="宋体" w:hAnsi="宋体" w:eastAsia="宋体" w:cs="宋体"/>
                <w:b w:val="0"/>
                <w:bCs w:val="0"/>
                <w:smallCaps w:val="0"/>
                <w:sz w:val="24"/>
                <w:szCs w:val="24"/>
                <w:highlight w:val="none"/>
              </w:rPr>
              <w:t>（2）完成时间：现场具备条件（以甲方书面通知为准）后5个工作日完成外业调查，15个日历天内向甲方提供完成初步成果，30个日历天内向甲方提供最终成果并提交至相关部门。</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2、工作内容及要求：</w:t>
            </w:r>
          </w:p>
          <w:p>
            <w:pPr>
              <w:keepNext w:val="0"/>
              <w:keepLines w:val="0"/>
              <w:pageBreakBefore w:val="0"/>
              <w:kinsoku/>
              <w:wordWrap/>
              <w:overflowPunct/>
              <w:topLinePunct w:val="0"/>
              <w:autoSpaceDE/>
              <w:autoSpaceDN/>
              <w:bidi w:val="0"/>
              <w:adjustRightInd w:val="0"/>
              <w:snapToGrid w:val="0"/>
              <w:spacing w:line="56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完成本项目绿色建筑等级符合性评价服务，包括但不限于以下工作内容：</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（1）资料形式审查，根据委托方提供的检验评估资料，对资料完整性进行形式审查，并将形式审查发现的问题反馈委托方，确保提供评估资料的完整性；</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（2）资料专业审查，在资料通过形式审查后，按照规划、建筑、结构、给水排水、暖通空调、电气、智能化、景观等专业，安排专业技术人员对资料的内容进行专业审查，出具专业审查意见；</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现场检查，在资料通过专业审查后，安排检查小组，对项目绿色建筑技术落地情况，开展现场核查，并出具现场检验意见通知。如现场检查发现问题，需通知建设单位进行现场整改，并根据建设单位整改情况，再次安排现场检查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（4）必要的现场抽检，根据项目情况，有必要时，对绿色建筑工程项目的必要参数进行抽检，了解项目实施的实际情况；</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（5）符合性评估，根据现场资料专业审查与现场检查结果，出具符合性评估结论。对于无法达到预期绿色建筑等级的项目，将相关问题反馈建设单位进行整改处理，直至通过绿色建筑等级符合性评估；</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（6）根据符合性评估结果，出具《绿色建筑等级符合性评估报告》；其他与该项目绿色建筑等级评估相关的服务工作。</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3、质量要求：符合相关行业技术规范主管部门要求。</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4、服务要求：协助甲方办理手续，确保不因成果质量问题影响竣工验收。如遇政策发生改变，负责修改。</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lang w:val="en-US" w:eastAsia="zh-CN"/>
              </w:rPr>
              <w:t>合同价款</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lang w:eastAsia="zh-CN"/>
              </w:rPr>
              <w:t>（1）投标人的中标价即合同价，合同价为含税价，</w:t>
            </w:r>
            <w:r>
              <w:rPr>
                <w:rFonts w:hint="eastAsia" w:ascii="宋体" w:hAnsi="宋体" w:eastAsia="宋体" w:cs="宋体"/>
                <w:b/>
                <w:sz w:val="24"/>
                <w:szCs w:val="24"/>
                <w:highlight w:val="none"/>
                <w:u w:val="single"/>
                <w:lang w:eastAsia="zh-CN"/>
              </w:rPr>
              <w:t>合同价总价包干，不因任何因素调整。</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（2）在合同执行期间国家和(或)本市颁布的法律、法规、法令、规章、条例、相关验收标准发生变更而产生的费用增加的风险，合同价款不会因此而调整。</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（3）合同价包括但不限于报告编制费用（包括5套纸质版成果文件以及3套电子版光盘）以及乙方为完成本项目服务所必需的差旅费、税费、会务费、调查费、产生的所有费用。</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（4）本工程采用小型工程简易招标形式（服务类），最终结算金额小于100万元。最终结算价以《深圳市财政预算和投资评审中心评审报告》的评审结果为准，请投标人合理报价。</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color w:val="auto"/>
                <w:sz w:val="24"/>
                <w:szCs w:val="24"/>
                <w:highlight w:val="none"/>
                <w:lang w:eastAsia="zh-CN"/>
              </w:rPr>
              <w:t>违约责任：</w:t>
            </w:r>
            <w:r>
              <w:rPr>
                <w:rFonts w:hint="eastAsia" w:ascii="宋体" w:hAnsi="宋体" w:eastAsia="宋体" w:cs="宋体"/>
                <w:color w:val="auto"/>
                <w:sz w:val="24"/>
                <w:szCs w:val="24"/>
                <w:highlight w:val="none"/>
                <w:lang w:val="en-US" w:eastAsia="zh-CN"/>
              </w:rPr>
              <w:t>因乙方原因，乙方</w:t>
            </w:r>
            <w:r>
              <w:rPr>
                <w:rFonts w:hint="eastAsia" w:ascii="宋体" w:hAnsi="宋体" w:eastAsia="宋体" w:cs="宋体"/>
                <w:color w:val="auto"/>
                <w:sz w:val="24"/>
                <w:szCs w:val="24"/>
                <w:highlight w:val="none"/>
                <w:lang w:eastAsia="zh-CN"/>
              </w:rPr>
              <w:t>未按合同约定提交报告成果文件的，按拖期具体日历天数处违约金</w:t>
            </w:r>
            <w:r>
              <w:rPr>
                <w:rFonts w:hint="eastAsia" w:ascii="宋体" w:hAnsi="宋体" w:eastAsia="宋体" w:cs="宋体"/>
                <w:sz w:val="24"/>
                <w:szCs w:val="24"/>
                <w:highlight w:val="none"/>
                <w:lang w:val="en-US" w:eastAsia="zh-CN"/>
              </w:rPr>
              <w:t>100</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eastAsia="zh-CN"/>
              </w:rPr>
              <w:t>/日历天，总违约金最多不超过合同价的5%</w:t>
            </w:r>
            <w:r>
              <w:rPr>
                <w:rFonts w:hint="eastAsia" w:ascii="宋体" w:hAnsi="宋体" w:eastAsia="宋体" w:cs="宋体"/>
                <w:color w:val="auto"/>
                <w:sz w:val="24"/>
                <w:szCs w:val="24"/>
                <w:highlight w:val="none"/>
                <w:shd w:val="clear" w:color="auto" w:fill="FFFFFF"/>
                <w:lang w:eastAsia="zh-CN"/>
              </w:rPr>
              <w:t>。</w:t>
            </w:r>
          </w:p>
        </w:tc>
      </w:tr>
    </w:tbl>
    <w:p>
      <w:pPr>
        <w:keepNext w:val="0"/>
        <w:keepLines w:val="0"/>
        <w:pageBreakBefore w:val="0"/>
        <w:kinsoku/>
        <w:wordWrap/>
        <w:overflowPunct/>
        <w:topLinePunct w:val="0"/>
        <w:autoSpaceDE/>
        <w:autoSpaceDN/>
        <w:bidi w:val="0"/>
        <w:spacing w:line="560" w:lineRule="exact"/>
        <w:ind w:firstLine="560" w:firstLineChars="200"/>
        <w:rPr>
          <w:rFonts w:hint="eastAsia" w:ascii="宋体" w:hAnsi="宋体" w:eastAsia="宋体" w:cs="宋体"/>
          <w:sz w:val="28"/>
          <w:szCs w:val="28"/>
          <w:highlight w:val="none"/>
        </w:rPr>
      </w:pPr>
    </w:p>
    <w:p>
      <w:pPr>
        <w:keepNext w:val="0"/>
        <w:keepLines w:val="0"/>
        <w:pageBreakBefore w:val="0"/>
        <w:kinsoku/>
        <w:wordWrap/>
        <w:overflowPunct/>
        <w:topLinePunct w:val="0"/>
        <w:autoSpaceDE/>
        <w:autoSpaceDN/>
        <w:bidi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投标人法定代表签名：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投标单位（署名并盖章）：</w:t>
      </w:r>
    </w:p>
    <w:p>
      <w:pPr>
        <w:keepNext w:val="0"/>
        <w:keepLines w:val="0"/>
        <w:pageBreakBefore w:val="0"/>
        <w:kinsoku/>
        <w:wordWrap/>
        <w:overflowPunct/>
        <w:autoSpaceDE/>
        <w:autoSpaceDN/>
        <w:bidi w:val="0"/>
        <w:spacing w:line="600" w:lineRule="exact"/>
        <w:ind w:right="560" w:firstLine="480" w:firstLineChars="200"/>
        <w:rPr>
          <w:rFonts w:hint="eastAsia" w:ascii="宋体" w:hAnsi="宋体" w:eastAsia="宋体" w:cs="宋体"/>
          <w:sz w:val="24"/>
          <w:szCs w:val="24"/>
          <w:highlight w:val="none"/>
        </w:rPr>
      </w:pPr>
    </w:p>
    <w:p>
      <w:pPr>
        <w:keepNext w:val="0"/>
        <w:keepLines w:val="0"/>
        <w:pageBreakBefore w:val="0"/>
        <w:kinsoku/>
        <w:wordWrap/>
        <w:overflowPunct/>
        <w:autoSpaceDE/>
        <w:autoSpaceDN/>
        <w:bidi w:val="0"/>
        <w:spacing w:line="600" w:lineRule="exact"/>
        <w:ind w:right="560"/>
        <w:rPr>
          <w:rFonts w:ascii="仿宋" w:hAnsi="仿宋" w:eastAsia="仿宋" w:cs="仿宋"/>
          <w:sz w:val="24"/>
          <w:szCs w:val="24"/>
          <w:highlight w:val="none"/>
        </w:rPr>
      </w:pPr>
      <w:r>
        <w:rPr>
          <w:rFonts w:hint="eastAsia" w:ascii="宋体" w:hAnsi="宋体" w:eastAsia="宋体" w:cs="宋体"/>
          <w:sz w:val="24"/>
          <w:szCs w:val="24"/>
          <w:highlight w:val="none"/>
        </w:rPr>
        <w:t>日期：</w:t>
      </w:r>
      <w:bookmarkStart w:id="0" w:name="Bookmark34"/>
      <w:bookmarkEnd w:id="0"/>
      <w:bookmarkStart w:id="1" w:name="Bookmark44"/>
      <w:bookmarkEnd w:id="1"/>
      <w:bookmarkStart w:id="2" w:name="Bookmark36"/>
      <w:bookmarkEnd w:id="2"/>
      <w:bookmarkStart w:id="3" w:name="Bookmark40"/>
      <w:bookmarkEnd w:id="3"/>
      <w:bookmarkStart w:id="4" w:name="Bookmark35"/>
      <w:bookmarkEnd w:id="4"/>
      <w:bookmarkStart w:id="5" w:name="Bookmark37"/>
      <w:bookmarkEnd w:id="5"/>
      <w:bookmarkStart w:id="6" w:name="Bookmark39"/>
      <w:bookmarkEnd w:id="6"/>
      <w:bookmarkStart w:id="7" w:name="Bookmark38"/>
      <w:bookmarkEnd w:id="7"/>
    </w:p>
    <w:p>
      <w:pPr>
        <w:keepNext w:val="0"/>
        <w:keepLines w:val="0"/>
        <w:pageBreakBefore w:val="0"/>
        <w:kinsoku/>
        <w:wordWrap/>
        <w:overflowPunct/>
        <w:autoSpaceDE/>
        <w:autoSpaceDN/>
        <w:bidi w:val="0"/>
        <w:spacing w:line="600" w:lineRule="exact"/>
        <w:ind w:firstLine="723" w:firstLineChars="200"/>
        <w:rPr>
          <w:rFonts w:ascii="仿宋" w:hAnsi="仿宋" w:eastAsia="仿宋" w:cs="仿宋"/>
          <w:highlight w:val="none"/>
        </w:rPr>
      </w:pPr>
      <w:r>
        <w:rPr>
          <w:rFonts w:hint="eastAsia" w:ascii="仿宋" w:hAnsi="仿宋" w:eastAsia="仿宋" w:cs="仿宋"/>
          <w:b/>
          <w:sz w:val="36"/>
          <w:highlight w:val="none"/>
        </w:rPr>
        <w:br w:type="page"/>
      </w:r>
    </w:p>
    <w:p>
      <w:pPr>
        <w:bidi w:val="0"/>
        <w:rPr>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val="en-US" w:eastAsia="zh-CN"/>
        </w:rPr>
        <w:t>件二</w:t>
      </w:r>
    </w:p>
    <w:p>
      <w:pPr>
        <w:keepNext/>
        <w:keepLines/>
        <w:spacing w:before="360" w:after="156" w:afterLines="50" w:line="288" w:lineRule="auto"/>
        <w:jc w:val="center"/>
        <w:outlineLvl w:val="1"/>
        <w:rPr>
          <w:rFonts w:eastAsia="黑体"/>
          <w:b/>
          <w:bCs/>
          <w:smallCaps/>
          <w:sz w:val="30"/>
          <w:szCs w:val="32"/>
          <w:highlight w:val="none"/>
        </w:rPr>
      </w:pPr>
      <w:r>
        <w:rPr>
          <w:rFonts w:eastAsia="黑体"/>
          <w:b/>
          <w:bCs/>
          <w:smallCaps/>
          <w:sz w:val="30"/>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3"/>
        <w:rPr>
          <w:rFonts w:hint="eastAsia"/>
          <w:highlight w:val="none"/>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6"/>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9"/>
        <w:gridCol w:w="4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969" w:type="dxa"/>
            <w:noWrap w:val="0"/>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783" w:type="dxa"/>
            <w:noWrap w:val="0"/>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footerReference r:id="rId3" w:type="default"/>
          <w:pgSz w:w="11906" w:h="16838"/>
          <w:pgMar w:top="1304" w:right="1587" w:bottom="1304" w:left="1587" w:header="851" w:footer="992" w:gutter="0"/>
          <w:pgNumType w:fmt="decimal"/>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8" w:name="_Toc21802"/>
      <w:r>
        <w:rPr>
          <w:rFonts w:eastAsia="黑体"/>
          <w:b/>
          <w:bCs/>
          <w:smallCaps/>
          <w:sz w:val="30"/>
          <w:szCs w:val="32"/>
          <w:highlight w:val="none"/>
        </w:rPr>
        <w:t>法定代表人授权委托书</w:t>
      </w:r>
      <w:bookmarkEnd w:id="8"/>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rPr>
        <w:t>（工程名称）</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6"/>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4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3" w:type="dxa"/>
            <w:noWrap w:val="0"/>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767" w:type="dxa"/>
            <w:noWrap w:val="0"/>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keepNext w:val="0"/>
        <w:keepLines w:val="0"/>
        <w:pageBreakBefore w:val="0"/>
        <w:kinsoku/>
        <w:wordWrap/>
        <w:overflowPunct/>
        <w:autoSpaceDE/>
        <w:autoSpaceDN/>
        <w:bidi w:val="0"/>
        <w:spacing w:line="600" w:lineRule="exact"/>
        <w:rPr>
          <w:rFonts w:ascii="仿宋" w:hAnsi="仿宋" w:eastAsia="仿宋" w:cs="仿宋"/>
          <w:b/>
          <w:bCs/>
          <w:sz w:val="44"/>
          <w:szCs w:val="44"/>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CB58E"/>
    <w:multiLevelType w:val="singleLevel"/>
    <w:tmpl w:val="FF0CB5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Yzc3ODg1NGRjZTIxYWRiZWY0MDg5ZWE0MmU2YjgifQ=="/>
  </w:docVars>
  <w:rsids>
    <w:rsidRoot w:val="68574FE8"/>
    <w:rsid w:val="001A3CE4"/>
    <w:rsid w:val="00270717"/>
    <w:rsid w:val="00327F15"/>
    <w:rsid w:val="00756CEB"/>
    <w:rsid w:val="00842389"/>
    <w:rsid w:val="008C68F8"/>
    <w:rsid w:val="008F4190"/>
    <w:rsid w:val="050733AD"/>
    <w:rsid w:val="057A0702"/>
    <w:rsid w:val="163B0CF8"/>
    <w:rsid w:val="29EF2891"/>
    <w:rsid w:val="2D192F9F"/>
    <w:rsid w:val="317A4765"/>
    <w:rsid w:val="35D63A5B"/>
    <w:rsid w:val="48284E4C"/>
    <w:rsid w:val="4EE662DE"/>
    <w:rsid w:val="507A1D8D"/>
    <w:rsid w:val="58EA204C"/>
    <w:rsid w:val="618C1452"/>
    <w:rsid w:val="639F1470"/>
    <w:rsid w:val="657A0956"/>
    <w:rsid w:val="68574FE8"/>
    <w:rsid w:val="697254E1"/>
    <w:rsid w:val="7825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kern w:val="0"/>
      <w:sz w:val="28"/>
    </w:rPr>
  </w:style>
  <w:style w:type="paragraph" w:styleId="3">
    <w:name w:val="Normal Indent"/>
    <w:basedOn w:val="1"/>
    <w:next w:val="1"/>
    <w:unhideWhenUsed/>
    <w:qFormat/>
    <w:uiPriority w:val="0"/>
    <w:pPr>
      <w:ind w:firstLine="420"/>
    </w:pPr>
    <w:rPr>
      <w:rFonts w:ascii="Calibri" w:hAnsi="Calibri"/>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2"/>
    <w:basedOn w:val="1"/>
    <w:next w:val="1"/>
    <w:unhideWhenUsed/>
    <w:qFormat/>
    <w:uiPriority w:val="39"/>
    <w:pPr>
      <w:tabs>
        <w:tab w:val="right" w:leader="dot" w:pos="8398"/>
      </w:tabs>
      <w:spacing w:line="360" w:lineRule="auto"/>
      <w:ind w:left="210"/>
      <w:jc w:val="center"/>
    </w:pPr>
    <w:rPr>
      <w:rFonts w:ascii="宋体" w:hAnsi="宋体"/>
      <w:b/>
      <w:bCs/>
      <w:smallCaps/>
      <w:szCs w:val="21"/>
    </w:rPr>
  </w:style>
  <w:style w:type="paragraph" w:styleId="8">
    <w:name w:val="List Paragraph"/>
    <w:basedOn w:val="1"/>
    <w:qFormat/>
    <w:uiPriority w:val="34"/>
    <w:pPr>
      <w:ind w:firstLine="420" w:firstLineChars="200"/>
      <w:jc w:val="left"/>
    </w:pPr>
    <w:rPr>
      <w:rFonts w:eastAsia="PMingLiU"/>
      <w:sz w:val="24"/>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4518</Words>
  <Characters>4661</Characters>
  <Lines>84</Lines>
  <Paragraphs>23</Paragraphs>
  <TotalTime>0</TotalTime>
  <ScaleCrop>false</ScaleCrop>
  <LinksUpToDate>false</LinksUpToDate>
  <CharactersWithSpaces>4919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2022-11-30T01:22:00Z</dcterms:created>
  <dc:creator>周周</dc:creator>
  <cp:lastModifiedBy>梁广明</cp:lastModifiedBy>
  <dcterms:modified xsi:type="dcterms:W3CDTF">2024-10-14T01:14:25Z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6D38A6B57AC04FA290ABE3F93917EEAD_13</vt:lpwstr>
  </property>
</Properties>
</file>