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s="宋体"/>
          <w:highlight w:val="none"/>
        </w:rPr>
      </w:pPr>
      <w:r>
        <w:rPr>
          <w:rFonts w:hint="eastAsia" w:ascii="宋体" w:hAnsi="宋体" w:cs="宋体"/>
          <w:sz w:val="28"/>
          <w:szCs w:val="28"/>
          <w:highlight w:val="none"/>
        </w:rPr>
        <w:t>附件1：</w:t>
      </w:r>
    </w:p>
    <w:p>
      <w:pPr>
        <w:jc w:val="center"/>
        <w:rPr>
          <w:rFonts w:hint="eastAsia" w:ascii="仿宋" w:hAnsi="仿宋"/>
          <w:b/>
          <w:sz w:val="32"/>
          <w:szCs w:val="32"/>
          <w:highlight w:val="yellow"/>
        </w:rPr>
      </w:pPr>
      <w:r>
        <w:rPr>
          <w:rFonts w:hint="eastAsia" w:ascii="仿宋" w:hAnsi="仿宋"/>
          <w:b/>
          <w:sz w:val="32"/>
          <w:szCs w:val="32"/>
          <w:highlight w:val="none"/>
        </w:rPr>
        <w:t>投标报价书</w:t>
      </w:r>
    </w:p>
    <w:tbl>
      <w:tblPr>
        <w:tblStyle w:val="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5103"/>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jc w:val="center"/>
              <w:rPr>
                <w:rFonts w:ascii="仿宋" w:hAnsi="仿宋"/>
                <w:b/>
                <w:highlight w:val="none"/>
              </w:rPr>
            </w:pPr>
            <w:r>
              <w:rPr>
                <w:rFonts w:hint="eastAsia" w:ascii="仿宋" w:hAnsi="仿宋"/>
                <w:b/>
                <w:highlight w:val="none"/>
              </w:rPr>
              <w:t>编号</w:t>
            </w:r>
          </w:p>
        </w:tc>
        <w:tc>
          <w:tcPr>
            <w:tcW w:w="5103" w:type="dxa"/>
            <w:noWrap w:val="0"/>
            <w:vAlign w:val="center"/>
          </w:tcPr>
          <w:p>
            <w:pPr>
              <w:jc w:val="center"/>
              <w:rPr>
                <w:rFonts w:ascii="仿宋" w:hAnsi="仿宋"/>
                <w:b/>
                <w:highlight w:val="none"/>
              </w:rPr>
            </w:pPr>
            <w:r>
              <w:rPr>
                <w:rFonts w:hint="eastAsia" w:ascii="仿宋" w:hAnsi="仿宋"/>
                <w:b/>
                <w:highlight w:val="none"/>
              </w:rPr>
              <w:t>工程名称</w:t>
            </w:r>
          </w:p>
        </w:tc>
        <w:tc>
          <w:tcPr>
            <w:tcW w:w="1559" w:type="dxa"/>
            <w:tcBorders>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投标上限价（万元）</w:t>
            </w:r>
          </w:p>
        </w:tc>
        <w:tc>
          <w:tcPr>
            <w:tcW w:w="1843" w:type="dxa"/>
            <w:tcBorders>
              <w:left w:val="single" w:color="auto" w:sz="4" w:space="0"/>
            </w:tcBorders>
            <w:noWrap w:val="0"/>
            <w:vAlign w:val="center"/>
          </w:tcPr>
          <w:p>
            <w:pPr>
              <w:jc w:val="center"/>
              <w:rPr>
                <w:rFonts w:ascii="仿宋" w:hAnsi="仿宋"/>
                <w:b/>
                <w:highlight w:val="none"/>
              </w:rPr>
            </w:pPr>
            <w:r>
              <w:rPr>
                <w:rFonts w:hint="eastAsia" w:ascii="仿宋" w:hAnsi="仿宋"/>
                <w:b/>
                <w:highlight w:val="none"/>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52" w:type="dxa"/>
            <w:noWrap w:val="0"/>
            <w:vAlign w:val="center"/>
          </w:tcPr>
          <w:p>
            <w:pPr>
              <w:jc w:val="center"/>
              <w:rPr>
                <w:rFonts w:hint="eastAsia" w:ascii="仿宋" w:hAnsi="仿宋"/>
                <w:highlight w:val="none"/>
              </w:rPr>
            </w:pPr>
            <w:r>
              <w:rPr>
                <w:rFonts w:hint="eastAsia" w:ascii="宋体" w:hAnsi="宋体" w:cs="宋体"/>
                <w:highlight w:val="none"/>
              </w:rPr>
              <w:t>1</w:t>
            </w:r>
          </w:p>
        </w:tc>
        <w:tc>
          <w:tcPr>
            <w:tcW w:w="5103" w:type="dxa"/>
            <w:noWrap w:val="0"/>
            <w:vAlign w:val="center"/>
          </w:tcPr>
          <w:p>
            <w:pPr>
              <w:adjustRightInd w:val="0"/>
              <w:snapToGrid w:val="0"/>
              <w:rPr>
                <w:rFonts w:ascii="仿宋" w:hAnsi="仿宋"/>
                <w:szCs w:val="21"/>
                <w:highlight w:val="none"/>
              </w:rPr>
            </w:pPr>
            <w:r>
              <w:rPr>
                <w:rFonts w:hint="eastAsia" w:ascii="仿宋" w:hAnsi="仿宋" w:eastAsia="宋体" w:cs="Times New Roman"/>
                <w:bCs/>
                <w:sz w:val="24"/>
                <w:szCs w:val="24"/>
                <w:highlight w:val="none"/>
                <w:lang w:val="en-US" w:eastAsia="zh-CN"/>
              </w:rPr>
              <w:t>深圳市新华医院项目</w:t>
            </w:r>
            <w:r>
              <w:rPr>
                <w:rFonts w:hint="eastAsia" w:ascii="仿宋" w:hAnsi="仿宋" w:eastAsia="宋体"/>
                <w:bCs/>
                <w:sz w:val="24"/>
                <w:szCs w:val="24"/>
                <w:highlight w:val="none"/>
                <w:lang w:val="en-US" w:eastAsia="zh-CN"/>
              </w:rPr>
              <w:t>直升机停机坪规划选址论证及备案</w:t>
            </w:r>
          </w:p>
        </w:tc>
        <w:tc>
          <w:tcPr>
            <w:tcW w:w="1559" w:type="dxa"/>
            <w:tcBorders>
              <w:right w:val="single" w:color="auto" w:sz="4" w:space="0"/>
            </w:tcBorders>
            <w:noWrap w:val="0"/>
            <w:vAlign w:val="center"/>
          </w:tcPr>
          <w:p>
            <w:pPr>
              <w:adjustRightInd w:val="0"/>
              <w:snapToGrid w:val="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48</w:t>
            </w:r>
          </w:p>
        </w:tc>
        <w:tc>
          <w:tcPr>
            <w:tcW w:w="1843" w:type="dxa"/>
            <w:tcBorders>
              <w:left w:val="single" w:color="auto" w:sz="4" w:space="0"/>
            </w:tcBorders>
            <w:noWrap w:val="0"/>
            <w:vAlign w:val="center"/>
          </w:tcPr>
          <w:p>
            <w:pPr>
              <w:adjustRightInd w:val="0"/>
              <w:snapToGrid w:val="0"/>
              <w:spacing w:line="360" w:lineRule="auto"/>
              <w:jc w:val="center"/>
              <w:rPr>
                <w:rFonts w:hint="eastAsia" w:ascii="仿宋" w:hAnsi="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7" w:type="dxa"/>
            <w:gridSpan w:val="4"/>
            <w:noWrap w:val="0"/>
            <w:vAlign w:val="top"/>
          </w:tcPr>
          <w:p>
            <w:pPr>
              <w:adjustRightInd w:val="0"/>
              <w:snapToGrid w:val="0"/>
              <w:spacing w:line="360" w:lineRule="auto"/>
              <w:ind w:firstLine="482" w:firstLineChars="200"/>
              <w:rPr>
                <w:rFonts w:hint="eastAsia" w:ascii="仿宋" w:hAnsi="仿宋" w:eastAsia="仿宋"/>
                <w:sz w:val="24"/>
                <w:highlight w:val="none"/>
                <w:shd w:val="clear" w:color="auto" w:fill="FFFFFF"/>
              </w:rPr>
            </w:pPr>
            <w:r>
              <w:rPr>
                <w:rFonts w:hint="eastAsia" w:ascii="仿宋" w:hAnsi="仿宋"/>
                <w:b/>
                <w:sz w:val="24"/>
                <w:highlight w:val="none"/>
              </w:rPr>
              <w:t xml:space="preserve">本次服务具体要求： </w:t>
            </w:r>
          </w:p>
          <w:p>
            <w:pPr>
              <w:widowControl/>
              <w:spacing w:line="360" w:lineRule="auto"/>
              <w:ind w:firstLine="480" w:firstLineChars="200"/>
              <w:jc w:val="left"/>
              <w:rPr>
                <w:rFonts w:hint="eastAsia" w:ascii="宋体" w:hAnsi="宋体" w:cs="宋体"/>
                <w:bCs/>
                <w:sz w:val="24"/>
                <w:highlight w:val="none"/>
              </w:rPr>
            </w:pPr>
            <w:r>
              <w:rPr>
                <w:rFonts w:hint="eastAsia" w:ascii="仿宋" w:hAnsi="仿宋"/>
                <w:b w:val="0"/>
                <w:bCs/>
                <w:sz w:val="24"/>
                <w:szCs w:val="24"/>
                <w:highlight w:val="none"/>
                <w:lang w:val="en-US" w:eastAsia="zh-CN"/>
              </w:rPr>
              <w:t>1、具体内容包括但不限于：（1）现场踏勘，</w:t>
            </w:r>
            <w:r>
              <w:rPr>
                <w:rFonts w:hint="eastAsia" w:ascii="仿宋" w:hAnsi="仿宋" w:eastAsia="宋体" w:cs="Times New Roman"/>
                <w:b w:val="0"/>
                <w:bCs/>
                <w:sz w:val="24"/>
                <w:szCs w:val="24"/>
                <w:highlight w:val="none"/>
                <w:lang w:val="en-US" w:eastAsia="zh-CN"/>
              </w:rPr>
              <w:t>收集选址报告基础资料；（2）</w:t>
            </w:r>
            <w:r>
              <w:rPr>
                <w:rFonts w:hint="eastAsia" w:ascii="仿宋" w:hAnsi="仿宋"/>
                <w:b w:val="0"/>
                <w:bCs/>
                <w:sz w:val="24"/>
                <w:szCs w:val="24"/>
                <w:highlight w:val="none"/>
                <w:lang w:val="en-US" w:eastAsia="zh-CN"/>
              </w:rPr>
              <w:t>编制选址论证报告；（3）编制空侧运行分析报告（包含飞行程序设计报告）；（4）协助甲方取得中国民用航空深圳安全监督管理局关于本项目的场址审核意见复函及民航局B类机场备案确认书等。</w:t>
            </w:r>
          </w:p>
          <w:p>
            <w:pPr>
              <w:adjustRightInd w:val="0"/>
              <w:snapToGrid w:val="0"/>
              <w:spacing w:line="360" w:lineRule="auto"/>
              <w:ind w:firstLine="480" w:firstLineChars="200"/>
              <w:rPr>
                <w:rFonts w:hint="eastAsia" w:ascii="宋体" w:hAnsi="宋体" w:cs="宋体"/>
                <w:bCs/>
                <w:sz w:val="24"/>
                <w:highlight w:val="yellow"/>
              </w:rPr>
            </w:pPr>
            <w:r>
              <w:rPr>
                <w:rFonts w:hint="eastAsia" w:ascii="宋体" w:hAnsi="宋体" w:cs="宋体"/>
                <w:bCs/>
                <w:sz w:val="24"/>
                <w:highlight w:val="none"/>
              </w:rPr>
              <w:t>2、由</w:t>
            </w:r>
            <w:r>
              <w:rPr>
                <w:rFonts w:hint="eastAsia" w:ascii="宋体" w:hAnsi="宋体" w:cs="宋体"/>
                <w:sz w:val="24"/>
                <w:highlight w:val="none"/>
              </w:rPr>
              <w:t>投标人</w:t>
            </w:r>
            <w:r>
              <w:rPr>
                <w:rFonts w:hint="eastAsia" w:ascii="宋体" w:hAnsi="宋体" w:cs="宋体"/>
                <w:bCs/>
                <w:sz w:val="24"/>
                <w:highlight w:val="none"/>
              </w:rPr>
              <w:t>委派的</w:t>
            </w:r>
            <w:r>
              <w:rPr>
                <w:rFonts w:hint="eastAsia" w:ascii="宋体" w:hAnsi="宋体" w:cs="宋体"/>
                <w:bCs/>
                <w:sz w:val="24"/>
                <w:highlight w:val="none"/>
                <w:lang w:val="en-US" w:eastAsia="zh-CN"/>
              </w:rPr>
              <w:t>编制选址论证报告</w:t>
            </w:r>
            <w:r>
              <w:rPr>
                <w:rFonts w:hint="eastAsia" w:ascii="宋体" w:hAnsi="宋体" w:cs="宋体"/>
                <w:bCs/>
                <w:sz w:val="24"/>
                <w:highlight w:val="none"/>
              </w:rPr>
              <w:t>人员必须尽职尽责</w:t>
            </w:r>
            <w:r>
              <w:rPr>
                <w:rFonts w:hint="eastAsia" w:ascii="宋体" w:hAnsi="宋体" w:eastAsia="宋体" w:cs="宋体"/>
                <w:bCs/>
                <w:sz w:val="24"/>
                <w:highlight w:val="none"/>
                <w:lang w:val="en-US" w:eastAsia="zh-CN"/>
              </w:rPr>
              <w:t>，认真履行职责。项目直升机停机坪选址论证报告应符合国家、省、市主管部门的有关规范要求。</w:t>
            </w:r>
          </w:p>
          <w:p>
            <w:pPr>
              <w:adjustRightInd w:val="0"/>
              <w:snapToGrid w:val="0"/>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3、乙方在完成合同签订之日起30个日历天内完成本项目直升机停机坪规划选址论证报告（含《航行服务研究》部分），3个月内取得</w:t>
            </w:r>
            <w:r>
              <w:rPr>
                <w:rFonts w:hint="eastAsia" w:ascii="仿宋" w:hAnsi="仿宋"/>
                <w:b w:val="0"/>
                <w:bCs/>
                <w:sz w:val="24"/>
                <w:szCs w:val="24"/>
                <w:highlight w:val="none"/>
                <w:lang w:val="en-US" w:eastAsia="zh-CN"/>
              </w:rPr>
              <w:t>场址审核意见复函及民航局B类机场备案确认书。</w:t>
            </w:r>
          </w:p>
          <w:p>
            <w:pPr>
              <w:adjustRightInd w:val="0"/>
              <w:snapToGrid w:val="0"/>
              <w:spacing w:line="360" w:lineRule="auto"/>
              <w:ind w:firstLine="482" w:firstLineChars="200"/>
              <w:rPr>
                <w:rFonts w:hint="default" w:ascii="仿宋" w:hAnsi="仿宋" w:eastAsia="宋体"/>
                <w:b/>
                <w:bCs/>
                <w:sz w:val="24"/>
                <w:szCs w:val="24"/>
                <w:highlight w:val="none"/>
                <w:lang w:val="en-US" w:eastAsia="zh-CN"/>
              </w:rPr>
            </w:pPr>
            <w:r>
              <w:rPr>
                <w:rFonts w:hint="eastAsia" w:ascii="仿宋" w:hAnsi="仿宋"/>
                <w:b/>
                <w:bCs/>
                <w:sz w:val="24"/>
                <w:szCs w:val="24"/>
                <w:highlight w:val="none"/>
                <w:lang w:val="en-US" w:eastAsia="zh-CN"/>
              </w:rPr>
              <w:t>计算原则及结算方式：</w:t>
            </w:r>
          </w:p>
          <w:p>
            <w:pPr>
              <w:adjustRightInd w:val="0"/>
              <w:snapToGrid w:val="0"/>
              <w:spacing w:line="360" w:lineRule="auto"/>
              <w:ind w:firstLine="480" w:firstLineChars="200"/>
              <w:rPr>
                <w:rFonts w:hint="eastAsia" w:ascii="仿宋" w:hAnsi="仿宋"/>
                <w:sz w:val="24"/>
                <w:szCs w:val="24"/>
                <w:highlight w:val="none"/>
              </w:rPr>
            </w:pPr>
            <w:r>
              <w:rPr>
                <w:rFonts w:hint="eastAsia" w:ascii="仿宋" w:hAnsi="仿宋"/>
                <w:sz w:val="24"/>
                <w:szCs w:val="24"/>
                <w:highlight w:val="none"/>
              </w:rPr>
              <w:t>本合同价格为总价包干，该合同价为</w:t>
            </w:r>
            <w:r>
              <w:rPr>
                <w:rFonts w:hint="eastAsia" w:ascii="仿宋" w:hAnsi="仿宋"/>
                <w:bCs/>
                <w:sz w:val="24"/>
                <w:szCs w:val="24"/>
                <w:highlight w:val="none"/>
              </w:rPr>
              <w:t>投标人</w:t>
            </w:r>
            <w:r>
              <w:rPr>
                <w:rFonts w:hint="eastAsia" w:ascii="仿宋" w:hAnsi="仿宋"/>
                <w:sz w:val="24"/>
                <w:szCs w:val="24"/>
                <w:highlight w:val="none"/>
              </w:rPr>
              <w:t>完成本合同工作内容所需的全部费用。</w:t>
            </w:r>
          </w:p>
          <w:p>
            <w:pPr>
              <w:adjustRightInd w:val="0"/>
              <w:snapToGrid w:val="0"/>
              <w:spacing w:line="360" w:lineRule="auto"/>
              <w:ind w:firstLine="480" w:firstLineChars="200"/>
              <w:rPr>
                <w:rFonts w:hint="eastAsia" w:ascii="仿宋" w:hAnsi="仿宋"/>
                <w:sz w:val="24"/>
                <w:szCs w:val="24"/>
                <w:highlight w:val="none"/>
              </w:rPr>
            </w:pPr>
            <w:r>
              <w:rPr>
                <w:rFonts w:hint="eastAsia" w:ascii="仿宋" w:hAnsi="仿宋"/>
                <w:sz w:val="24"/>
                <w:szCs w:val="24"/>
                <w:highlight w:val="none"/>
              </w:rPr>
              <w:t>工程结算报送政府财政投资评审，以评审结果或发包人指定的具有法定资质的第三方机构出具的审定（审核）结论作为工程结算的依据。</w:t>
            </w:r>
            <w:r>
              <w:rPr>
                <w:rFonts w:ascii="仿宋" w:hAnsi="仿宋"/>
                <w:sz w:val="24"/>
                <w:szCs w:val="24"/>
                <w:highlight w:val="none"/>
              </w:rPr>
              <w:t>本工程采用小型简易工程，</w:t>
            </w:r>
            <w:r>
              <w:rPr>
                <w:rFonts w:hint="eastAsia" w:ascii="仿宋" w:hAnsi="仿宋"/>
                <w:sz w:val="24"/>
                <w:szCs w:val="24"/>
                <w:highlight w:val="none"/>
              </w:rPr>
              <w:t>最终结算价服务类限额不得超过（含）100万元。</w:t>
            </w:r>
          </w:p>
          <w:p>
            <w:pPr>
              <w:adjustRightInd w:val="0"/>
              <w:snapToGrid w:val="0"/>
              <w:spacing w:line="360" w:lineRule="auto"/>
              <w:ind w:firstLine="482" w:firstLineChars="200"/>
              <w:rPr>
                <w:rFonts w:ascii="仿宋" w:hAnsi="仿宋"/>
                <w:b/>
                <w:bCs/>
                <w:sz w:val="24"/>
                <w:szCs w:val="24"/>
                <w:highlight w:val="none"/>
              </w:rPr>
            </w:pPr>
            <w:r>
              <w:rPr>
                <w:rFonts w:hint="eastAsia" w:ascii="仿宋" w:hAnsi="仿宋"/>
                <w:b/>
                <w:bCs/>
                <w:sz w:val="24"/>
                <w:szCs w:val="24"/>
                <w:highlight w:val="none"/>
              </w:rPr>
              <w:t>付款方式：</w:t>
            </w:r>
          </w:p>
          <w:p>
            <w:pPr>
              <w:adjustRightInd w:val="0"/>
              <w:snapToGrid w:val="0"/>
              <w:spacing w:line="360" w:lineRule="auto"/>
              <w:ind w:firstLine="480" w:firstLineChars="200"/>
              <w:rPr>
                <w:rFonts w:hint="eastAsia" w:ascii="仿宋" w:hAnsi="仿宋"/>
                <w:sz w:val="24"/>
                <w:highlight w:val="yellow"/>
              </w:rPr>
            </w:pPr>
            <w:r>
              <w:rPr>
                <w:rFonts w:hint="eastAsia" w:ascii="仿宋" w:hAnsi="仿宋"/>
                <w:sz w:val="24"/>
                <w:szCs w:val="24"/>
                <w:highlight w:val="none"/>
              </w:rPr>
              <w:t>合同签订后，完成</w:t>
            </w:r>
            <w:r>
              <w:rPr>
                <w:rFonts w:hint="eastAsia" w:ascii="仿宋" w:hAnsi="仿宋"/>
                <w:b w:val="0"/>
                <w:bCs/>
                <w:sz w:val="24"/>
                <w:szCs w:val="24"/>
                <w:highlight w:val="none"/>
                <w:lang w:val="en-US" w:eastAsia="zh-CN"/>
              </w:rPr>
              <w:t>场址选址论证报告编制并场址审核意见复函及备案后</w:t>
            </w:r>
            <w:r>
              <w:rPr>
                <w:rFonts w:hint="eastAsia" w:ascii="仿宋" w:hAnsi="仿宋"/>
                <w:sz w:val="24"/>
                <w:szCs w:val="24"/>
                <w:highlight w:val="none"/>
              </w:rPr>
              <w:t>，招标人（甲方）支付至合同款的90%；经深圳市财政投资评审中心审核完毕后，支付余款。</w:t>
            </w:r>
          </w:p>
        </w:tc>
      </w:tr>
    </w:tbl>
    <w:p>
      <w:pPr>
        <w:rPr>
          <w:rFonts w:ascii="仿宋" w:hAnsi="仿宋"/>
          <w:sz w:val="28"/>
          <w:szCs w:val="28"/>
          <w:highlight w:val="none"/>
        </w:rPr>
      </w:pPr>
      <w:r>
        <w:rPr>
          <w:rFonts w:hint="eastAsia" w:ascii="仿宋" w:hAnsi="仿宋"/>
          <w:sz w:val="28"/>
          <w:szCs w:val="28"/>
          <w:highlight w:val="none"/>
        </w:rPr>
        <w:t>投标人法定代表签名：              投标单位（署名并盖章）：</w:t>
      </w:r>
    </w:p>
    <w:p>
      <w:pPr>
        <w:ind w:firstLine="4760" w:firstLineChars="1700"/>
        <w:rPr>
          <w:rFonts w:hint="eastAsia" w:ascii="仿宋" w:hAnsi="仿宋"/>
          <w:sz w:val="28"/>
          <w:szCs w:val="28"/>
          <w:highlight w:val="none"/>
        </w:rPr>
      </w:pPr>
      <w:r>
        <w:rPr>
          <w:rFonts w:hint="eastAsia" w:ascii="仿宋" w:hAnsi="仿宋"/>
          <w:sz w:val="28"/>
          <w:szCs w:val="28"/>
          <w:highlight w:val="none"/>
        </w:rPr>
        <w:t>日期：</w:t>
      </w:r>
      <w:bookmarkStart w:id="0" w:name="Bookmark40"/>
      <w:bookmarkEnd w:id="0"/>
      <w:bookmarkStart w:id="1" w:name="Bookmark34"/>
      <w:bookmarkEnd w:id="1"/>
      <w:bookmarkStart w:id="2" w:name="Bookmark36"/>
      <w:bookmarkEnd w:id="2"/>
      <w:bookmarkStart w:id="3" w:name="Bookmark37"/>
      <w:bookmarkEnd w:id="3"/>
      <w:bookmarkStart w:id="4" w:name="Bookmark44"/>
      <w:bookmarkEnd w:id="4"/>
      <w:bookmarkStart w:id="5" w:name="Bookmark35"/>
      <w:bookmarkEnd w:id="5"/>
      <w:bookmarkStart w:id="6" w:name="Bookmark39"/>
      <w:bookmarkEnd w:id="6"/>
      <w:bookmarkStart w:id="7" w:name="Bookmark38"/>
      <w:bookmarkEnd w:id="7"/>
    </w:p>
    <w:p>
      <w:bookmarkStart w:id="8" w:name="_GoBack"/>
      <w:bookmarkEnd w:id="8"/>
    </w:p>
    <w:sectPr>
      <w:pgSz w:w="11906" w:h="16838"/>
      <w:pgMar w:top="1440" w:right="107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756D23AF"/>
    <w:rsid w:val="756D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2024-07-26T00:53:00Z</dcterms:created>
  <dc:creator>张大老板</dc:creator>
  <cp:lastModifiedBy>张大老板</cp:lastModifiedBy>
  <dcterms:modified xsi:type="dcterms:W3CDTF">2024-07-26T00:53:34Z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729F54DEE0E648DFB35DC164EEC1C93E_11</vt:lpwstr>
  </property>
</Properties>
</file>