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p>
    <w:p>
      <w:pPr>
        <w:spacing w:line="360" w:lineRule="auto"/>
        <w:jc w:val="center"/>
        <w:outlineLvl w:val="2"/>
        <w:rPr>
          <w:rFonts w:hint="eastAsia" w:ascii="方正小标宋简体" w:hAnsi="方正小标宋简体" w:eastAsia="方正小标宋简体" w:cs="方正小标宋简体"/>
          <w:b w:val="0"/>
          <w:bCs/>
          <w:kern w:val="0"/>
          <w:sz w:val="32"/>
          <w:szCs w:val="32"/>
          <w:highlight w:val="none"/>
        </w:rPr>
      </w:pPr>
      <w:r>
        <w:rPr>
          <w:rFonts w:hint="eastAsia" w:ascii="方正小标宋简体" w:hAnsi="方正小标宋简体" w:eastAsia="方正小标宋简体" w:cs="方正小标宋简体"/>
          <w:b w:val="0"/>
          <w:bCs/>
          <w:kern w:val="0"/>
          <w:sz w:val="32"/>
          <w:szCs w:val="32"/>
          <w:highlight w:val="none"/>
        </w:rPr>
        <w:t>拟派</w:t>
      </w:r>
      <w:r>
        <w:rPr>
          <w:rFonts w:hint="eastAsia" w:ascii="方正小标宋简体" w:hAnsi="方正小标宋简体" w:eastAsia="方正小标宋简体" w:cs="方正小标宋简体"/>
          <w:b w:val="0"/>
          <w:bCs/>
          <w:kern w:val="0"/>
          <w:sz w:val="32"/>
          <w:szCs w:val="32"/>
          <w:highlight w:val="none"/>
          <w:lang w:eastAsia="zh-CN"/>
        </w:rPr>
        <w:t>项目</w:t>
      </w:r>
      <w:r>
        <w:rPr>
          <w:rFonts w:hint="eastAsia" w:ascii="方正小标宋简体" w:hAnsi="方正小标宋简体" w:eastAsia="方正小标宋简体" w:cs="方正小标宋简体"/>
          <w:b w:val="0"/>
          <w:bCs/>
          <w:kern w:val="0"/>
          <w:sz w:val="32"/>
          <w:szCs w:val="32"/>
          <w:highlight w:val="none"/>
        </w:rPr>
        <w:t>服务团队人员</w:t>
      </w:r>
      <w:r>
        <w:rPr>
          <w:rFonts w:hint="eastAsia" w:ascii="方正小标宋简体" w:hAnsi="方正小标宋简体" w:eastAsia="方正小标宋简体" w:cs="方正小标宋简体"/>
          <w:b w:val="0"/>
          <w:bCs/>
          <w:kern w:val="0"/>
          <w:sz w:val="32"/>
          <w:szCs w:val="32"/>
          <w:highlight w:val="none"/>
          <w:lang w:eastAsia="zh-CN"/>
        </w:rPr>
        <w:t>要求</w:t>
      </w:r>
      <w:r>
        <w:rPr>
          <w:rFonts w:hint="eastAsia" w:ascii="方正小标宋简体" w:hAnsi="方正小标宋简体" w:eastAsia="方正小标宋简体" w:cs="方正小标宋简体"/>
          <w:b w:val="0"/>
          <w:bCs/>
          <w:kern w:val="0"/>
          <w:sz w:val="32"/>
          <w:szCs w:val="32"/>
          <w:highlight w:val="none"/>
        </w:rPr>
        <w:t>一览表</w:t>
      </w:r>
    </w:p>
    <w:tbl>
      <w:tblPr>
        <w:tblStyle w:val="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34"/>
        <w:gridCol w:w="899"/>
        <w:gridCol w:w="5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sz w:val="24"/>
                <w:szCs w:val="24"/>
                <w:highlight w:val="none"/>
              </w:rPr>
            </w:pPr>
            <w:r>
              <w:rPr>
                <w:rFonts w:hint="eastAsia" w:ascii="宋体" w:hAnsi="宋体"/>
                <w:b/>
                <w:sz w:val="24"/>
                <w:szCs w:val="24"/>
                <w:highlight w:val="none"/>
              </w:rPr>
              <w:t>序号</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b/>
                <w:sz w:val="24"/>
                <w:szCs w:val="24"/>
                <w:highlight w:val="none"/>
                <w:lang w:eastAsia="zh-CN"/>
              </w:rPr>
            </w:pPr>
            <w:r>
              <w:rPr>
                <w:rFonts w:hint="eastAsia" w:ascii="宋体" w:hAnsi="宋体"/>
                <w:b/>
                <w:sz w:val="24"/>
                <w:szCs w:val="24"/>
                <w:highlight w:val="none"/>
              </w:rPr>
              <w:t>团队中</w:t>
            </w:r>
            <w:r>
              <w:rPr>
                <w:rFonts w:hint="eastAsia" w:ascii="宋体" w:hAnsi="宋体"/>
                <w:b/>
                <w:sz w:val="24"/>
                <w:szCs w:val="24"/>
                <w:highlight w:val="none"/>
                <w:lang w:eastAsia="zh-CN"/>
              </w:rPr>
              <w:t>拟任</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sz w:val="24"/>
                <w:szCs w:val="24"/>
                <w:highlight w:val="none"/>
              </w:rPr>
            </w:pPr>
            <w:r>
              <w:rPr>
                <w:rFonts w:hint="eastAsia" w:ascii="宋体" w:hAnsi="宋体"/>
                <w:b/>
                <w:sz w:val="24"/>
                <w:szCs w:val="24"/>
                <w:highlight w:val="none"/>
              </w:rPr>
              <w:t>岗位</w:t>
            </w:r>
          </w:p>
        </w:tc>
        <w:tc>
          <w:tcPr>
            <w:tcW w:w="89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b/>
                <w:sz w:val="24"/>
                <w:szCs w:val="24"/>
                <w:highlight w:val="none"/>
                <w:lang w:eastAsia="zh-CN"/>
              </w:rPr>
            </w:pPr>
            <w:r>
              <w:rPr>
                <w:rFonts w:hint="eastAsia" w:ascii="宋体" w:hAnsi="宋体"/>
                <w:b/>
                <w:sz w:val="24"/>
                <w:szCs w:val="24"/>
                <w:highlight w:val="none"/>
                <w:lang w:eastAsia="zh-CN"/>
              </w:rPr>
              <w:t>学历</w:t>
            </w:r>
          </w:p>
        </w:tc>
        <w:tc>
          <w:tcPr>
            <w:tcW w:w="54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b/>
                <w:sz w:val="24"/>
                <w:szCs w:val="24"/>
                <w:highlight w:val="none"/>
                <w:lang w:eastAsia="zh-CN"/>
              </w:rPr>
            </w:pPr>
            <w:r>
              <w:rPr>
                <w:rFonts w:hint="eastAsia" w:ascii="宋体" w:hAnsi="宋体"/>
                <w:b/>
                <w:sz w:val="24"/>
                <w:szCs w:val="24"/>
                <w:highlight w:val="none"/>
                <w:lang w:eastAsia="zh-CN"/>
              </w:rPr>
              <w:t>执业领域及能力要求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jc w:val="center"/>
        </w:trPr>
        <w:tc>
          <w:tcPr>
            <w:tcW w:w="75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2"/>
                <w:szCs w:val="22"/>
                <w:highlight w:val="none"/>
                <w:lang w:val="en-US" w:eastAsia="zh-CN"/>
              </w:rPr>
            </w:pPr>
            <w:r>
              <w:rPr>
                <w:rFonts w:hint="eastAsia" w:ascii="宋体" w:hAnsi="宋体" w:cs="宋体"/>
                <w:b w:val="0"/>
                <w:bCs/>
                <w:sz w:val="22"/>
                <w:szCs w:val="22"/>
                <w:highlight w:val="none"/>
                <w:lang w:val="en-US" w:eastAsia="zh-CN"/>
              </w:rPr>
              <w:t>1</w:t>
            </w:r>
          </w:p>
        </w:tc>
        <w:tc>
          <w:tcPr>
            <w:tcW w:w="20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sz w:val="22"/>
                <w:szCs w:val="22"/>
                <w:highlight w:val="none"/>
                <w:lang w:val="en-US" w:eastAsia="zh-CN"/>
              </w:rPr>
            </w:pPr>
            <w:r>
              <w:rPr>
                <w:rFonts w:hint="eastAsia" w:ascii="宋体" w:hAnsi="宋体" w:cs="宋体"/>
                <w:b w:val="0"/>
                <w:bCs/>
                <w:sz w:val="22"/>
                <w:szCs w:val="22"/>
                <w:highlight w:val="none"/>
                <w:lang w:val="en-US" w:eastAsia="zh-CN"/>
              </w:rPr>
              <w:t>项目负责人</w:t>
            </w:r>
            <w:r>
              <w:rPr>
                <w:rFonts w:hint="eastAsia" w:ascii="宋体" w:hAnsi="宋体" w:cs="宋体"/>
                <w:b w:val="0"/>
                <w:bCs/>
                <w:sz w:val="22"/>
                <w:szCs w:val="22"/>
                <w:highlight w:val="none"/>
                <w:lang w:val="en-US" w:eastAsia="zh-CN"/>
              </w:rPr>
              <w:br w:type="textWrapping"/>
            </w:r>
            <w:r>
              <w:rPr>
                <w:rFonts w:hint="eastAsia" w:ascii="宋体" w:hAnsi="宋体" w:cs="宋体"/>
                <w:b w:val="0"/>
                <w:bCs/>
                <w:sz w:val="22"/>
                <w:szCs w:val="22"/>
                <w:highlight w:val="none"/>
                <w:lang w:val="en-US" w:eastAsia="zh-CN"/>
              </w:rPr>
              <w:t>（1名）</w:t>
            </w:r>
          </w:p>
        </w:tc>
        <w:tc>
          <w:tcPr>
            <w:tcW w:w="89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2"/>
                <w:szCs w:val="22"/>
                <w:highlight w:val="none"/>
                <w:lang w:eastAsia="zh-CN"/>
              </w:rPr>
            </w:pPr>
            <w:r>
              <w:rPr>
                <w:rFonts w:hint="eastAsia" w:ascii="宋体" w:hAnsi="宋体" w:cs="宋体"/>
                <w:sz w:val="22"/>
                <w:szCs w:val="22"/>
                <w:highlight w:val="none"/>
                <w:lang w:eastAsia="zh-CN"/>
              </w:rPr>
              <w:t>本科及以上</w:t>
            </w:r>
          </w:p>
        </w:tc>
        <w:tc>
          <w:tcPr>
            <w:tcW w:w="54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contextualSpacing/>
              <w:textAlignment w:val="auto"/>
              <w:rPr>
                <w:rFonts w:hint="eastAsia" w:ascii="宋体" w:hAnsi="宋体" w:cs="宋体"/>
                <w:sz w:val="22"/>
                <w:szCs w:val="22"/>
                <w:highlight w:val="none"/>
              </w:rPr>
            </w:pPr>
            <w:r>
              <w:rPr>
                <w:rFonts w:hint="eastAsia" w:ascii="宋体" w:hAnsi="宋体" w:cs="宋体"/>
                <w:sz w:val="22"/>
                <w:szCs w:val="22"/>
                <w:highlight w:val="none"/>
              </w:rPr>
              <w:t>1.具有中华人民共和国国籍；</w:t>
            </w:r>
          </w:p>
          <w:p>
            <w:pPr>
              <w:keepNext w:val="0"/>
              <w:keepLines w:val="0"/>
              <w:pageBreakBefore w:val="0"/>
              <w:widowControl w:val="0"/>
              <w:kinsoku/>
              <w:wordWrap/>
              <w:overflowPunct/>
              <w:topLinePunct w:val="0"/>
              <w:autoSpaceDE/>
              <w:autoSpaceDN/>
              <w:bidi w:val="0"/>
              <w:adjustRightInd w:val="0"/>
              <w:snapToGrid w:val="0"/>
              <w:spacing w:line="240" w:lineRule="auto"/>
              <w:contextualSpacing/>
              <w:textAlignment w:val="auto"/>
              <w:rPr>
                <w:rFonts w:hint="eastAsia" w:ascii="宋体" w:hAnsi="宋体" w:cs="宋体"/>
                <w:sz w:val="22"/>
                <w:szCs w:val="22"/>
                <w:highlight w:val="none"/>
              </w:rPr>
            </w:pPr>
            <w:r>
              <w:rPr>
                <w:rFonts w:hint="eastAsia" w:ascii="宋体" w:hAnsi="宋体" w:cs="宋体"/>
                <w:sz w:val="22"/>
                <w:szCs w:val="22"/>
                <w:highlight w:val="none"/>
              </w:rPr>
              <w:t>2.拥护中国共产党的领导，具有较高的政治素质、奉献精神和职业道德，品行良好；</w:t>
            </w:r>
          </w:p>
          <w:p>
            <w:pPr>
              <w:keepNext w:val="0"/>
              <w:keepLines w:val="0"/>
              <w:pageBreakBefore w:val="0"/>
              <w:widowControl w:val="0"/>
              <w:kinsoku/>
              <w:wordWrap/>
              <w:overflowPunct/>
              <w:topLinePunct w:val="0"/>
              <w:autoSpaceDE/>
              <w:autoSpaceDN/>
              <w:bidi w:val="0"/>
              <w:adjustRightInd w:val="0"/>
              <w:snapToGrid w:val="0"/>
              <w:spacing w:line="240" w:lineRule="auto"/>
              <w:contextualSpacing/>
              <w:textAlignment w:val="auto"/>
              <w:rPr>
                <w:rFonts w:hint="eastAsia" w:ascii="宋体" w:hAnsi="宋体" w:cs="宋体"/>
                <w:sz w:val="22"/>
                <w:szCs w:val="22"/>
                <w:highlight w:val="none"/>
              </w:rPr>
            </w:pPr>
            <w:r>
              <w:rPr>
                <w:rFonts w:hint="eastAsia" w:ascii="宋体" w:hAnsi="宋体" w:cs="宋体"/>
                <w:sz w:val="22"/>
                <w:szCs w:val="22"/>
                <w:highlight w:val="none"/>
              </w:rPr>
              <w:t>3.具有律师执业证书，并经行政主管部门年检合格；</w:t>
            </w:r>
          </w:p>
          <w:p>
            <w:pPr>
              <w:keepNext w:val="0"/>
              <w:keepLines w:val="0"/>
              <w:pageBreakBefore w:val="0"/>
              <w:widowControl w:val="0"/>
              <w:kinsoku/>
              <w:wordWrap/>
              <w:overflowPunct/>
              <w:topLinePunct w:val="0"/>
              <w:autoSpaceDE/>
              <w:autoSpaceDN/>
              <w:bidi w:val="0"/>
              <w:adjustRightInd w:val="0"/>
              <w:snapToGrid w:val="0"/>
              <w:spacing w:line="240" w:lineRule="auto"/>
              <w:contextualSpacing/>
              <w:textAlignment w:val="auto"/>
              <w:rPr>
                <w:rFonts w:hint="eastAsia" w:ascii="宋体" w:hAnsi="宋体" w:cs="宋体"/>
                <w:sz w:val="22"/>
                <w:szCs w:val="22"/>
                <w:highlight w:val="none"/>
              </w:rPr>
            </w:pPr>
            <w:r>
              <w:rPr>
                <w:rFonts w:hint="eastAsia" w:ascii="宋体" w:hAnsi="宋体" w:cs="宋体"/>
                <w:sz w:val="22"/>
                <w:szCs w:val="22"/>
                <w:highlight w:val="none"/>
              </w:rPr>
              <w:t>4.律师执业经验丰富，主要服务领域为建筑工程行业，在建设工程领域具有丰富的实务经验和处理建工领域复杂或疑难法律事务的能力；</w:t>
            </w:r>
          </w:p>
          <w:p>
            <w:pPr>
              <w:keepNext w:val="0"/>
              <w:keepLines w:val="0"/>
              <w:pageBreakBefore w:val="0"/>
              <w:widowControl w:val="0"/>
              <w:kinsoku/>
              <w:wordWrap/>
              <w:overflowPunct/>
              <w:topLinePunct w:val="0"/>
              <w:autoSpaceDE/>
              <w:autoSpaceDN/>
              <w:bidi w:val="0"/>
              <w:adjustRightInd w:val="0"/>
              <w:snapToGrid w:val="0"/>
              <w:spacing w:line="240" w:lineRule="auto"/>
              <w:contextualSpacing/>
              <w:textAlignment w:val="auto"/>
              <w:rPr>
                <w:rFonts w:hint="eastAsia" w:ascii="宋体" w:hAnsi="宋体" w:cs="宋体"/>
                <w:sz w:val="22"/>
                <w:szCs w:val="22"/>
                <w:highlight w:val="none"/>
              </w:rPr>
            </w:pPr>
            <w:r>
              <w:rPr>
                <w:rFonts w:hint="eastAsia" w:ascii="宋体" w:hAnsi="宋体" w:cs="宋体"/>
                <w:sz w:val="22"/>
                <w:szCs w:val="22"/>
                <w:highlight w:val="none"/>
              </w:rPr>
              <w:t>5.熟悉建设工程管理等方面法律法规，具有较高的政策法规宣讲培训能力；</w:t>
            </w:r>
          </w:p>
          <w:p>
            <w:pPr>
              <w:keepNext w:val="0"/>
              <w:keepLines w:val="0"/>
              <w:pageBreakBefore w:val="0"/>
              <w:widowControl w:val="0"/>
              <w:kinsoku/>
              <w:wordWrap/>
              <w:overflowPunct/>
              <w:topLinePunct w:val="0"/>
              <w:autoSpaceDE/>
              <w:autoSpaceDN/>
              <w:bidi w:val="0"/>
              <w:adjustRightInd w:val="0"/>
              <w:snapToGrid w:val="0"/>
              <w:spacing w:line="240" w:lineRule="auto"/>
              <w:contextualSpacing/>
              <w:textAlignment w:val="auto"/>
              <w:rPr>
                <w:rFonts w:hint="eastAsia" w:ascii="宋体" w:hAnsi="宋体" w:cs="宋体"/>
                <w:sz w:val="22"/>
                <w:szCs w:val="22"/>
                <w:highlight w:val="none"/>
              </w:rPr>
            </w:pPr>
            <w:r>
              <w:rPr>
                <w:rFonts w:hint="eastAsia" w:ascii="宋体" w:hAnsi="宋体" w:cs="宋体"/>
                <w:sz w:val="22"/>
                <w:szCs w:val="22"/>
                <w:highlight w:val="none"/>
              </w:rPr>
              <w:t>6.身体健康，能履行常年法律顾问职责；</w:t>
            </w:r>
          </w:p>
          <w:p>
            <w:pPr>
              <w:keepNext w:val="0"/>
              <w:keepLines w:val="0"/>
              <w:pageBreakBefore w:val="0"/>
              <w:widowControl w:val="0"/>
              <w:kinsoku/>
              <w:wordWrap/>
              <w:overflowPunct/>
              <w:topLinePunct w:val="0"/>
              <w:autoSpaceDE/>
              <w:autoSpaceDN/>
              <w:bidi w:val="0"/>
              <w:adjustRightInd w:val="0"/>
              <w:snapToGrid w:val="0"/>
              <w:spacing w:line="240" w:lineRule="auto"/>
              <w:contextualSpacing/>
              <w:textAlignment w:val="auto"/>
              <w:rPr>
                <w:rFonts w:hint="eastAsia" w:ascii="宋体" w:hAnsi="宋体" w:eastAsia="宋体" w:cs="宋体"/>
                <w:sz w:val="22"/>
                <w:szCs w:val="22"/>
                <w:highlight w:val="none"/>
                <w:lang w:eastAsia="zh-CN"/>
              </w:rPr>
            </w:pPr>
            <w:r>
              <w:rPr>
                <w:rFonts w:hint="eastAsia" w:ascii="宋体" w:hAnsi="宋体" w:cs="宋体"/>
                <w:sz w:val="22"/>
                <w:szCs w:val="22"/>
                <w:highlight w:val="none"/>
              </w:rPr>
              <w:t>7.法律法规规定和国家政策要求的履行本项目义务、责任所需的其他资格条件。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52"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w:t>
            </w:r>
          </w:p>
        </w:tc>
        <w:tc>
          <w:tcPr>
            <w:tcW w:w="2034"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cs="宋体"/>
                <w:sz w:val="22"/>
                <w:szCs w:val="22"/>
                <w:highlight w:val="none"/>
                <w:lang w:eastAsia="zh-CN"/>
              </w:rPr>
            </w:pPr>
            <w:r>
              <w:rPr>
                <w:rFonts w:hint="eastAsia" w:ascii="宋体" w:hAnsi="宋体" w:cs="宋体"/>
                <w:sz w:val="22"/>
                <w:szCs w:val="22"/>
                <w:highlight w:val="none"/>
                <w:lang w:eastAsia="zh-CN"/>
              </w:rPr>
              <w:t>知识产权事务律师</w:t>
            </w:r>
          </w:p>
          <w:p>
            <w:pPr>
              <w:pStyle w:val="2"/>
              <w:ind w:left="0" w:leftChars="0" w:firstLine="0" w:firstLineChars="0"/>
              <w:jc w:val="center"/>
              <w:rPr>
                <w:rFonts w:hint="eastAsia" w:ascii="宋体" w:hAnsi="宋体" w:cs="宋体"/>
                <w:sz w:val="22"/>
                <w:szCs w:val="22"/>
                <w:highlight w:val="none"/>
                <w:lang w:eastAsia="zh-CN"/>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1名</w:t>
            </w:r>
            <w:r>
              <w:rPr>
                <w:rFonts w:hint="eastAsia" w:ascii="宋体" w:hAnsi="宋体" w:cs="宋体"/>
                <w:sz w:val="22"/>
                <w:szCs w:val="22"/>
                <w:highlight w:val="none"/>
                <w:lang w:eastAsia="zh-CN"/>
              </w:rPr>
              <w:t>）</w:t>
            </w:r>
          </w:p>
        </w:tc>
        <w:tc>
          <w:tcPr>
            <w:tcW w:w="89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cs="宋体"/>
                <w:sz w:val="22"/>
                <w:szCs w:val="22"/>
                <w:highlight w:val="none"/>
                <w:lang w:eastAsia="zh-CN"/>
              </w:rPr>
            </w:pPr>
            <w:r>
              <w:rPr>
                <w:rFonts w:hint="eastAsia" w:ascii="宋体" w:hAnsi="宋体" w:cs="宋体"/>
                <w:sz w:val="22"/>
                <w:szCs w:val="22"/>
                <w:highlight w:val="none"/>
                <w:lang w:eastAsia="zh-CN"/>
              </w:rPr>
              <w:t>本科及以上</w:t>
            </w:r>
          </w:p>
        </w:tc>
        <w:tc>
          <w:tcPr>
            <w:tcW w:w="54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1.</w:t>
            </w:r>
            <w:r>
              <w:rPr>
                <w:rFonts w:hint="eastAsia" w:ascii="宋体" w:hAnsi="宋体" w:cs="宋体"/>
                <w:b w:val="0"/>
                <w:bCs w:val="0"/>
                <w:sz w:val="22"/>
                <w:szCs w:val="22"/>
                <w:highlight w:val="none"/>
              </w:rPr>
              <w:t>依法取得《律师执业证》并经年检合格</w:t>
            </w:r>
            <w:r>
              <w:rPr>
                <w:rFonts w:hint="eastAsia" w:ascii="宋体" w:hAnsi="宋体" w:cs="宋体"/>
                <w:b w:val="0"/>
                <w:bCs w:val="0"/>
                <w:sz w:val="22"/>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b w:val="0"/>
                <w:bCs w:val="0"/>
                <w:sz w:val="22"/>
                <w:szCs w:val="22"/>
                <w:highlight w:val="none"/>
                <w:lang w:eastAsia="zh-CN"/>
              </w:rPr>
            </w:pPr>
            <w:r>
              <w:rPr>
                <w:rFonts w:hint="eastAsia" w:ascii="宋体" w:hAnsi="宋体" w:cs="宋体"/>
                <w:b w:val="0"/>
                <w:bCs w:val="0"/>
                <w:sz w:val="22"/>
                <w:szCs w:val="22"/>
                <w:highlight w:val="none"/>
                <w:lang w:val="en-US" w:eastAsia="zh-CN"/>
              </w:rPr>
              <w:t>2.</w:t>
            </w:r>
            <w:r>
              <w:rPr>
                <w:rFonts w:hint="eastAsia" w:ascii="宋体" w:hAnsi="宋体" w:cs="宋体"/>
                <w:b w:val="0"/>
                <w:bCs w:val="0"/>
                <w:sz w:val="22"/>
                <w:szCs w:val="22"/>
                <w:highlight w:val="none"/>
                <w:lang w:eastAsia="zh-CN"/>
              </w:rPr>
              <w:t>主要</w:t>
            </w:r>
            <w:r>
              <w:rPr>
                <w:rFonts w:hint="eastAsia" w:ascii="宋体" w:hAnsi="宋体" w:cs="宋体"/>
                <w:b w:val="0"/>
                <w:bCs w:val="0"/>
                <w:sz w:val="22"/>
                <w:szCs w:val="22"/>
                <w:highlight w:val="none"/>
                <w:lang w:val="en-US" w:eastAsia="zh-CN"/>
              </w:rPr>
              <w:t>执业领域为知识产权</w:t>
            </w:r>
            <w:r>
              <w:rPr>
                <w:rFonts w:hint="eastAsia" w:ascii="宋体" w:hAnsi="宋体" w:cs="宋体"/>
                <w:b w:val="0"/>
                <w:bCs w:val="0"/>
                <w:sz w:val="22"/>
                <w:szCs w:val="2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cs="宋体"/>
                <w:sz w:val="22"/>
                <w:szCs w:val="22"/>
                <w:highlight w:val="none"/>
                <w:lang w:val="en-US" w:eastAsia="zh-CN"/>
              </w:rPr>
            </w:pPr>
            <w:r>
              <w:rPr>
                <w:rFonts w:hint="eastAsia" w:ascii="宋体" w:hAnsi="宋体" w:cs="宋体"/>
                <w:b w:val="0"/>
                <w:bCs w:val="0"/>
                <w:sz w:val="22"/>
                <w:szCs w:val="22"/>
                <w:highlight w:val="none"/>
                <w:lang w:val="en-US" w:eastAsia="zh-CN"/>
              </w:rPr>
              <w:t>3.</w:t>
            </w:r>
            <w:r>
              <w:rPr>
                <w:rFonts w:hint="eastAsia" w:ascii="宋体" w:hAnsi="宋体" w:cs="宋体"/>
                <w:b w:val="0"/>
                <w:bCs w:val="0"/>
                <w:sz w:val="22"/>
                <w:szCs w:val="22"/>
                <w:highlight w:val="none"/>
                <w:lang w:eastAsia="zh-CN"/>
              </w:rPr>
              <w:t>熟悉</w:t>
            </w:r>
            <w:r>
              <w:rPr>
                <w:rFonts w:hint="eastAsia" w:ascii="宋体" w:hAnsi="宋体" w:cs="宋体"/>
                <w:b w:val="0"/>
                <w:bCs w:val="0"/>
                <w:sz w:val="22"/>
                <w:szCs w:val="22"/>
                <w:highlight w:val="none"/>
                <w:lang w:val="en-US" w:eastAsia="zh-CN"/>
              </w:rPr>
              <w:t>知识产权</w:t>
            </w:r>
            <w:r>
              <w:rPr>
                <w:rFonts w:hint="eastAsia" w:ascii="宋体" w:hAnsi="宋体" w:cs="宋体"/>
                <w:b w:val="0"/>
                <w:bCs w:val="0"/>
                <w:sz w:val="22"/>
                <w:szCs w:val="22"/>
                <w:highlight w:val="none"/>
                <w:lang w:eastAsia="zh-CN"/>
              </w:rPr>
              <w:t>法律法规，具有处理复杂或疑难</w:t>
            </w:r>
            <w:r>
              <w:rPr>
                <w:rFonts w:hint="eastAsia" w:ascii="宋体" w:hAnsi="宋体" w:cs="宋体"/>
                <w:b w:val="0"/>
                <w:bCs w:val="0"/>
                <w:sz w:val="22"/>
                <w:szCs w:val="22"/>
                <w:highlight w:val="none"/>
                <w:lang w:val="en-US" w:eastAsia="zh-CN"/>
              </w:rPr>
              <w:t>知识产权</w:t>
            </w:r>
            <w:r>
              <w:rPr>
                <w:rFonts w:hint="eastAsia" w:ascii="宋体" w:hAnsi="宋体" w:cs="宋体"/>
                <w:b w:val="0"/>
                <w:bCs w:val="0"/>
                <w:sz w:val="22"/>
                <w:szCs w:val="22"/>
                <w:highlight w:val="none"/>
                <w:lang w:eastAsia="zh-CN"/>
              </w:rPr>
              <w:t>法律事务的能力；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752"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3</w:t>
            </w:r>
          </w:p>
        </w:tc>
        <w:tc>
          <w:tcPr>
            <w:tcW w:w="2034"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cs="宋体"/>
                <w:sz w:val="22"/>
                <w:szCs w:val="22"/>
                <w:highlight w:val="none"/>
                <w:lang w:eastAsia="zh-CN"/>
              </w:rPr>
            </w:pPr>
            <w:r>
              <w:rPr>
                <w:rFonts w:hint="eastAsia" w:ascii="宋体" w:hAnsi="宋体" w:cs="宋体"/>
                <w:sz w:val="22"/>
                <w:szCs w:val="22"/>
                <w:highlight w:val="none"/>
                <w:lang w:eastAsia="zh-CN"/>
              </w:rPr>
              <w:t>其他服务律师</w:t>
            </w:r>
          </w:p>
          <w:p>
            <w:pPr>
              <w:pStyle w:val="2"/>
              <w:ind w:left="0" w:leftChars="0" w:firstLine="0" w:firstLineChars="0"/>
              <w:jc w:val="center"/>
              <w:rPr>
                <w:rFonts w:hint="eastAsia" w:ascii="宋体" w:hAnsi="宋体" w:cs="宋体"/>
                <w:sz w:val="22"/>
                <w:szCs w:val="22"/>
                <w:highlight w:val="none"/>
                <w:lang w:eastAsia="zh-CN"/>
              </w:rPr>
            </w:pPr>
            <w:r>
              <w:rPr>
                <w:rFonts w:hint="eastAsia" w:ascii="宋体" w:hAnsi="宋体" w:cs="宋体"/>
                <w:sz w:val="22"/>
                <w:szCs w:val="22"/>
                <w:highlight w:val="none"/>
                <w:lang w:eastAsia="zh-CN"/>
              </w:rPr>
              <w:t>（</w:t>
            </w:r>
            <w:r>
              <w:rPr>
                <w:rFonts w:hint="eastAsia" w:ascii="宋体" w:hAnsi="宋体" w:cs="宋体"/>
                <w:sz w:val="22"/>
                <w:szCs w:val="22"/>
                <w:highlight w:val="none"/>
                <w:lang w:val="en-US" w:eastAsia="zh-CN"/>
              </w:rPr>
              <w:t>数量不限</w:t>
            </w:r>
            <w:r>
              <w:rPr>
                <w:rFonts w:hint="eastAsia" w:ascii="宋体" w:hAnsi="宋体" w:cs="宋体"/>
                <w:sz w:val="22"/>
                <w:szCs w:val="22"/>
                <w:highlight w:val="none"/>
                <w:lang w:eastAsia="zh-CN"/>
              </w:rPr>
              <w:t>）</w:t>
            </w:r>
          </w:p>
        </w:tc>
        <w:tc>
          <w:tcPr>
            <w:tcW w:w="89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cs="宋体"/>
                <w:sz w:val="22"/>
                <w:szCs w:val="22"/>
                <w:highlight w:val="none"/>
                <w:lang w:eastAsia="zh-CN"/>
              </w:rPr>
            </w:pPr>
            <w:r>
              <w:rPr>
                <w:rFonts w:hint="eastAsia" w:ascii="宋体" w:hAnsi="宋体" w:cs="宋体"/>
                <w:sz w:val="22"/>
                <w:szCs w:val="22"/>
                <w:highlight w:val="none"/>
                <w:lang w:eastAsia="zh-CN"/>
              </w:rPr>
              <w:t>本科及以上</w:t>
            </w:r>
          </w:p>
        </w:tc>
        <w:tc>
          <w:tcPr>
            <w:tcW w:w="54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依法取得《律师执业证》并经年检合格</w:t>
            </w:r>
            <w:r>
              <w:rPr>
                <w:rFonts w:hint="eastAsia" w:ascii="宋体" w:hAnsi="宋体" w:cs="宋体"/>
                <w:color w:val="auto"/>
                <w:sz w:val="22"/>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contextualSpacing/>
              <w:textAlignment w:val="auto"/>
              <w:rPr>
                <w:rFonts w:hint="eastAsia" w:ascii="宋体" w:hAnsi="宋体" w:cs="宋体"/>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lang w:eastAsia="zh-CN"/>
              </w:rPr>
              <w:t>熟悉工程建设管理等方面法律法规，具有担任政府行政部门或事业单位或大型国有企业（建筑行业）或境内外建筑行业等法律顾问经验。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jc w:val="center"/>
        </w:trPr>
        <w:tc>
          <w:tcPr>
            <w:tcW w:w="752"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4</w:t>
            </w:r>
          </w:p>
        </w:tc>
        <w:tc>
          <w:tcPr>
            <w:tcW w:w="2034"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现场服务人员</w:t>
            </w:r>
          </w:p>
          <w:p>
            <w:pPr>
              <w:pStyle w:val="2"/>
              <w:ind w:firstLine="0" w:firstLineChars="0"/>
              <w:jc w:val="center"/>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（2名）</w:t>
            </w:r>
          </w:p>
        </w:tc>
        <w:tc>
          <w:tcPr>
            <w:tcW w:w="899"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宋体" w:hAnsi="宋体" w:eastAsia="宋体" w:cs="宋体"/>
                <w:kern w:val="2"/>
                <w:sz w:val="22"/>
                <w:szCs w:val="22"/>
                <w:highlight w:val="none"/>
                <w:lang w:val="en-US" w:eastAsia="zh-CN" w:bidi="ar-SA"/>
              </w:rPr>
            </w:pPr>
            <w:r>
              <w:rPr>
                <w:rFonts w:hint="eastAsia" w:ascii="宋体" w:hAnsi="宋体" w:cs="宋体"/>
                <w:b w:val="0"/>
                <w:bCs w:val="0"/>
                <w:color w:val="auto"/>
                <w:sz w:val="22"/>
                <w:szCs w:val="22"/>
                <w:highlight w:val="none"/>
                <w:lang w:val="en-US" w:eastAsia="zh-CN"/>
              </w:rPr>
              <w:t>研究生</w:t>
            </w:r>
            <w:r>
              <w:rPr>
                <w:rFonts w:hint="eastAsia" w:ascii="宋体" w:hAnsi="宋体" w:cs="宋体"/>
                <w:b w:val="0"/>
                <w:bCs w:val="0"/>
                <w:color w:val="auto"/>
                <w:sz w:val="22"/>
                <w:szCs w:val="22"/>
                <w:highlight w:val="none"/>
                <w:lang w:eastAsia="zh-CN"/>
              </w:rPr>
              <w:t>及以上</w:t>
            </w:r>
          </w:p>
        </w:tc>
        <w:tc>
          <w:tcPr>
            <w:tcW w:w="5473"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宋体" w:hAnsi="宋体" w:cs="宋体"/>
                <w:sz w:val="22"/>
                <w:szCs w:val="22"/>
                <w:highlight w:val="none"/>
                <w:lang w:eastAsia="zh-CN"/>
              </w:rPr>
            </w:pPr>
            <w:r>
              <w:rPr>
                <w:rFonts w:hint="eastAsia" w:ascii="宋体" w:hAnsi="宋体" w:cs="宋体"/>
                <w:sz w:val="22"/>
                <w:szCs w:val="22"/>
                <w:highlight w:val="none"/>
                <w:lang w:val="en-US" w:eastAsia="zh-CN"/>
              </w:rPr>
              <w:t>1.</w:t>
            </w:r>
            <w:r>
              <w:rPr>
                <w:rFonts w:hint="eastAsia" w:ascii="宋体" w:hAnsi="宋体" w:cs="宋体"/>
                <w:sz w:val="22"/>
                <w:szCs w:val="22"/>
                <w:highlight w:val="none"/>
              </w:rPr>
              <w:t>通过全国统一司法考试或法律职业资格考试，依法取得《</w:t>
            </w:r>
            <w:r>
              <w:rPr>
                <w:rFonts w:hint="eastAsia" w:ascii="宋体" w:hAnsi="宋体" w:cs="宋体"/>
                <w:sz w:val="22"/>
                <w:szCs w:val="22"/>
                <w:highlight w:val="none"/>
                <w:lang w:val="en-US" w:eastAsia="zh-CN"/>
              </w:rPr>
              <w:t>法律职业资格证书</w:t>
            </w:r>
            <w:r>
              <w:rPr>
                <w:rFonts w:hint="eastAsia" w:ascii="宋体" w:hAnsi="宋体" w:cs="宋体"/>
                <w:sz w:val="22"/>
                <w:szCs w:val="22"/>
                <w:highlight w:val="none"/>
              </w:rPr>
              <w:t>》</w:t>
            </w:r>
            <w:r>
              <w:rPr>
                <w:rFonts w:hint="eastAsia" w:ascii="宋体" w:hAnsi="宋体" w:cs="宋体"/>
                <w:sz w:val="22"/>
                <w:szCs w:val="22"/>
                <w:highlight w:val="none"/>
                <w:lang w:val="en-US" w:eastAsia="zh-CN"/>
              </w:rPr>
              <w:t>A证</w:t>
            </w:r>
            <w:r>
              <w:rPr>
                <w:rFonts w:hint="eastAsia" w:ascii="宋体" w:hAnsi="宋体" w:cs="宋体"/>
                <w:sz w:val="22"/>
                <w:szCs w:val="2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宋体" w:hAnsi="宋体" w:cs="宋体"/>
                <w:sz w:val="22"/>
                <w:szCs w:val="22"/>
                <w:highlight w:val="none"/>
                <w:lang w:val="en-US" w:eastAsia="zh-CN"/>
              </w:rPr>
            </w:pPr>
            <w:r>
              <w:rPr>
                <w:rFonts w:hint="eastAsia" w:ascii="宋体" w:hAnsi="宋体" w:cs="宋体"/>
                <w:sz w:val="22"/>
                <w:szCs w:val="22"/>
                <w:highlight w:val="none"/>
                <w:lang w:val="en-US" w:eastAsia="zh-CN"/>
              </w:rPr>
              <w:t>2.具备建筑工程行业服务</w:t>
            </w:r>
            <w:bookmarkStart w:id="0" w:name="_GoBack"/>
            <w:bookmarkEnd w:id="0"/>
            <w:r>
              <w:rPr>
                <w:rFonts w:hint="eastAsia" w:ascii="宋体" w:hAnsi="宋体" w:cs="宋体"/>
                <w:sz w:val="22"/>
                <w:szCs w:val="22"/>
                <w:highlight w:val="none"/>
                <w:lang w:val="en-US" w:eastAsia="zh-CN"/>
              </w:rPr>
              <w:t>经验或建筑行业教育背景</w:t>
            </w:r>
            <w:r>
              <w:rPr>
                <w:rFonts w:hint="eastAsia" w:ascii="宋体" w:hAnsi="宋体" w:cs="宋体"/>
                <w:sz w:val="22"/>
                <w:szCs w:val="22"/>
                <w:highlight w:val="none"/>
                <w:lang w:eastAsia="zh-CN"/>
              </w:rPr>
              <w:t>；</w:t>
            </w:r>
          </w:p>
          <w:p>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rPr>
            </w:pPr>
            <w:r>
              <w:rPr>
                <w:rFonts w:hint="eastAsia" w:ascii="宋体" w:hAnsi="宋体" w:cs="宋体"/>
                <w:sz w:val="22"/>
                <w:szCs w:val="22"/>
                <w:highlight w:val="none"/>
                <w:lang w:val="en-US" w:eastAsia="zh-CN"/>
              </w:rPr>
              <w:t>3.如中标，则应严格按照投标时拟定的现场服务人员提供服务，合同期内不允许更换；现场服务人员因辞职、重大疾病等原因（或出现不可抗力原因）不能提供服务和招标人同意当属例外情形。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wNWY0YjVlMGNmODExZjM0MzQ5NDIxOTU5ZGFiMGYifQ=="/>
  </w:docVars>
  <w:rsids>
    <w:rsidRoot w:val="00000000"/>
    <w:rsid w:val="09762CC2"/>
    <w:rsid w:val="13D63656"/>
    <w:rsid w:val="15431BC1"/>
    <w:rsid w:val="1E1E141D"/>
    <w:rsid w:val="1E8C282B"/>
    <w:rsid w:val="246A716A"/>
    <w:rsid w:val="25DC5E46"/>
    <w:rsid w:val="2AFB6D6E"/>
    <w:rsid w:val="2CA43435"/>
    <w:rsid w:val="2F9003EA"/>
    <w:rsid w:val="32911D66"/>
    <w:rsid w:val="35C16E06"/>
    <w:rsid w:val="3B5129DA"/>
    <w:rsid w:val="3FD249E5"/>
    <w:rsid w:val="44D51F86"/>
    <w:rsid w:val="4C4F261E"/>
    <w:rsid w:val="4E1E674C"/>
    <w:rsid w:val="5F261904"/>
    <w:rsid w:val="5FEF343F"/>
    <w:rsid w:val="606A3A73"/>
    <w:rsid w:val="62C73C9A"/>
    <w:rsid w:val="67FDC354"/>
    <w:rsid w:val="6D725D15"/>
    <w:rsid w:val="771D13E7"/>
    <w:rsid w:val="77DFD504"/>
    <w:rsid w:val="A5CB0A85"/>
    <w:rsid w:val="DD6F539D"/>
    <w:rsid w:val="FFFBB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next w:val="1"/>
    <w:qFormat/>
    <w:uiPriority w:val="0"/>
    <w:pPr>
      <w:adjustRightInd w:val="0"/>
      <w:spacing w:after="60" w:line="360" w:lineRule="atLeast"/>
      <w:ind w:left="72" w:leftChars="30" w:right="30" w:rightChars="30"/>
      <w:jc w:val="center"/>
      <w:textAlignment w:val="baseline"/>
    </w:pPr>
    <w:rPr>
      <w:kern w:val="0"/>
      <w:sz w:val="20"/>
      <w:szCs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669</Words>
  <Characters>685</Characters>
  <Lines>0</Lines>
  <Paragraphs>0</Paragraphs>
  <TotalTime>2</TotalTime>
  <ScaleCrop>false</ScaleCrop>
  <LinksUpToDate>false</LinksUpToDate>
  <CharactersWithSpaces>685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2024-06-19T19:14:00Z</dcterms:created>
  <dc:creator>郭炳志</dc:creator>
  <cp:lastModifiedBy>GWSFW</cp:lastModifiedBy>
  <dcterms:modified xsi:type="dcterms:W3CDTF">2024-06-20T15:05:23Z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8764612BEC6448E0A346ED2FA2620103_12</vt:lpwstr>
  </property>
</Properties>
</file>