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widowControl/>
        <w:spacing w:line="560" w:lineRule="exact"/>
        <w:ind w:firstLine="320" w:firstLineChars="100"/>
        <w:jc w:val="center"/>
        <w:outlineLvl w:val="1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lang w:val="en-US" w:eastAsia="zh-CN"/>
        </w:rPr>
      </w:pPr>
      <w:bookmarkStart w:id="0" w:name="_Toc24036279"/>
      <w:bookmarkStart w:id="1" w:name="_Toc20304"/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eastAsia="zh-CN"/>
        </w:rPr>
        <w:t>深圳市建筑工务署工程设计管理中心2024-2025年度中外合作设计风险防范法律服务项目服务内容及合同主要条款</w:t>
      </w:r>
    </w:p>
    <w:bookmarkEnd w:id="0"/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/>
        <w:textAlignment w:val="auto"/>
        <w:outlineLvl w:val="2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一、服务内容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/>
        <w:textAlignment w:val="auto"/>
        <w:outlineLvl w:val="2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（一）基础法律服务内容：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2" w:firstLineChars="200"/>
        <w:contextualSpacing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A、根据招标人的实际需要，防控招标人法律风险，建立健全招标人法律风险防控机制，包括但不限于：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1、根据招标人的实际需要，主动向招标人提供和介绍与招标人业务活动相关的法律、法规及有关规定等法律信息，提高招标人工作人员法律意识；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2、深入了解和掌握招标人的日常工作及管理事务，积极、主动为招标人事务作出政策、法律风险提示，提出解决方案或建议报告，有效防控招标人法律风险；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3、协助招标人建立健全法律风险防控机制；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4、对招标人法律事务提出改进措施和合理化建议等。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2" w:firstLineChars="200"/>
        <w:contextualSpacing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B、开展法律知识培训。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协助招标人开展法制宣传教育，为招标人干部职工提供法律培训，不定期向招标人介绍宣传国家和地方有关法律法规，运用法律手段加强管理；必要时应招标人要求进行专门的法律知识讲座。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2" w:firstLineChars="200"/>
        <w:contextualSpacing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C、协助招标人处理日常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  <w:t>工作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及管理活动中所涉及的法律事务，包括：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1、就招标人日常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工作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、管理活动中所涉及的法律问题，提供咨询服务；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2、为招标人草拟、审查、修改有关法律事务文书（含涉外文件的中英文翻译），提出法律意见和建议；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3、协助招标人草拟、审查、修改内部规章制度；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、协助招标人草拟、审查、修改各类合同(建设工程设计类合同范本（含中外合作设计合同范本起草、修订）、建设工程其他前期服务合同范本，包括但不限于对合同相对方的主体资格、资质、资信、履约能力等情况进行审查以及对合同条款内容的合法合规性、可行性、严密性、完整性、风险性等进行审查，提出专业建议和修改意见，必要时出具分析报告，并协助招标人管理合同，监督跟进合同的履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5、参与招标人的约谈、谈判等事宜，准备或审核相关资料及准备有关的法律法规文件，协助制定谈判方案等，草拟、审查、修改有关法律文书，提供法律建议和意见；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6、协助招标人建立健全招标采购、合同管理体系以及相关的内部管理制度；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7、为招标人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日常工作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、管理决策或重大事项的决策提供法律建议和意见，或进行法律评估、论证；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8、应招标人要求出席有关会议，并根据会议内容发表律师意见，出具律师工作备忘或法律意见书，提出分析意见和建议；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9、应招标人要求对有关企业或项目进行资信或可行性审查，并出具审查分析报告；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10、代招标人草拟和发布有关的声明、公告、致函等文书；根据招标人的需要，以法律顾问的名义对外签发律师函；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11、应邀为招标人的有关法律事务出具法律意见书；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12、应邀为招标人的有关法律事务进行见证；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13、参与处理招标人尚未形成诉讼或仲裁的民事争议或其他纠纷，参加案件讨论会等，提供法律咨询服务，提出分析意见和建议，协助招标人进行必要的调解、和解工作；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14、提供其他日常法律顾问服务，办理招标人委托办理的其他事务。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2" w:firstLineChars="200"/>
        <w:contextualSpacing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D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、协助招标人处理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知识产权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事务，包括：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为招标/竞赛及合同签订中涉及的知识产权问题提供法律咨询、合同谈判服务；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负责收集、整理境外公共建筑设计合同中知识产权条款，并结合中心国际招标/竞赛实际情况，对招标及竞赛文件中的知识产权条款进行修订、翻译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2" w:firstLineChars="200"/>
        <w:contextualSpacing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以上A-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C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服务内容应由拟派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团队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负责人（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  <w:t>主办律师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）负责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D项由知识产权事务律师完成，团队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负责人（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  <w:t>主办律师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对其服务成果及质量负责。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2" w:firstLineChars="200"/>
        <w:contextualSpacing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E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、完成年度工作总结汇编，包括但不限于合同范本整理、合同审核问题及风险防控措施、合同管理优化建议。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2" w:firstLineChars="200"/>
        <w:contextualSpacing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F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、安排一名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  <w:t>符合招标人要求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的专职人员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  <w:t>配合招标人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处理日常合同审核、合同履约评价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  <w:t>等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法律事务工作。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/>
        <w:textAlignment w:val="auto"/>
        <w:outlineLvl w:val="2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（二）专项法律服务（如有，则另行签订专项法律服务合同）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2" w:name="_Toc24036281"/>
      <w:bookmarkStart w:id="3" w:name="_Toc9825"/>
      <w:r>
        <w:rPr>
          <w:rFonts w:hint="eastAsia" w:ascii="宋体" w:hAnsi="宋体" w:eastAsia="宋体" w:cs="宋体"/>
          <w:sz w:val="24"/>
          <w:szCs w:val="24"/>
        </w:rPr>
        <w:t>对于下列事项，其服务内容不包括在常年法律顾问服务范围之内，但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sz w:val="24"/>
          <w:szCs w:val="24"/>
        </w:rPr>
        <w:t>应在同等条件下优先委托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中标人</w:t>
      </w:r>
      <w:r>
        <w:rPr>
          <w:rFonts w:hint="eastAsia" w:ascii="宋体" w:hAnsi="宋体" w:eastAsia="宋体" w:cs="宋体"/>
          <w:sz w:val="24"/>
          <w:szCs w:val="24"/>
        </w:rPr>
        <w:t>，双方将另行</w:t>
      </w:r>
      <w:bookmarkStart w:id="16" w:name="_GoBack"/>
      <w:bookmarkEnd w:id="16"/>
      <w:r>
        <w:rPr>
          <w:rFonts w:hint="eastAsia" w:ascii="宋体" w:hAnsi="宋体" w:eastAsia="宋体" w:cs="宋体"/>
          <w:sz w:val="24"/>
          <w:szCs w:val="24"/>
        </w:rPr>
        <w:t>签署专项法律服务协议：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优先接受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sz w:val="24"/>
          <w:szCs w:val="24"/>
        </w:rPr>
        <w:t>委托，代理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sz w:val="24"/>
          <w:szCs w:val="24"/>
        </w:rPr>
        <w:t>参加民事、行政等各类纠纷案件的仲裁或诉讼（委托代理费不包括在法律顾问服务费内，双方另行签订《委托代理合同》依法维护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sz w:val="24"/>
          <w:szCs w:val="24"/>
        </w:rPr>
        <w:t>的合法权益，费用另外支付，按广东省收费标准给予八折或以上优惠，具体以双方商定为准）。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/>
        <w:textAlignment w:val="auto"/>
        <w:outlineLvl w:val="2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 服务响应时间要求</w:t>
      </w:r>
    </w:p>
    <w:bookmarkEnd w:id="2"/>
    <w:bookmarkEnd w:id="3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bookmarkStart w:id="4" w:name="_Toc24036282"/>
      <w:bookmarkStart w:id="5" w:name="_Toc3099"/>
      <w:r>
        <w:rPr>
          <w:rFonts w:hint="eastAsia" w:ascii="宋体" w:hAnsi="宋体" w:eastAsia="宋体" w:cs="宋体"/>
          <w:color w:val="000000"/>
          <w:sz w:val="24"/>
          <w:szCs w:val="24"/>
        </w:rPr>
        <w:t>（1）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中标人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须提供常设每周7天×24小时服务专线，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可随时与本项目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服务律师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联系，咨询法律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事务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（2）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中标人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向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提供法律信息应主动、及时、完整、准确；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（3）对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的服务通知，项目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服务律师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需在接报后立即响应：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a.可以即时解答的即时解答，不能即时解答且时间紧急的必须按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要求时间及时解答，其他情况下原则上应在接报后一个工作日内解答；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b.如工作人员无法胜任需要项目负责人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或主办律师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提供上门现场服务的，应按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的服务时间要求提前10分钟到达现场；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c.需要提供书面咨询意见、咨询成果资料或出具书面法律意见、报告及其他法律文书的，应在接报或资料齐全后三个工作日内完成并提交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outlineLvl w:val="2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（4）情况紧急的，项目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服务律师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应积极配合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的需求根据工作实际及时完成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交办的事务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（5）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有权要求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中标人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通报工作进程。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交办的法律事务，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中标人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团队在受理后，可要求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有关工作部门提供完整的文件资料，以确保法律咨询意见的准确性和法律服务的质量。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4.属于合同范围的各项法律事务，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中标人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应当及时办理完毕。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对时限有明确要求的法律事务，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中标人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应在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规定的时限内办理完成，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对时限没有要求的法律事务，一般法律事务（合同审核、普通文件合法性审查等）应在三个工作日内完成，复杂法律事务应在五个工作日内完成。需延长工作时间的，应当征得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同意。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5.在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业务活动中，遇有重大或突发法律事件出现时，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中标人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应根据通知保证委派律师到场，处理有关事务。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560"/>
        <w:textAlignment w:val="auto"/>
        <w:outlineLvl w:val="1"/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服务期限</w:t>
      </w:r>
      <w:bookmarkEnd w:id="4"/>
      <w:bookmarkEnd w:id="5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本项目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合同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服务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期自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日起至202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2.在合同服务期结束前一个月，招标人有权组织对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中标人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合同期内服务进行履约评价，如履约评价等级为优秀的，经招标人内部决策会议审议同意可与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中标人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续签一次服务合同，服务期一年，服务合同实质性条款内容不变。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560"/>
        <w:textAlignment w:val="auto"/>
        <w:outlineLvl w:val="1"/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</w:pPr>
      <w:bookmarkStart w:id="6" w:name="_Toc30246"/>
      <w:bookmarkStart w:id="7" w:name="_Toc24036284"/>
      <w:bookmarkStart w:id="8" w:name="_Hlk5549334"/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四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eastAsia="zh-CN"/>
        </w:rPr>
        <w:t>、价款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及支付</w:t>
      </w:r>
      <w:bookmarkEnd w:id="6"/>
      <w:bookmarkEnd w:id="7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1.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合同价款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本合同项下总价款为</w:t>
      </w:r>
      <w:bookmarkStart w:id="9" w:name="_Hlk8848131"/>
      <w:bookmarkStart w:id="10" w:name="_Hlk6251000"/>
      <w:r>
        <w:rPr>
          <w:rFonts w:hint="eastAsia" w:ascii="宋体" w:hAnsi="宋体" w:eastAsia="宋体" w:cs="宋体"/>
          <w:color w:val="000000"/>
          <w:sz w:val="24"/>
          <w:szCs w:val="24"/>
        </w:rPr>
        <w:t>固定价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年度费用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共计</w:t>
      </w:r>
      <w:bookmarkEnd w:id="9"/>
      <w:r>
        <w:rPr>
          <w:rFonts w:hint="eastAsia" w:ascii="宋体" w:hAnsi="宋体" w:eastAsia="宋体" w:cs="宋体"/>
          <w:color w:val="000000"/>
          <w:sz w:val="24"/>
          <w:szCs w:val="24"/>
        </w:rPr>
        <w:t>人民币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元（小写：¥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  <w:t>，此处合同价为中标价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</w:t>
      </w:r>
      <w:bookmarkEnd w:id="10"/>
      <w:bookmarkStart w:id="11" w:name="_Hlk6251237"/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  <w:bookmarkEnd w:id="11"/>
      <w:r>
        <w:rPr>
          <w:rFonts w:hint="eastAsia" w:ascii="宋体" w:hAnsi="宋体" w:eastAsia="宋体" w:cs="宋体"/>
          <w:color w:val="000000"/>
          <w:sz w:val="24"/>
          <w:szCs w:val="24"/>
        </w:rPr>
        <w:t>该合同价款包括完成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基础法律服务内容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服务所有工作量的全部费用，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中标人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律师为办理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委托事务或处理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法律顾问事务所实际开支的必要费用（包括深圳市外的交通费、通讯费、住宿费及相关部门收取的费用和资料复制费等）由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承担，差旅费用实报实销。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2.</w:t>
      </w:r>
      <w:bookmarkStart w:id="12" w:name="_Hlk33090694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本合同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价款支付方式为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：</w:t>
      </w:r>
      <w:bookmarkEnd w:id="12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本合同总价款分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期付款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，具体如下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首期：合同签订及服务团队人员到岗后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支付本合同总价款的3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0%，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中标人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提出的付款申请，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招标人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支付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中标人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人民币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（小写：¥</w:t>
      </w:r>
      <w:bookmarkStart w:id="13" w:name="_Hlk33101783"/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bookmarkEnd w:id="13"/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期：服务期开始两个月之后，六个月之内，根据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中标人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提出的付款申请，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招标人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支付本合同总价款的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人民币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（小写：¥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期：服务期开始六个月之后，根据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中标人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提出的付款申请，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招标人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支付本合同总价款的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人民币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（小写：¥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期：本合同总价款的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0%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（即人民币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元整，小写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¥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）为绩效酬金，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根据年度履约评价结果支付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，合同履约期届满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一个月内由招标人组织对中标人进行年度履约评价，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履约评价结果分优秀、良好、中等、合格、不合格五档，对应的绩效酬金支付比例分别为100%、100%、80%、60%、0%。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bookmarkStart w:id="14" w:name="_Hlk6251749"/>
      <w:r>
        <w:rPr>
          <w:rFonts w:hint="eastAsia" w:ascii="宋体" w:hAnsi="宋体" w:eastAsia="宋体" w:cs="宋体"/>
          <w:color w:val="000000"/>
          <w:sz w:val="24"/>
          <w:szCs w:val="24"/>
        </w:rPr>
        <w:t>3.各期付款前，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中标人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都需向</w:t>
      </w:r>
      <w:bookmarkStart w:id="15" w:name="_Hlk33090546"/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提供</w:t>
      </w:r>
      <w:bookmarkEnd w:id="15"/>
      <w:r>
        <w:rPr>
          <w:rFonts w:hint="eastAsia" w:ascii="宋体" w:hAnsi="宋体" w:eastAsia="宋体" w:cs="宋体"/>
          <w:color w:val="000000"/>
          <w:sz w:val="24"/>
          <w:szCs w:val="24"/>
        </w:rPr>
        <w:t>付款申请书和等额合法有效的发票，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在收到付款申请书和发票后及时办理完审批手续并提交财政部门，所有费用由财政部门以转账方式予以支付。若因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中标人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原因或财政拨款问题导致的迟延支付，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不承担任何责任，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中标人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应继续履行相关义务。</w:t>
      </w:r>
    </w:p>
    <w:bookmarkEnd w:id="8"/>
    <w:bookmarkEnd w:id="1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3DFF82-FB9B-4378-A412-343819E198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60298F5-EE49-4AFD-B7FD-322E199AEE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NzQ0OWNkMTQ2MGIxYTU3MzhkMDIxZDQ4ODU4NzgifQ=="/>
  </w:docVars>
  <w:rsids>
    <w:rsidRoot w:val="4A1947CF"/>
    <w:rsid w:val="009A7605"/>
    <w:rsid w:val="0882554E"/>
    <w:rsid w:val="0E76345F"/>
    <w:rsid w:val="1A5F124B"/>
    <w:rsid w:val="1A840CB2"/>
    <w:rsid w:val="1B3C9667"/>
    <w:rsid w:val="1CF59360"/>
    <w:rsid w:val="1EFF2FFD"/>
    <w:rsid w:val="1F13143E"/>
    <w:rsid w:val="1FA72E60"/>
    <w:rsid w:val="27F05BD9"/>
    <w:rsid w:val="34763909"/>
    <w:rsid w:val="3D72BC07"/>
    <w:rsid w:val="3E57A2A6"/>
    <w:rsid w:val="3EBE5A47"/>
    <w:rsid w:val="3F485EA2"/>
    <w:rsid w:val="3FC7EDA4"/>
    <w:rsid w:val="3FEDFE50"/>
    <w:rsid w:val="3FEF34B6"/>
    <w:rsid w:val="406B3BF6"/>
    <w:rsid w:val="4A1947CF"/>
    <w:rsid w:val="4B6FD22B"/>
    <w:rsid w:val="56CD6F61"/>
    <w:rsid w:val="5BDEC6D3"/>
    <w:rsid w:val="5DFFF1A5"/>
    <w:rsid w:val="5ECB173D"/>
    <w:rsid w:val="5ECF7BC3"/>
    <w:rsid w:val="5FBF1CD1"/>
    <w:rsid w:val="60FF41BB"/>
    <w:rsid w:val="67CB4742"/>
    <w:rsid w:val="67F7F10F"/>
    <w:rsid w:val="6ABBB6DF"/>
    <w:rsid w:val="6BFF574E"/>
    <w:rsid w:val="6F0357BE"/>
    <w:rsid w:val="6FAF1862"/>
    <w:rsid w:val="6FCF4B69"/>
    <w:rsid w:val="6FFED7C5"/>
    <w:rsid w:val="70370A27"/>
    <w:rsid w:val="71FEAC30"/>
    <w:rsid w:val="75D6099C"/>
    <w:rsid w:val="75FF9116"/>
    <w:rsid w:val="76A96FF5"/>
    <w:rsid w:val="76FB4ACC"/>
    <w:rsid w:val="77E97109"/>
    <w:rsid w:val="77F4039A"/>
    <w:rsid w:val="782B19EF"/>
    <w:rsid w:val="79F101E0"/>
    <w:rsid w:val="7A5DB829"/>
    <w:rsid w:val="7A9DB952"/>
    <w:rsid w:val="7AF9D8FA"/>
    <w:rsid w:val="7BEDBE50"/>
    <w:rsid w:val="7BF764B6"/>
    <w:rsid w:val="7D4BF5A4"/>
    <w:rsid w:val="7D5611AF"/>
    <w:rsid w:val="7D7F1D77"/>
    <w:rsid w:val="7DAF5449"/>
    <w:rsid w:val="7EEF852D"/>
    <w:rsid w:val="7EFF6350"/>
    <w:rsid w:val="7F9757AF"/>
    <w:rsid w:val="7FEBECC9"/>
    <w:rsid w:val="7FFD1676"/>
    <w:rsid w:val="7FFFBE5C"/>
    <w:rsid w:val="92FE827B"/>
    <w:rsid w:val="B7763117"/>
    <w:rsid w:val="B7A6CF58"/>
    <w:rsid w:val="BB6D1CE9"/>
    <w:rsid w:val="BB6E38EF"/>
    <w:rsid w:val="BB6F782F"/>
    <w:rsid w:val="BF9F5AD2"/>
    <w:rsid w:val="BFFFD667"/>
    <w:rsid w:val="CA6D2BA1"/>
    <w:rsid w:val="CFF76A54"/>
    <w:rsid w:val="D33F4958"/>
    <w:rsid w:val="D4E73C0B"/>
    <w:rsid w:val="DE39AAC5"/>
    <w:rsid w:val="DFF7B9C1"/>
    <w:rsid w:val="E7DF136E"/>
    <w:rsid w:val="EF77EE95"/>
    <w:rsid w:val="EFBC9007"/>
    <w:rsid w:val="EFCFE4D1"/>
    <w:rsid w:val="EFEF7197"/>
    <w:rsid w:val="F7F7C989"/>
    <w:rsid w:val="FAFFC493"/>
    <w:rsid w:val="FBFD4308"/>
    <w:rsid w:val="FC771AF9"/>
    <w:rsid w:val="FCDF2DCA"/>
    <w:rsid w:val="FD97F93F"/>
    <w:rsid w:val="FDF6B3B4"/>
    <w:rsid w:val="FDFA77C4"/>
    <w:rsid w:val="FDFF80A1"/>
    <w:rsid w:val="FEE809BF"/>
    <w:rsid w:val="FEFC1731"/>
    <w:rsid w:val="FEFFA423"/>
    <w:rsid w:val="FF9B98CE"/>
    <w:rsid w:val="FF9F8FF0"/>
    <w:rsid w:val="FFB7F725"/>
    <w:rsid w:val="FFED8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  <w:lang w:val="zh-CN"/>
    </w:rPr>
  </w:style>
  <w:style w:type="paragraph" w:styleId="3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lain Text1"/>
    <w:basedOn w:val="1"/>
    <w:qFormat/>
    <w:uiPriority w:val="99"/>
    <w:pPr>
      <w:autoSpaceDE w:val="0"/>
      <w:autoSpaceDN w:val="0"/>
      <w:adjustRightInd w:val="0"/>
      <w:textAlignment w:val="baseline"/>
    </w:pPr>
    <w:rPr>
      <w:rFonts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3019</Words>
  <Characters>3074</Characters>
  <Lines>0</Lines>
  <Paragraphs>0</Paragraphs>
  <TotalTime>24</TotalTime>
  <ScaleCrop>false</ScaleCrop>
  <LinksUpToDate>false</LinksUpToDate>
  <CharactersWithSpaces>3160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2018-07-13T23:11:00Z</dcterms:created>
  <dc:creator>d</dc:creator>
  <cp:lastModifiedBy>Eric</cp:lastModifiedBy>
  <dcterms:modified xsi:type="dcterms:W3CDTF">2024-06-21T13:02:37Z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2A9123236DA9156FBF714B6497076515</vt:lpwstr>
  </property>
</Properties>
</file>