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  <w:bookmarkStart w:id="0" w:name="_Toc6412"/>
      <w:bookmarkStart w:id="1" w:name="_Toc24036278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深圳市建筑工务署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2024-2025年度常年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法律顾问项目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服务内容及</w:t>
      </w:r>
      <w:bookmarkEnd w:id="0"/>
      <w:bookmarkEnd w:id="1"/>
      <w:bookmarkStart w:id="2" w:name="_Toc24036279"/>
      <w:bookmarkStart w:id="3" w:name="_Toc20304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合同主要条款</w:t>
      </w:r>
    </w:p>
    <w:bookmarkEnd w:id="2"/>
    <w:bookmarkEnd w:id="3"/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一、服务内容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（一）基础法律服务内容：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安排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一名符合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招标文件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要求的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律师（律师助理）为招标人提供现场法律服务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2.根据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的实际需要，防控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法律风险，建立健全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法律风险防控机制，包括但不限于：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（1）根据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的实际需要，主动向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提供和介绍与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业务活动相关的法律、法规及有关规定等法律信息，提高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工作人员法律意识；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（2）深入了解和掌握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的日常经营及管理事务，积极、主动为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事务作出政策、法律风险提示，提出解决方案或建议报告，有效防控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法律风险；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建立健全法律风险防控机制；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法律事务提出改进措施和合理化建议等。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3.开展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政策法规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知识培训。协助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开展法制宣传教育，为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干部职工提供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政策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法律培训，不定期向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介绍宣传国家和地方有关法律法规，运用法律手段加强管理；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根据招标人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，提供建设工程及有关领域知名专家学者为招标人开展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法律知识讲座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3次为限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处理日常经营及管理活动中所涉及的法律事务，包括：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日常经营、管理活动中所涉及的法律问题，提供咨询服务；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草拟、审查、修改有关法律事务文书，提出法律意见和建议；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草拟、审查、修改内部规章制度；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草拟、审查、修改各类合同，包括但不限于对合同相对方的主体资格、资质、资信、履约能力等情况进行审查以及对合同条款内容的合法合规性、可行性、严密性、完整性、风险性等进行审查，提出专业建议和修改意见，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求出具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书面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分析报告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或法律意见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，并协助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管理合同，监督跟进合同的履行；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（5）参与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的约谈、谈判等事宜，准备或审核相关资料及准备有关的法律法规文件，协助制定谈判方案等，草拟、审查、修改有关法律文书，提供法律建议和意见；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（6）协助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建立健全招标采购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及相关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合同管理体系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（7）为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经营、管理决策或重大事项的决策提供法律建议和意见，或进行法律论证、评估；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（8）应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要求出席有关会议，并根据会议内容发表律师意见，出具律师工作备忘或法律意见书，提出分析意见和建议；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（9）应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要求对有关企业或项目进行资信或可行性审查，并出具审查分析报告；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（10）代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草拟和发布有关的声明、公告、致函等文书；根据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的需要，以法律顾问的名义对外签发律师函；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（11）应邀为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的有关法律事务出具法律意见书；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（12）应邀为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的有关法律事务进行见证；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（13）参与处理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尚未形成诉讼或仲裁的民事争议或其他纠纷，参加案件讨论会等，提供法律咨询服务，提出分析意见和建议，协助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进行必要的调解、和解工作；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（14）服务期限内，乙方须根据法律服务工作开展情况、个案解决过程中发现的特殊或共性问题、存在风险等按季度向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报送季度服务总结，适时提醒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在以后的工作中及时改进工作，防范风险，并根据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要求提交如实的年度服务总结；服务期限届满，乙方须另外向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提交完整服务期的书面总结报告并向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移交完整的相关资料档案，协助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做好归档、总结工作，总结内容应包括但不限于服务期内承担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法律服务事项情况说明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经验总结及提出工作建议，上述工作将作为合同价余款支付的重要依据之一。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（15）提供其他日常法律顾问服务，办理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委托办理的其他事务。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（二）专项法律服务（如有，则另行签订专项法律服务合同）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对于下列事项，其服务内容不包括在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本项目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常年法律顾问服务范围之内，但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应在同等条件下优先委托乙方，双方将另行签署专项法律服务协议：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1.优先接受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委托，代理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参加民事、行政等各类纠纷案件的仲裁或诉讼，依法维护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的合法权益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将另行与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协商签订专项委托代理合同，费用另行支付，不包含在本项目总价中。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2.根据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需求，可为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提供重大合同起草和合同法律风险方面的管理与防范服务。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进行有关企业资信调查，并出具调查报告。 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4．为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的特定法律行为出具律师见证书，代理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的重大经济项目谈判，并提供相应法律意见。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5.知识产权商品化、资本化、质押融资、特许经营等事务，设计知识产权运营方案与合同。 </w:t>
      </w:r>
    </w:p>
    <w:p>
      <w:pPr>
        <w:widowControl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6.代理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单位办理商标、专利的申请、注册、转让及代理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开展“打假”、维护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合法权益等知识产权专项法律服务。  </w:t>
      </w:r>
    </w:p>
    <w:p>
      <w:pPr>
        <w:widowControl/>
        <w:adjustRightInd/>
        <w:snapToGrid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7.办理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单位委托的其他专项法律事务。</w:t>
      </w:r>
      <w:bookmarkStart w:id="4" w:name="_Toc9825"/>
      <w:bookmarkStart w:id="5" w:name="_Toc24036281"/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服务响应时间要求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（1）乙方须提供常设每周7天×24小时服务专线，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招标人在工作时间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可随时与本项目服务律师联系，咨询法律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事务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（2）乙方向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提供法律信息应主动、及时、完整、准确；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的服务通知，项目服务律师需在接报后立即响应：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①可以即时解答的即时解答，不能即时解答且时间紧急的必须按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要求时间及时解答，其他情况下原则上应在接报后一个工作日内解答；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现场服务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人员无法胜任，需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项目负责人或主办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律师现场服务的，应按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的服务时间要求提前10分钟到达现场；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③需要提供书面咨询意见、咨询成果资料或出具书面法律意见、报告及其他法律文书的，应在接报或资料齐全后五个工作日内完成并提交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（4）情况紧急的，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本项目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服务律师应积极配合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的需求根据工作实际及时完成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交办的事务。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有权要求乙方通报工作进程。</w:t>
      </w:r>
    </w:p>
    <w:p>
      <w:pPr>
        <w:adjustRightInd w:val="0"/>
        <w:snapToGrid w:val="0"/>
        <w:spacing w:line="560" w:lineRule="exact"/>
        <w:ind w:firstLine="480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业务活动中，遇有重大或突发法律事件出现时，乙方应根据通知保证委派律师到场，处理有关事务。</w:t>
      </w:r>
    </w:p>
    <w:bookmarkEnd w:id="4"/>
    <w:bookmarkEnd w:id="5"/>
    <w:p>
      <w:pPr>
        <w:widowControl/>
        <w:spacing w:line="560" w:lineRule="exact"/>
        <w:ind w:firstLine="560"/>
        <w:outlineLvl w:val="1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</w:pPr>
      <w:bookmarkStart w:id="6" w:name="_Toc24036282"/>
      <w:bookmarkStart w:id="7" w:name="_Toc3099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  <w:t>服务期限</w:t>
      </w:r>
      <w:bookmarkEnd w:id="6"/>
      <w:bookmarkEnd w:id="7"/>
    </w:p>
    <w:p>
      <w:pPr>
        <w:adjustRightInd w:val="0"/>
        <w:snapToGrid w:val="0"/>
        <w:spacing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本项目服务期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自签订合同之日起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年。</w:t>
      </w:r>
    </w:p>
    <w:p>
      <w:pPr>
        <w:adjustRightInd w:val="0"/>
        <w:snapToGrid w:val="0"/>
        <w:spacing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2.在合同服务期结束前一个月，招标人有权组织对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合同期内服务进行履约评价，如履约评价等级为优秀的，经招标人内部决策会议审议同意可与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续签一次服务合同，服务期一年，服务合同实质性条款内容不变。</w:t>
      </w:r>
    </w:p>
    <w:p>
      <w:pPr>
        <w:widowControl/>
        <w:spacing w:line="560" w:lineRule="exact"/>
        <w:ind w:firstLine="560"/>
        <w:outlineLvl w:val="1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</w:pPr>
      <w:bookmarkStart w:id="8" w:name="_Toc24036284"/>
      <w:bookmarkStart w:id="9" w:name="_Toc30246"/>
      <w:bookmarkStart w:id="10" w:name="_Hlk5549334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  <w:t>四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  <w:lang w:eastAsia="zh-CN"/>
        </w:rPr>
        <w:t>、价款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  <w:t>及支付</w:t>
      </w:r>
      <w:bookmarkEnd w:id="8"/>
      <w:bookmarkEnd w:id="9"/>
    </w:p>
    <w:p>
      <w:pPr>
        <w:adjustRightInd w:val="0"/>
        <w:snapToGrid w:val="0"/>
        <w:spacing w:line="560" w:lineRule="exact"/>
        <w:ind w:firstLine="48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合同价款</w:t>
      </w:r>
    </w:p>
    <w:p>
      <w:pPr>
        <w:adjustRightInd w:val="0"/>
        <w:snapToGrid w:val="0"/>
        <w:spacing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本合同项下总价款为</w:t>
      </w:r>
      <w:bookmarkStart w:id="11" w:name="_Hlk8848131"/>
      <w:bookmarkStart w:id="12" w:name="_Hlk6251000"/>
      <w:r>
        <w:rPr>
          <w:rFonts w:hint="eastAsia" w:ascii="宋体" w:hAnsi="宋体" w:eastAsia="宋体" w:cs="宋体"/>
          <w:color w:val="000000"/>
          <w:sz w:val="24"/>
          <w:szCs w:val="24"/>
        </w:rPr>
        <w:t>固定价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年度费用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共计</w:t>
      </w:r>
      <w:bookmarkEnd w:id="11"/>
      <w:r>
        <w:rPr>
          <w:rFonts w:hint="eastAsia" w:ascii="宋体" w:hAnsi="宋体" w:eastAsia="宋体" w:cs="宋体"/>
          <w:color w:val="000000"/>
          <w:sz w:val="24"/>
          <w:szCs w:val="24"/>
        </w:rPr>
        <w:t>人民币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元（小写：¥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，此处合同价为中标价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bookmarkEnd w:id="12"/>
      <w:bookmarkStart w:id="13" w:name="_Hlk6251237"/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bookmarkEnd w:id="13"/>
      <w:r>
        <w:rPr>
          <w:rFonts w:hint="eastAsia" w:ascii="宋体" w:hAnsi="宋体" w:eastAsia="宋体" w:cs="宋体"/>
          <w:color w:val="000000"/>
          <w:sz w:val="24"/>
          <w:szCs w:val="24"/>
        </w:rPr>
        <w:t>该合同价款包括完成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基础法律服务内容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服务所有工作量的全部费用，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乙方律师为办理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委托事务或处理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法律顾问事务所实际开支的必要费用（包括深圳市外的交通费、通讯费、住宿费及相关部门收取的费用和资料复制费等）由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承担，差旅费用实报实销。</w:t>
      </w:r>
    </w:p>
    <w:p>
      <w:pPr>
        <w:adjustRightInd w:val="0"/>
        <w:snapToGrid w:val="0"/>
        <w:spacing w:line="560" w:lineRule="exact"/>
        <w:ind w:firstLine="48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2.</w:t>
      </w:r>
      <w:bookmarkStart w:id="14" w:name="_Hlk33090694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本合同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价款支付方式为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  <w:bookmarkEnd w:id="14"/>
    </w:p>
    <w:p>
      <w:pPr>
        <w:adjustRightInd w:val="0"/>
        <w:snapToGrid w:val="0"/>
        <w:spacing w:line="560" w:lineRule="exact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本合同总价款分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期付款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，具体如下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560" w:lineRule="exact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首期：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自本合同签订之日起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一个月内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支付本合同总价款的3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根据乙方提出的付款申请，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支付乙方人民币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（小写：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¥</w:t>
      </w:r>
      <w:bookmarkStart w:id="15" w:name="_Hlk33101783"/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bookmarkEnd w:id="15"/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）；</w:t>
      </w:r>
    </w:p>
    <w:p>
      <w:pPr>
        <w:adjustRightInd w:val="0"/>
        <w:snapToGrid w:val="0"/>
        <w:spacing w:line="560" w:lineRule="exact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六个月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服务期结束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乙方提交半年度服务总结报告后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，根据乙方提出的付款申请，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支付本合同总价款的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55</w:t>
      </w:r>
      <w:bookmarkStart w:id="18" w:name="_GoBack"/>
      <w:bookmarkEnd w:id="18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（小写：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）；</w:t>
      </w:r>
    </w:p>
    <w:p>
      <w:pPr>
        <w:adjustRightInd w:val="0"/>
        <w:snapToGrid w:val="0"/>
        <w:spacing w:line="560" w:lineRule="exact"/>
        <w:ind w:firstLine="48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期：本合同总价款的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（即人民币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元整，小写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¥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）为绩效酬金，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根据年度履约评价结果支付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，合同履约期届满后一个月内由招标人组织对乙方进行年度履约评价，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履约评价结果为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良及以上时支付绩效酬金的100%，履约评价结果为合格时支付80%，履约评价结果为不合格时则不予支付。</w:t>
      </w:r>
    </w:p>
    <w:p>
      <w:pPr>
        <w:adjustRightInd w:val="0"/>
        <w:snapToGrid w:val="0"/>
        <w:spacing w:line="560" w:lineRule="exact"/>
        <w:ind w:firstLine="480"/>
        <w:rPr>
          <w:rFonts w:ascii="宋体" w:hAnsi="宋体" w:eastAsia="宋体" w:cs="宋体"/>
          <w:color w:val="000000"/>
          <w:sz w:val="24"/>
          <w:szCs w:val="24"/>
        </w:rPr>
      </w:pPr>
      <w:bookmarkStart w:id="16" w:name="_Hlk6251749"/>
      <w:r>
        <w:rPr>
          <w:rFonts w:hint="eastAsia" w:ascii="宋体" w:hAnsi="宋体" w:eastAsia="宋体" w:cs="宋体"/>
          <w:color w:val="000000"/>
          <w:sz w:val="24"/>
          <w:szCs w:val="24"/>
        </w:rPr>
        <w:t>3.各期付款前，乙方都需向</w:t>
      </w:r>
      <w:bookmarkStart w:id="17" w:name="_Hlk33090546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bookmarkEnd w:id="17"/>
      <w:r>
        <w:rPr>
          <w:rFonts w:hint="eastAsia" w:ascii="宋体" w:hAnsi="宋体" w:eastAsia="宋体" w:cs="宋体"/>
          <w:color w:val="000000"/>
          <w:sz w:val="24"/>
          <w:szCs w:val="24"/>
        </w:rPr>
        <w:t>付款申请书和等额合法有效的发票，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在收到付款申请书和发票后及时</w:t>
      </w:r>
      <w:r>
        <w:rPr>
          <w:rFonts w:ascii="宋体" w:hAnsi="宋体" w:eastAsia="宋体" w:cs="宋体"/>
          <w:color w:val="000000"/>
          <w:sz w:val="24"/>
          <w:szCs w:val="24"/>
        </w:rPr>
        <w:t>办理完审批手续并提交财政部门，所有费用由财政部门以转账方式予以支付。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若因乙方原因或财政拨款问题导致的迟延支付，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不承担任何责任，乙方应继续履行相关义务。</w:t>
      </w:r>
    </w:p>
    <w:bookmarkEnd w:id="10"/>
    <w:bookmarkEnd w:id="1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3C9667"/>
    <w:rsid w:val="1F13143E"/>
    <w:rsid w:val="1FA72E60"/>
    <w:rsid w:val="37BE0884"/>
    <w:rsid w:val="3D72BC07"/>
    <w:rsid w:val="3E57A2A6"/>
    <w:rsid w:val="3FC7EDA4"/>
    <w:rsid w:val="3FEDFE50"/>
    <w:rsid w:val="3FEF34B6"/>
    <w:rsid w:val="4A1947CF"/>
    <w:rsid w:val="4B6FD22B"/>
    <w:rsid w:val="4FFEE049"/>
    <w:rsid w:val="55F79ABA"/>
    <w:rsid w:val="5BDEC6D3"/>
    <w:rsid w:val="5ECB173D"/>
    <w:rsid w:val="5ECF7BC3"/>
    <w:rsid w:val="5F46F9D9"/>
    <w:rsid w:val="5FBF1CD1"/>
    <w:rsid w:val="67CB4742"/>
    <w:rsid w:val="67F7F10F"/>
    <w:rsid w:val="6ABBB6DF"/>
    <w:rsid w:val="6BFF574E"/>
    <w:rsid w:val="6FAF1862"/>
    <w:rsid w:val="6FCF4B69"/>
    <w:rsid w:val="6FFED7C5"/>
    <w:rsid w:val="71FEAC30"/>
    <w:rsid w:val="75D6099C"/>
    <w:rsid w:val="75FF9116"/>
    <w:rsid w:val="76FB4ACC"/>
    <w:rsid w:val="77E97109"/>
    <w:rsid w:val="79674D8D"/>
    <w:rsid w:val="79F101E0"/>
    <w:rsid w:val="79F9705A"/>
    <w:rsid w:val="7A5DB829"/>
    <w:rsid w:val="7A9DB952"/>
    <w:rsid w:val="7AF9D8FA"/>
    <w:rsid w:val="7BF764B6"/>
    <w:rsid w:val="7D4BF5A4"/>
    <w:rsid w:val="7D7F1D77"/>
    <w:rsid w:val="7DAF5449"/>
    <w:rsid w:val="7EEF852D"/>
    <w:rsid w:val="7EFF6350"/>
    <w:rsid w:val="7F9757AF"/>
    <w:rsid w:val="7FC9E78B"/>
    <w:rsid w:val="7FEBECC9"/>
    <w:rsid w:val="7FFD1676"/>
    <w:rsid w:val="7FFFA199"/>
    <w:rsid w:val="7FFFBE5C"/>
    <w:rsid w:val="92FE827B"/>
    <w:rsid w:val="A6FA280D"/>
    <w:rsid w:val="B6A5FAE8"/>
    <w:rsid w:val="B7763117"/>
    <w:rsid w:val="B7A6CF58"/>
    <w:rsid w:val="BB6D1CE9"/>
    <w:rsid w:val="BB6E38EF"/>
    <w:rsid w:val="BB6F782F"/>
    <w:rsid w:val="BEBD47EC"/>
    <w:rsid w:val="BF9F5AD2"/>
    <w:rsid w:val="BFFFD667"/>
    <w:rsid w:val="CA6D2BA1"/>
    <w:rsid w:val="CFF76A54"/>
    <w:rsid w:val="D33F4958"/>
    <w:rsid w:val="D4E73C0B"/>
    <w:rsid w:val="DE39AAC5"/>
    <w:rsid w:val="DFF7B9C1"/>
    <w:rsid w:val="DFF92B26"/>
    <w:rsid w:val="E7DF136E"/>
    <w:rsid w:val="EF77EE95"/>
    <w:rsid w:val="EFBC9007"/>
    <w:rsid w:val="EFCFE4D1"/>
    <w:rsid w:val="EFEF7197"/>
    <w:rsid w:val="F7F7C989"/>
    <w:rsid w:val="FAFFC493"/>
    <w:rsid w:val="FBE5AF34"/>
    <w:rsid w:val="FBFD4308"/>
    <w:rsid w:val="FC771AF9"/>
    <w:rsid w:val="FCDF2DCA"/>
    <w:rsid w:val="FD97F93F"/>
    <w:rsid w:val="FDFA77C4"/>
    <w:rsid w:val="FDFDC25C"/>
    <w:rsid w:val="FDFF80A1"/>
    <w:rsid w:val="FEE809BF"/>
    <w:rsid w:val="FEFC1731"/>
    <w:rsid w:val="FEFFA423"/>
    <w:rsid w:val="FF9B98CE"/>
    <w:rsid w:val="FF9F8FF0"/>
    <w:rsid w:val="FFB7F725"/>
    <w:rsid w:val="FFED8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lain Text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GWSFW</cp:lastModifiedBy>
  <dcterms:modified xsi:type="dcterms:W3CDTF">2024-06-20T14:43:26Z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2A9123236DA9156FBF714B6497076515</vt:lpwstr>
  </property>
</Properties>
</file>