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cs="宋体"/>
        </w:rPr>
      </w:pPr>
      <w:r>
        <w:rPr>
          <w:rFonts w:hint="eastAsia" w:ascii="宋体" w:hAnsi="宋体" w:cs="宋体"/>
          <w:sz w:val="28"/>
          <w:szCs w:val="28"/>
        </w:rPr>
        <w:t>附件1：</w:t>
      </w:r>
    </w:p>
    <w:p>
      <w:pPr>
        <w:jc w:val="center"/>
        <w:rPr>
          <w:rFonts w:hint="eastAsia" w:ascii="仿宋" w:hAnsi="仿宋"/>
          <w:b/>
          <w:sz w:val="32"/>
          <w:szCs w:val="32"/>
        </w:rPr>
      </w:pPr>
      <w:r>
        <w:rPr>
          <w:rFonts w:hint="eastAsia" w:ascii="仿宋" w:hAnsi="仿宋"/>
          <w:b/>
          <w:sz w:val="32"/>
          <w:szCs w:val="32"/>
        </w:rPr>
        <w:t>投标报价书</w:t>
      </w:r>
    </w:p>
    <w:tbl>
      <w:tblPr>
        <w:tblStyle w:val="4"/>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5103"/>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noWrap w:val="0"/>
            <w:vAlign w:val="center"/>
          </w:tcPr>
          <w:p>
            <w:pPr>
              <w:jc w:val="center"/>
              <w:rPr>
                <w:rFonts w:ascii="仿宋" w:hAnsi="仿宋"/>
                <w:b/>
              </w:rPr>
            </w:pPr>
            <w:r>
              <w:rPr>
                <w:rFonts w:hint="eastAsia" w:ascii="仿宋" w:hAnsi="仿宋"/>
                <w:b/>
              </w:rPr>
              <w:t>编号</w:t>
            </w:r>
          </w:p>
        </w:tc>
        <w:tc>
          <w:tcPr>
            <w:tcW w:w="5103" w:type="dxa"/>
            <w:noWrap w:val="0"/>
            <w:vAlign w:val="center"/>
          </w:tcPr>
          <w:p>
            <w:pPr>
              <w:jc w:val="center"/>
              <w:rPr>
                <w:rFonts w:ascii="仿宋" w:hAnsi="仿宋"/>
                <w:b/>
              </w:rPr>
            </w:pPr>
            <w:r>
              <w:rPr>
                <w:rFonts w:hint="eastAsia" w:ascii="仿宋" w:hAnsi="仿宋"/>
                <w:b/>
              </w:rPr>
              <w:t>工程名称</w:t>
            </w:r>
          </w:p>
        </w:tc>
        <w:tc>
          <w:tcPr>
            <w:tcW w:w="1559" w:type="dxa"/>
            <w:tcBorders>
              <w:right w:val="single" w:color="auto" w:sz="4" w:space="0"/>
            </w:tcBorders>
            <w:noWrap w:val="0"/>
            <w:vAlign w:val="center"/>
          </w:tcPr>
          <w:p>
            <w:pPr>
              <w:jc w:val="center"/>
              <w:rPr>
                <w:rFonts w:hint="eastAsia" w:ascii="宋体" w:hAnsi="宋体" w:cs="宋体"/>
                <w:b/>
              </w:rPr>
            </w:pPr>
            <w:r>
              <w:rPr>
                <w:rFonts w:hint="eastAsia" w:ascii="宋体" w:hAnsi="宋体" w:cs="宋体"/>
                <w:b/>
              </w:rPr>
              <w:t>投标上限价（万元）</w:t>
            </w:r>
          </w:p>
        </w:tc>
        <w:tc>
          <w:tcPr>
            <w:tcW w:w="1843" w:type="dxa"/>
            <w:tcBorders>
              <w:left w:val="single" w:color="auto" w:sz="4" w:space="0"/>
            </w:tcBorders>
            <w:noWrap w:val="0"/>
            <w:vAlign w:val="center"/>
          </w:tcPr>
          <w:p>
            <w:pPr>
              <w:jc w:val="center"/>
              <w:rPr>
                <w:rFonts w:ascii="仿宋" w:hAnsi="仿宋"/>
                <w:b/>
              </w:rPr>
            </w:pPr>
            <w:r>
              <w:rPr>
                <w:rFonts w:hint="eastAsia" w:ascii="仿宋" w:hAnsi="仿宋"/>
                <w:b/>
              </w:rPr>
              <w:t>报价（万元）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852" w:type="dxa"/>
            <w:noWrap w:val="0"/>
            <w:vAlign w:val="center"/>
          </w:tcPr>
          <w:p>
            <w:pPr>
              <w:jc w:val="center"/>
              <w:rPr>
                <w:rFonts w:hint="eastAsia" w:ascii="仿宋" w:hAnsi="仿宋"/>
              </w:rPr>
            </w:pPr>
            <w:r>
              <w:rPr>
                <w:rFonts w:hint="eastAsia" w:ascii="宋体" w:hAnsi="宋体" w:cs="宋体"/>
              </w:rPr>
              <w:t>1</w:t>
            </w:r>
          </w:p>
        </w:tc>
        <w:tc>
          <w:tcPr>
            <w:tcW w:w="5103" w:type="dxa"/>
            <w:noWrap w:val="0"/>
            <w:vAlign w:val="center"/>
          </w:tcPr>
          <w:p>
            <w:pPr>
              <w:adjustRightInd w:val="0"/>
              <w:snapToGrid w:val="0"/>
              <w:rPr>
                <w:rFonts w:hint="eastAsia" w:ascii="仿宋" w:hAnsi="仿宋"/>
                <w:szCs w:val="21"/>
                <w:highlight w:val="none"/>
              </w:rPr>
            </w:pPr>
            <w:r>
              <w:rPr>
                <w:rFonts w:hint="eastAsia" w:ascii="仿宋" w:hAnsi="仿宋"/>
                <w:b w:val="0"/>
                <w:bCs/>
                <w:sz w:val="24"/>
                <w:szCs w:val="24"/>
              </w:rPr>
              <w:t>深圳市萨米医疗中心二期项目</w:t>
            </w:r>
            <w:r>
              <w:rPr>
                <w:rFonts w:hint="eastAsia" w:ascii="仿宋" w:hAnsi="仿宋"/>
                <w:sz w:val="24"/>
                <w:highlight w:val="none"/>
              </w:rPr>
              <w:t>水土保持监测</w:t>
            </w:r>
          </w:p>
        </w:tc>
        <w:tc>
          <w:tcPr>
            <w:tcW w:w="1559" w:type="dxa"/>
            <w:tcBorders>
              <w:right w:val="single" w:color="auto" w:sz="4" w:space="0"/>
            </w:tcBorders>
            <w:noWrap w:val="0"/>
            <w:vAlign w:val="center"/>
          </w:tcPr>
          <w:p>
            <w:pPr>
              <w:adjustRightInd w:val="0"/>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8.32</w:t>
            </w:r>
          </w:p>
        </w:tc>
        <w:tc>
          <w:tcPr>
            <w:tcW w:w="1843" w:type="dxa"/>
            <w:tcBorders>
              <w:left w:val="single" w:color="auto" w:sz="4" w:space="0"/>
            </w:tcBorders>
            <w:noWrap w:val="0"/>
            <w:vAlign w:val="center"/>
          </w:tcPr>
          <w:p>
            <w:pPr>
              <w:adjustRightInd w:val="0"/>
              <w:snapToGrid w:val="0"/>
              <w:spacing w:line="360" w:lineRule="auto"/>
              <w:jc w:val="center"/>
              <w:rPr>
                <w:rFonts w:hint="eastAsia" w:ascii="仿宋" w:hAnsi="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7" w:type="dxa"/>
            <w:gridSpan w:val="4"/>
            <w:noWrap w:val="0"/>
            <w:vAlign w:val="top"/>
          </w:tcPr>
          <w:p>
            <w:pPr>
              <w:adjustRightInd w:val="0"/>
              <w:snapToGrid w:val="0"/>
              <w:spacing w:line="360" w:lineRule="auto"/>
              <w:ind w:firstLine="482" w:firstLineChars="200"/>
              <w:rPr>
                <w:rFonts w:hint="eastAsia" w:ascii="仿宋" w:hAnsi="仿宋" w:eastAsia="仿宋"/>
                <w:sz w:val="24"/>
                <w:shd w:val="clear" w:color="auto" w:fill="FFFFFF"/>
              </w:rPr>
            </w:pPr>
            <w:r>
              <w:rPr>
                <w:rFonts w:hint="eastAsia" w:ascii="仿宋" w:hAnsi="仿宋"/>
                <w:b/>
                <w:sz w:val="24"/>
              </w:rPr>
              <w:t xml:space="preserve">本次服务具体要求： </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（一）工作内容</w:t>
            </w:r>
          </w:p>
          <w:p>
            <w:pPr>
              <w:adjustRightInd w:val="0"/>
              <w:snapToGrid w:val="0"/>
              <w:spacing w:line="360" w:lineRule="auto"/>
              <w:ind w:left="479" w:leftChars="228"/>
              <w:rPr>
                <w:rFonts w:hint="eastAsia" w:ascii="宋体" w:hAnsi="宋体" w:cs="宋体"/>
                <w:bCs/>
                <w:sz w:val="24"/>
              </w:rPr>
            </w:pPr>
            <w:r>
              <w:rPr>
                <w:rFonts w:hint="eastAsia" w:ascii="宋体" w:hAnsi="宋体" w:cs="宋体"/>
                <w:bCs/>
                <w:sz w:val="24"/>
              </w:rPr>
              <w:t>1、水土保持监测时间：合同签订起至工程完成水土保持验收工作。</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2、水土保持监测内容</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按照相关法律法规、水务主管部门相关文件的要求，落实水土保持方案报告书的全部内容和工程相关设计文件中相关内容的监测工作。对水土保持设计和施工管理提出建议，优化水土流失防治措施，发现重大水土流失危害隐患，提出防治对策建议。</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（1）水土流失监测：包括施工期水土流失动态监测和水土流失危害监测；</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（2）水土保持工程的监测：包括水土保持工程措施和植物措施的种类、数量、质量监测；</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（3）水土流失防治效益监测：包括实施水土保持措施后的水土流失控制和景观影响度改善效果监测。</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（4）其他监测内容按中华人民共和国水利部及水务主管部门相关规定执行。</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（5）每次监测完成后出具相应的水土保持监测报告。</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（6）提交资料：监测实施方案、原始监测记录表、监测季度报告表、监测年度报告、水土保持监测意见、检查汇报材料、监测总结报告、监测照片集、其他有关监测成果。</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（二）</w:t>
            </w:r>
            <w:r>
              <w:rPr>
                <w:rFonts w:hint="eastAsia" w:ascii="宋体" w:hAnsi="宋体" w:cs="宋体"/>
                <w:sz w:val="24"/>
              </w:rPr>
              <w:t>投标人</w:t>
            </w:r>
            <w:r>
              <w:rPr>
                <w:rFonts w:hint="eastAsia" w:ascii="宋体" w:hAnsi="宋体" w:cs="宋体"/>
                <w:bCs/>
                <w:sz w:val="24"/>
              </w:rPr>
              <w:t>职责</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1、按照相关法律法规以及水务主管部门批复文件的要求编制本项目水土保持监测方案，并按方案开展监测工作。</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2、承担并完成合同期内本项目水土保持监测工作。</w:t>
            </w:r>
          </w:p>
          <w:p>
            <w:pPr>
              <w:widowControl/>
              <w:spacing w:line="360" w:lineRule="auto"/>
              <w:ind w:firstLine="480" w:firstLineChars="200"/>
              <w:jc w:val="left"/>
              <w:rPr>
                <w:rFonts w:hint="eastAsia" w:ascii="宋体" w:hAnsi="宋体" w:cs="宋体"/>
                <w:bCs/>
                <w:sz w:val="24"/>
              </w:rPr>
            </w:pPr>
            <w:r>
              <w:rPr>
                <w:rFonts w:hint="eastAsia" w:ascii="宋体" w:hAnsi="宋体" w:cs="宋体"/>
                <w:bCs/>
                <w:sz w:val="24"/>
              </w:rPr>
              <w:t>3、本项目水土保持监测时段分为</w:t>
            </w:r>
            <w:r>
              <w:rPr>
                <w:rFonts w:hint="eastAsia" w:ascii="宋体" w:hAnsi="宋体" w:cs="宋体"/>
                <w:kern w:val="0"/>
                <w:sz w:val="24"/>
                <w:lang w:bidi="ar"/>
              </w:rPr>
              <w:t>施工准备期、</w:t>
            </w:r>
            <w:r>
              <w:rPr>
                <w:rFonts w:hint="eastAsia" w:ascii="宋体" w:hAnsi="宋体" w:cs="宋体"/>
                <w:bCs/>
                <w:sz w:val="24"/>
              </w:rPr>
              <w:t>施工期和自然恢复期。</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 xml:space="preserve">（1）施工期监测： </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①施工过程中，扰动地表面积、水土保持工程措施拦挡效果每月监测1次；主体工程建设进度、水土流失影响因子、水土保持植物措施生长情况等每3个月监测记录1次；</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②正在使用的土方转运场，正在实施的水土保持措施建设情况等至少每10天监测记录1次；</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③遇暴雨、大风等情况时，根据项目要求及时加测；</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④水土流失灾害事件发生后1周内完成监测；</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⑤巡查监测次数一年3次以上，巡查时间安排在汛期、降雨高峰期增加巡查2到3次；</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⑥定位监测在监测点布设后监测期内每年汛前2次，汛期过后1次，汛期每月监测一次，降雨高峰期相应增加监测次数，每年监测频次控制在8～10次；</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（2）自然恢复期监测：施工完工后植被自然恢复期每半年监测1次，共2次。</w:t>
            </w:r>
            <w:r>
              <w:rPr>
                <w:rFonts w:hint="eastAsia" w:ascii="宋体" w:hAnsi="宋体" w:cs="宋体"/>
                <w:sz w:val="24"/>
              </w:rPr>
              <w:t>投标人</w:t>
            </w:r>
            <w:r>
              <w:rPr>
                <w:rFonts w:hint="eastAsia" w:ascii="宋体" w:hAnsi="宋体" w:cs="宋体"/>
                <w:bCs/>
                <w:sz w:val="24"/>
              </w:rPr>
              <w:t>根据水务主管部门规定，按汛期、非汛期向</w:t>
            </w:r>
            <w:r>
              <w:rPr>
                <w:rFonts w:hint="eastAsia" w:ascii="宋体" w:hAnsi="宋体" w:cs="宋体"/>
                <w:sz w:val="24"/>
                <w:szCs w:val="32"/>
              </w:rPr>
              <w:t>招标人</w:t>
            </w:r>
            <w:r>
              <w:rPr>
                <w:rFonts w:hint="eastAsia" w:ascii="宋体" w:hAnsi="宋体" w:cs="宋体"/>
                <w:bCs/>
                <w:sz w:val="24"/>
              </w:rPr>
              <w:t>提交水土保持月报、季报，该报告得到</w:t>
            </w:r>
            <w:r>
              <w:rPr>
                <w:rFonts w:hint="eastAsia" w:ascii="宋体" w:hAnsi="宋体" w:cs="宋体"/>
                <w:sz w:val="24"/>
                <w:szCs w:val="32"/>
              </w:rPr>
              <w:t>招标人</w:t>
            </w:r>
            <w:r>
              <w:rPr>
                <w:rFonts w:hint="eastAsia" w:ascii="宋体" w:hAnsi="宋体" w:cs="宋体"/>
                <w:bCs/>
                <w:sz w:val="24"/>
              </w:rPr>
              <w:t>认可后，</w:t>
            </w:r>
            <w:r>
              <w:rPr>
                <w:rFonts w:hint="eastAsia" w:ascii="宋体" w:hAnsi="宋体" w:cs="宋体"/>
                <w:sz w:val="24"/>
              </w:rPr>
              <w:t>投标人</w:t>
            </w:r>
            <w:r>
              <w:rPr>
                <w:rFonts w:hint="eastAsia" w:ascii="宋体" w:hAnsi="宋体" w:cs="宋体"/>
                <w:bCs/>
                <w:sz w:val="24"/>
              </w:rPr>
              <w:t>负责将其提交水务主管部门。</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4、由</w:t>
            </w:r>
            <w:r>
              <w:rPr>
                <w:rFonts w:hint="eastAsia" w:ascii="宋体" w:hAnsi="宋体" w:cs="宋体"/>
                <w:sz w:val="24"/>
              </w:rPr>
              <w:t>投标人</w:t>
            </w:r>
            <w:r>
              <w:rPr>
                <w:rFonts w:hint="eastAsia" w:ascii="宋体" w:hAnsi="宋体" w:cs="宋体"/>
                <w:bCs/>
                <w:sz w:val="24"/>
              </w:rPr>
              <w:t>委派的专项水土保持监测人员必须尽职尽责，认真履行职责。在整个监测过程中，</w:t>
            </w:r>
            <w:r>
              <w:rPr>
                <w:rFonts w:hint="eastAsia" w:ascii="宋体" w:hAnsi="宋体" w:cs="宋体"/>
                <w:sz w:val="24"/>
              </w:rPr>
              <w:t>投标人</w:t>
            </w:r>
            <w:r>
              <w:rPr>
                <w:rFonts w:hint="eastAsia" w:ascii="宋体" w:hAnsi="宋体" w:cs="宋体"/>
                <w:bCs/>
                <w:sz w:val="24"/>
              </w:rPr>
              <w:t>若发现问题或隐患，应及时通知</w:t>
            </w:r>
            <w:r>
              <w:rPr>
                <w:rFonts w:hint="eastAsia" w:ascii="宋体" w:hAnsi="宋体" w:cs="宋体"/>
                <w:sz w:val="24"/>
                <w:szCs w:val="32"/>
              </w:rPr>
              <w:t>招标人</w:t>
            </w:r>
            <w:r>
              <w:rPr>
                <w:rFonts w:hint="eastAsia" w:ascii="宋体" w:hAnsi="宋体" w:cs="宋体"/>
                <w:bCs/>
                <w:sz w:val="24"/>
              </w:rPr>
              <w:t>，并提出整改意见。</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5、自签订合同日起5个工作日进场及收取编制监测方案的资料，10个工作日出监测方案，并交付</w:t>
            </w:r>
            <w:r>
              <w:rPr>
                <w:rFonts w:hint="eastAsia" w:ascii="宋体" w:hAnsi="宋体" w:cs="宋体"/>
                <w:sz w:val="24"/>
                <w:szCs w:val="32"/>
              </w:rPr>
              <w:t>招标人</w:t>
            </w:r>
            <w:r>
              <w:rPr>
                <w:rFonts w:hint="eastAsia" w:ascii="宋体" w:hAnsi="宋体" w:cs="宋体"/>
                <w:bCs/>
                <w:sz w:val="24"/>
              </w:rPr>
              <w:t>及水务主管部门。</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7、水土保持监测成果按照档案管理相关规定建立档案并移交建设单位。</w:t>
            </w:r>
          </w:p>
          <w:p>
            <w:pPr>
              <w:pStyle w:val="7"/>
              <w:adjustRightInd w:val="0"/>
              <w:snapToGrid w:val="0"/>
              <w:spacing w:line="360" w:lineRule="auto"/>
              <w:ind w:firstLine="482"/>
              <w:rPr>
                <w:rFonts w:hint="eastAsia" w:ascii="仿宋" w:hAnsi="仿宋" w:eastAsia="宋体"/>
                <w:b/>
                <w:lang w:eastAsia="zh-CN"/>
              </w:rPr>
            </w:pPr>
            <w:r>
              <w:rPr>
                <w:rFonts w:hint="eastAsia" w:ascii="仿宋" w:hAnsi="仿宋" w:eastAsia="宋体"/>
                <w:b/>
                <w:lang w:eastAsia="zh-CN"/>
              </w:rPr>
              <w:t>计价原则及结算方式：</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本合同价格为总价包干，该合同价为</w:t>
            </w:r>
            <w:r>
              <w:rPr>
                <w:rFonts w:hint="eastAsia" w:ascii="仿宋" w:hAnsi="仿宋"/>
                <w:bCs/>
                <w:sz w:val="24"/>
                <w:szCs w:val="24"/>
              </w:rPr>
              <w:t>投标人</w:t>
            </w:r>
            <w:r>
              <w:rPr>
                <w:rFonts w:hint="eastAsia" w:ascii="仿宋" w:hAnsi="仿宋"/>
                <w:sz w:val="24"/>
                <w:szCs w:val="24"/>
              </w:rPr>
              <w:t>完成本合同工作内容所需的全部费用，包括但不限于：人工费、材料费、管理费、住宿费、差旅费、保险费、资料费、杂费、税金等，以及为实现合同目的所需的全部费用。</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由于下列情况造成工作量的变化，均不调整合同价款：</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1、由于水务主管部门要求，调整检测内容或频次，投标人按调整要求执行，不调整合同价款；</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2、如相关法律法规要求高于本次招标的实施要求，投标人应按高标准执行，造成检测内容、频次或点数的调整，结算时不予调整，投标报价时应充分考虑此情况；</w:t>
            </w:r>
          </w:p>
          <w:p>
            <w:pPr>
              <w:adjustRightInd w:val="0"/>
              <w:snapToGrid w:val="0"/>
              <w:spacing w:line="360" w:lineRule="auto"/>
              <w:ind w:firstLine="480" w:firstLineChars="200"/>
              <w:rPr>
                <w:rFonts w:hint="eastAsia" w:ascii="仿宋" w:hAnsi="仿宋"/>
                <w:sz w:val="24"/>
              </w:rPr>
            </w:pPr>
            <w:r>
              <w:rPr>
                <w:rFonts w:hint="eastAsia" w:ascii="仿宋" w:hAnsi="仿宋"/>
                <w:sz w:val="24"/>
                <w:szCs w:val="24"/>
              </w:rPr>
              <w:t>工程结算报送政府财政投资评审，以评审结果或发包人指定的具有法定资质的第三方机构出具的审定（审核）结论作为工程结算的依据。</w:t>
            </w:r>
            <w:r>
              <w:rPr>
                <w:rFonts w:ascii="仿宋" w:hAnsi="仿宋"/>
                <w:sz w:val="24"/>
                <w:szCs w:val="24"/>
              </w:rPr>
              <w:t>本工程采用小型简易工程，</w:t>
            </w:r>
            <w:r>
              <w:rPr>
                <w:rFonts w:hint="eastAsia" w:ascii="仿宋" w:hAnsi="仿宋"/>
                <w:sz w:val="24"/>
                <w:szCs w:val="24"/>
              </w:rPr>
              <w:t>最终结算价服务类限额不得超过（含）100万元。</w:t>
            </w:r>
          </w:p>
          <w:p>
            <w:pPr>
              <w:adjustRightInd w:val="0"/>
              <w:snapToGrid w:val="0"/>
              <w:spacing w:line="360" w:lineRule="auto"/>
              <w:ind w:firstLine="482" w:firstLineChars="200"/>
              <w:rPr>
                <w:rFonts w:ascii="仿宋" w:hAnsi="仿宋"/>
                <w:b/>
                <w:bCs/>
                <w:sz w:val="24"/>
              </w:rPr>
            </w:pPr>
            <w:r>
              <w:rPr>
                <w:rFonts w:hint="eastAsia" w:ascii="仿宋" w:hAnsi="仿宋"/>
                <w:b/>
                <w:bCs/>
                <w:sz w:val="24"/>
              </w:rPr>
              <w:t>付款方式：</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（一）合同价的支付</w:t>
            </w:r>
          </w:p>
          <w:p>
            <w:pPr>
              <w:adjustRightInd w:val="0"/>
              <w:snapToGrid w:val="0"/>
              <w:spacing w:line="360" w:lineRule="auto"/>
              <w:ind w:firstLine="480" w:firstLineChars="200"/>
              <w:rPr>
                <w:rFonts w:hint="eastAsia" w:ascii="仿宋" w:hAnsi="仿宋"/>
                <w:sz w:val="24"/>
                <w:szCs w:val="24"/>
              </w:rPr>
            </w:pPr>
            <w:r>
              <w:rPr>
                <w:rFonts w:hint="eastAsia" w:ascii="宋体" w:hAnsi="宋体" w:cs="宋体"/>
                <w:sz w:val="24"/>
                <w:szCs w:val="24"/>
              </w:rPr>
              <w:t>招标人根据水保监测工作进度向投标人支付进度款，投标人提供所有监测报告后，甲方支付至合同价的80%，剩余款项待配合本项目水土保持专项验收通过后由政府财政投资评审部门的评审结论或发包人指定的具有法定资质的第三方机构出具的审定（审核）结论后一次性付清。</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（二）其他</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bCs/>
                <w:sz w:val="24"/>
                <w:szCs w:val="24"/>
              </w:rPr>
              <w:t>投标人</w:t>
            </w:r>
            <w:r>
              <w:rPr>
                <w:rFonts w:hint="eastAsia" w:ascii="宋体" w:hAnsi="宋体" w:cs="宋体"/>
                <w:sz w:val="24"/>
                <w:szCs w:val="24"/>
              </w:rPr>
              <w:t>应按付款进度之规定及合同项中的其它相关条款的规定，向招标人出具附有工作进度报告和相关工作成果的付款申请。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2、每次付款申请时,</w:t>
            </w:r>
            <w:r>
              <w:rPr>
                <w:rFonts w:hint="eastAsia" w:ascii="宋体" w:hAnsi="宋体" w:cs="宋体"/>
                <w:bCs/>
                <w:sz w:val="24"/>
                <w:szCs w:val="24"/>
              </w:rPr>
              <w:t xml:space="preserve"> 投标人</w:t>
            </w:r>
            <w:r>
              <w:rPr>
                <w:rFonts w:hint="eastAsia" w:ascii="宋体" w:hAnsi="宋体" w:cs="宋体"/>
                <w:sz w:val="24"/>
                <w:szCs w:val="24"/>
              </w:rPr>
              <w:t>应向招标人开具与付款金额等额的税务发票。</w:t>
            </w:r>
          </w:p>
          <w:p>
            <w:pPr>
              <w:adjustRightInd w:val="0"/>
              <w:snapToGrid w:val="0"/>
              <w:spacing w:line="360" w:lineRule="auto"/>
              <w:ind w:firstLine="480" w:firstLineChars="200"/>
              <w:rPr>
                <w:rFonts w:hint="eastAsia" w:ascii="仿宋" w:hAnsi="仿宋"/>
                <w:sz w:val="24"/>
              </w:rPr>
            </w:pPr>
            <w:r>
              <w:rPr>
                <w:rFonts w:hint="eastAsia" w:ascii="仿宋" w:hAnsi="仿宋"/>
                <w:bCs/>
                <w:sz w:val="24"/>
                <w:szCs w:val="24"/>
              </w:rPr>
              <w:t>3、</w:t>
            </w:r>
            <w:r>
              <w:rPr>
                <w:rFonts w:ascii="仿宋" w:hAnsi="仿宋"/>
                <w:bCs/>
                <w:sz w:val="24"/>
                <w:szCs w:val="24"/>
              </w:rPr>
              <w:t>上述费用均须政府部门财政或发改划拨款项到位后支付，发包人不承担因财政或发改审批或拨款延迟造成延迟付款的违约责任。</w:t>
            </w:r>
          </w:p>
        </w:tc>
      </w:tr>
    </w:tbl>
    <w:p>
      <w:pPr>
        <w:rPr>
          <w:rFonts w:ascii="仿宋" w:hAnsi="仿宋"/>
          <w:sz w:val="28"/>
          <w:szCs w:val="28"/>
        </w:rPr>
      </w:pPr>
      <w:r>
        <w:rPr>
          <w:rFonts w:hint="eastAsia" w:ascii="仿宋" w:hAnsi="仿宋"/>
          <w:sz w:val="28"/>
          <w:szCs w:val="28"/>
        </w:rPr>
        <w:t>投标人法定代表签名：              投标单位（署名并盖章）：</w:t>
      </w:r>
    </w:p>
    <w:p>
      <w:pPr>
        <w:ind w:firstLine="4760" w:firstLineChars="1700"/>
        <w:rPr>
          <w:rFonts w:hint="eastAsia" w:ascii="仿宋" w:hAnsi="仿宋"/>
          <w:sz w:val="28"/>
          <w:szCs w:val="28"/>
        </w:rPr>
      </w:pPr>
      <w:r>
        <w:rPr>
          <w:rFonts w:hint="eastAsia" w:ascii="仿宋" w:hAnsi="仿宋"/>
          <w:sz w:val="28"/>
          <w:szCs w:val="28"/>
        </w:rPr>
        <w:t>日期：</w:t>
      </w:r>
      <w:bookmarkStart w:id="0" w:name="Bookmark39"/>
      <w:bookmarkEnd w:id="0"/>
      <w:bookmarkStart w:id="1" w:name="Bookmark36"/>
      <w:bookmarkEnd w:id="1"/>
      <w:bookmarkStart w:id="2" w:name="Bookmark38"/>
      <w:bookmarkEnd w:id="2"/>
      <w:bookmarkStart w:id="3" w:name="Bookmark34"/>
      <w:bookmarkEnd w:id="3"/>
      <w:bookmarkStart w:id="4" w:name="Bookmark40"/>
      <w:bookmarkEnd w:id="4"/>
      <w:bookmarkStart w:id="5" w:name="Bookmark44"/>
      <w:bookmarkEnd w:id="5"/>
      <w:bookmarkStart w:id="6" w:name="Bookmark35"/>
      <w:bookmarkEnd w:id="6"/>
      <w:bookmarkStart w:id="7" w:name="Bookmark37"/>
      <w:bookmarkEnd w:id="7"/>
    </w:p>
    <w:p>
      <w:bookmarkStart w:id="8" w:name="_GoBack"/>
      <w:bookmarkEnd w:id="8"/>
    </w:p>
    <w:sectPr>
      <w:footerReference r:id="rId3" w:type="default"/>
      <w:footerReference r:id="rId4" w:type="even"/>
      <w:pgSz w:w="11906" w:h="16838"/>
      <w:pgMar w:top="1440" w:right="1418" w:bottom="1440"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DI0ZWExNGZkY2ZjZDQxYzU1Njg1MzI3M2Q1YWQifQ=="/>
  </w:docVars>
  <w:rsids>
    <w:rsidRoot w:val="1AA21D41"/>
    <w:rsid w:val="1AA2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uiPriority w:val="0"/>
  </w:style>
  <w:style w:type="paragraph" w:styleId="7">
    <w:name w:val="List Paragraph"/>
    <w:basedOn w:val="1"/>
    <w:autoRedefine/>
    <w:qFormat/>
    <w:uiPriority w:val="0"/>
    <w:pPr>
      <w:ind w:firstLine="420" w:firstLineChars="200"/>
      <w:jc w:val="left"/>
    </w:pPr>
    <w:rPr>
      <w:rFonts w:eastAsia="PMingLiU"/>
      <w:sz w:val="24"/>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2024-04-07T01:56:00Z</dcterms:created>
  <dc:creator>贺小鸿</dc:creator>
  <cp:lastModifiedBy>贺小鸿</cp:lastModifiedBy>
  <dcterms:modified xsi:type="dcterms:W3CDTF">2024-04-07T01:56:45Z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912685E5DA824B66BBEECEEF673C8659_11</vt:lpwstr>
  </property>
</Properties>
</file>