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eastAsia" w:ascii="仿宋" w:hAnsi="仿宋"/>
          <w:b/>
          <w:sz w:val="32"/>
          <w:szCs w:val="32"/>
          <w:highlight w:val="none"/>
        </w:rPr>
      </w:pPr>
      <w:r>
        <w:rPr>
          <w:rFonts w:hint="eastAsia" w:ascii="仿宋_GB2312" w:hAnsi="仿宋_GB2312" w:eastAsia="仿宋_GB2312" w:cs="仿宋_GB2312"/>
          <w:sz w:val="28"/>
          <w:szCs w:val="32"/>
          <w:highlight w:val="none"/>
        </w:rPr>
        <w:t>附件1：</w:t>
      </w:r>
      <w:bookmarkStart w:id="4" w:name="_GoBack"/>
      <w:bookmarkEnd w:id="4"/>
    </w:p>
    <w:p>
      <w:pPr>
        <w:jc w:val="center"/>
        <w:rPr>
          <w:rFonts w:ascii="仿宋" w:hAnsi="仿宋"/>
          <w:b/>
          <w:sz w:val="32"/>
          <w:szCs w:val="32"/>
          <w:highlight w:val="none"/>
        </w:rPr>
      </w:pPr>
      <w:r>
        <w:rPr>
          <w:rFonts w:hint="eastAsia" w:ascii="仿宋" w:hAnsi="仿宋"/>
          <w:b/>
          <w:sz w:val="32"/>
          <w:szCs w:val="32"/>
          <w:highlight w:val="none"/>
        </w:rPr>
        <w:t>投标报价书</w:t>
      </w:r>
    </w:p>
    <w:tbl>
      <w:tblPr>
        <w:tblStyle w:val="3"/>
        <w:tblW w:w="9357"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2"/>
        <w:gridCol w:w="5103"/>
        <w:gridCol w:w="1559"/>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4" w:hRule="atLeast"/>
        </w:trPr>
        <w:tc>
          <w:tcPr>
            <w:tcW w:w="852" w:type="dxa"/>
            <w:vAlign w:val="center"/>
          </w:tcPr>
          <w:p>
            <w:pPr>
              <w:jc w:val="center"/>
              <w:rPr>
                <w:rFonts w:ascii="仿宋" w:hAnsi="仿宋"/>
                <w:b/>
                <w:highlight w:val="none"/>
              </w:rPr>
            </w:pPr>
            <w:r>
              <w:rPr>
                <w:rFonts w:hint="eastAsia" w:ascii="仿宋" w:hAnsi="仿宋"/>
                <w:b/>
                <w:highlight w:val="none"/>
              </w:rPr>
              <w:t>编号</w:t>
            </w:r>
          </w:p>
        </w:tc>
        <w:tc>
          <w:tcPr>
            <w:tcW w:w="5103" w:type="dxa"/>
            <w:vAlign w:val="center"/>
          </w:tcPr>
          <w:p>
            <w:pPr>
              <w:jc w:val="center"/>
              <w:rPr>
                <w:rFonts w:ascii="仿宋" w:hAnsi="仿宋"/>
                <w:b/>
                <w:highlight w:val="none"/>
              </w:rPr>
            </w:pPr>
            <w:r>
              <w:rPr>
                <w:rFonts w:hint="eastAsia" w:ascii="仿宋" w:hAnsi="仿宋"/>
                <w:b/>
                <w:highlight w:val="none"/>
              </w:rPr>
              <w:t>工程名称</w:t>
            </w:r>
          </w:p>
        </w:tc>
        <w:tc>
          <w:tcPr>
            <w:tcW w:w="1559" w:type="dxa"/>
            <w:tcBorders>
              <w:right w:val="single" w:color="auto" w:sz="4" w:space="0"/>
            </w:tcBorders>
            <w:vAlign w:val="center"/>
          </w:tcPr>
          <w:p>
            <w:pPr>
              <w:jc w:val="center"/>
              <w:rPr>
                <w:rFonts w:ascii="仿宋" w:hAnsi="仿宋"/>
                <w:b/>
                <w:highlight w:val="none"/>
              </w:rPr>
            </w:pPr>
            <w:r>
              <w:rPr>
                <w:rFonts w:hint="eastAsia" w:ascii="仿宋" w:hAnsi="仿宋"/>
                <w:b/>
                <w:highlight w:val="none"/>
              </w:rPr>
              <w:t>投标上限价（万元）</w:t>
            </w:r>
          </w:p>
        </w:tc>
        <w:tc>
          <w:tcPr>
            <w:tcW w:w="1843" w:type="dxa"/>
            <w:tcBorders>
              <w:left w:val="single" w:color="auto" w:sz="4" w:space="0"/>
            </w:tcBorders>
            <w:vAlign w:val="center"/>
          </w:tcPr>
          <w:p>
            <w:pPr>
              <w:jc w:val="center"/>
              <w:rPr>
                <w:rFonts w:ascii="仿宋" w:hAnsi="仿宋"/>
                <w:b/>
                <w:highlight w:val="none"/>
              </w:rPr>
            </w:pPr>
            <w:r>
              <w:rPr>
                <w:rFonts w:hint="eastAsia" w:ascii="仿宋" w:hAnsi="仿宋"/>
                <w:b/>
                <w:highlight w:val="none"/>
              </w:rPr>
              <w:t>报价（</w:t>
            </w:r>
            <w:r>
              <w:rPr>
                <w:rFonts w:hint="eastAsia" w:ascii="仿宋" w:hAnsi="仿宋"/>
                <w:b/>
                <w:highlight w:val="none"/>
                <w:lang w:val="en-US" w:eastAsia="zh-CN"/>
              </w:rPr>
              <w:t>万</w:t>
            </w:r>
            <w:r>
              <w:rPr>
                <w:rFonts w:hint="eastAsia" w:ascii="仿宋" w:hAnsi="仿宋"/>
                <w:b/>
                <w:highlight w:val="none"/>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4" w:hRule="atLeast"/>
        </w:trPr>
        <w:tc>
          <w:tcPr>
            <w:tcW w:w="852" w:type="dxa"/>
            <w:vAlign w:val="center"/>
          </w:tcPr>
          <w:p>
            <w:pPr>
              <w:adjustRightInd w:val="0"/>
              <w:snapToGrid w:val="0"/>
              <w:spacing w:line="360" w:lineRule="auto"/>
              <w:jc w:val="center"/>
              <w:rPr>
                <w:rFonts w:ascii="仿宋" w:hAnsi="仿宋" w:eastAsia="仿宋"/>
                <w:bCs/>
                <w:sz w:val="24"/>
                <w:highlight w:val="none"/>
              </w:rPr>
            </w:pPr>
            <w:r>
              <w:rPr>
                <w:rFonts w:hint="eastAsia" w:ascii="仿宋" w:hAnsi="仿宋" w:eastAsia="仿宋"/>
                <w:bCs/>
                <w:sz w:val="24"/>
                <w:highlight w:val="none"/>
              </w:rPr>
              <w:t>1</w:t>
            </w:r>
          </w:p>
        </w:tc>
        <w:tc>
          <w:tcPr>
            <w:tcW w:w="5103" w:type="dxa"/>
            <w:vAlign w:val="center"/>
          </w:tcPr>
          <w:p>
            <w:pPr>
              <w:adjustRightInd w:val="0"/>
              <w:snapToGrid w:val="0"/>
              <w:spacing w:line="360" w:lineRule="auto"/>
              <w:jc w:val="center"/>
              <w:rPr>
                <w:rFonts w:ascii="仿宋" w:hAnsi="仿宋" w:eastAsia="仿宋"/>
                <w:bCs/>
                <w:sz w:val="24"/>
                <w:highlight w:val="none"/>
              </w:rPr>
            </w:pPr>
            <w:r>
              <w:rPr>
                <w:rFonts w:hint="eastAsia" w:ascii="仿宋" w:hAnsi="仿宋" w:eastAsia="仿宋"/>
                <w:bCs/>
                <w:sz w:val="24"/>
                <w:highlight w:val="none"/>
              </w:rPr>
              <w:t>深圳国际农业食品创新中心项目超前钻工程</w:t>
            </w:r>
          </w:p>
        </w:tc>
        <w:tc>
          <w:tcPr>
            <w:tcW w:w="1559" w:type="dxa"/>
            <w:tcBorders>
              <w:right w:val="single" w:color="auto" w:sz="4" w:space="0"/>
            </w:tcBorders>
            <w:vAlign w:val="center"/>
          </w:tcPr>
          <w:p>
            <w:pPr>
              <w:adjustRightInd w:val="0"/>
              <w:snapToGrid w:val="0"/>
              <w:spacing w:line="360" w:lineRule="auto"/>
              <w:jc w:val="center"/>
              <w:rPr>
                <w:rFonts w:ascii="仿宋" w:hAnsi="仿宋"/>
                <w:sz w:val="24"/>
                <w:highlight w:val="none"/>
              </w:rPr>
            </w:pPr>
            <w:r>
              <w:rPr>
                <w:rFonts w:ascii="仿宋" w:hAnsi="仿宋" w:eastAsia="仿宋"/>
                <w:sz w:val="24"/>
                <w:szCs w:val="24"/>
                <w:highlight w:val="none"/>
              </w:rPr>
              <w:t>48</w:t>
            </w:r>
            <w:r>
              <w:rPr>
                <w:rFonts w:hint="eastAsia" w:ascii="仿宋" w:hAnsi="仿宋" w:eastAsia="仿宋"/>
                <w:sz w:val="24"/>
                <w:szCs w:val="24"/>
                <w:highlight w:val="none"/>
              </w:rPr>
              <w:t>.</w:t>
            </w:r>
            <w:r>
              <w:rPr>
                <w:rFonts w:ascii="仿宋" w:hAnsi="仿宋" w:eastAsia="仿宋"/>
                <w:sz w:val="24"/>
                <w:szCs w:val="24"/>
                <w:highlight w:val="none"/>
              </w:rPr>
              <w:t>54</w:t>
            </w:r>
          </w:p>
        </w:tc>
        <w:tc>
          <w:tcPr>
            <w:tcW w:w="1843" w:type="dxa"/>
            <w:tcBorders>
              <w:left w:val="single" w:color="auto" w:sz="4" w:space="0"/>
            </w:tcBorders>
            <w:vAlign w:val="center"/>
          </w:tcPr>
          <w:p>
            <w:pPr>
              <w:adjustRightInd w:val="0"/>
              <w:snapToGrid w:val="0"/>
              <w:spacing w:line="360" w:lineRule="auto"/>
              <w:jc w:val="center"/>
              <w:rPr>
                <w:rFonts w:ascii="仿宋" w:hAnsi="仿宋"/>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7" w:type="dxa"/>
            <w:gridSpan w:val="4"/>
          </w:tcPr>
          <w:p>
            <w:pPr>
              <w:adjustRightInd w:val="0"/>
              <w:snapToGrid w:val="0"/>
              <w:spacing w:line="360" w:lineRule="auto"/>
              <w:jc w:val="left"/>
              <w:rPr>
                <w:rFonts w:ascii="仿宋" w:hAnsi="仿宋" w:eastAsia="仿宋" w:cs="宋体"/>
                <w:b/>
                <w:kern w:val="0"/>
                <w:sz w:val="24"/>
                <w:szCs w:val="24"/>
                <w:highlight w:val="none"/>
              </w:rPr>
            </w:pPr>
            <w:r>
              <w:rPr>
                <w:rFonts w:hint="eastAsia" w:ascii="仿宋" w:hAnsi="仿宋" w:eastAsia="仿宋" w:cs="宋体"/>
                <w:b/>
                <w:kern w:val="0"/>
                <w:sz w:val="24"/>
                <w:szCs w:val="24"/>
                <w:highlight w:val="none"/>
              </w:rPr>
              <w:t>招标内容：</w:t>
            </w:r>
          </w:p>
          <w:p>
            <w:pPr>
              <w:pStyle w:val="5"/>
              <w:tabs>
                <w:tab w:val="left" w:pos="886"/>
              </w:tabs>
              <w:adjustRightInd w:val="0"/>
              <w:snapToGrid w:val="0"/>
              <w:spacing w:line="360" w:lineRule="auto"/>
              <w:ind w:firstLine="480" w:firstLineChars="200"/>
              <w:rPr>
                <w:rFonts w:ascii="仿宋" w:hAnsi="仿宋" w:eastAsia="仿宋"/>
                <w:bCs/>
                <w:kern w:val="0"/>
                <w:sz w:val="24"/>
                <w:szCs w:val="24"/>
                <w:highlight w:val="none"/>
                <w:lang w:val="en-US" w:eastAsia="zh-CN"/>
              </w:rPr>
            </w:pPr>
            <w:r>
              <w:rPr>
                <w:rFonts w:hint="eastAsia" w:ascii="仿宋" w:hAnsi="仿宋" w:eastAsia="仿宋"/>
                <w:bCs/>
                <w:kern w:val="0"/>
                <w:sz w:val="24"/>
                <w:szCs w:val="24"/>
                <w:highlight w:val="none"/>
                <w:lang w:val="en-US" w:eastAsia="zh-CN"/>
              </w:rPr>
              <w:t>用地范围内的超前钻工程勘察工作,超前钻孔约</w:t>
            </w:r>
            <w:r>
              <w:rPr>
                <w:rFonts w:ascii="仿宋" w:hAnsi="仿宋" w:eastAsia="仿宋"/>
                <w:bCs/>
                <w:kern w:val="0"/>
                <w:sz w:val="24"/>
                <w:szCs w:val="24"/>
                <w:highlight w:val="none"/>
                <w:lang w:val="en-US" w:eastAsia="zh-CN"/>
              </w:rPr>
              <w:t>162</w:t>
            </w:r>
            <w:r>
              <w:rPr>
                <w:rFonts w:hint="eastAsia" w:ascii="仿宋" w:hAnsi="仿宋" w:eastAsia="仿宋"/>
                <w:bCs/>
                <w:kern w:val="0"/>
                <w:sz w:val="24"/>
                <w:szCs w:val="24"/>
                <w:highlight w:val="none"/>
                <w:lang w:val="en-US" w:eastAsia="zh-CN"/>
              </w:rPr>
              <w:t>个，超前钻总长度约</w:t>
            </w:r>
            <w:r>
              <w:rPr>
                <w:rFonts w:ascii="仿宋" w:hAnsi="仿宋" w:eastAsia="仿宋"/>
                <w:bCs/>
                <w:kern w:val="0"/>
                <w:sz w:val="24"/>
                <w:szCs w:val="24"/>
                <w:highlight w:val="none"/>
                <w:lang w:val="en-US" w:eastAsia="zh-CN"/>
              </w:rPr>
              <w:t>3698</w:t>
            </w:r>
            <w:r>
              <w:rPr>
                <w:rFonts w:hint="eastAsia" w:ascii="仿宋" w:hAnsi="仿宋" w:eastAsia="仿宋"/>
                <w:bCs/>
                <w:kern w:val="0"/>
                <w:sz w:val="24"/>
                <w:szCs w:val="24"/>
                <w:highlight w:val="none"/>
                <w:lang w:val="en-US" w:eastAsia="zh-CN"/>
              </w:rPr>
              <w:t>m，最终应以现场实际发生的工程量和设计图纸为准。</w:t>
            </w:r>
          </w:p>
          <w:p>
            <w:pPr>
              <w:pStyle w:val="5"/>
              <w:tabs>
                <w:tab w:val="left" w:pos="886"/>
              </w:tabs>
              <w:adjustRightInd w:val="0"/>
              <w:snapToGrid w:val="0"/>
              <w:spacing w:line="360" w:lineRule="auto"/>
              <w:ind w:firstLine="480" w:firstLineChars="200"/>
              <w:rPr>
                <w:rFonts w:ascii="仿宋" w:hAnsi="仿宋" w:eastAsia="仿宋"/>
                <w:bCs/>
                <w:kern w:val="0"/>
                <w:sz w:val="24"/>
                <w:szCs w:val="24"/>
                <w:highlight w:val="none"/>
                <w:lang w:val="en-US" w:eastAsia="zh-CN"/>
              </w:rPr>
            </w:pPr>
            <w:r>
              <w:rPr>
                <w:rFonts w:hint="eastAsia" w:ascii="仿宋" w:hAnsi="仿宋" w:eastAsia="仿宋"/>
                <w:bCs/>
                <w:kern w:val="0"/>
                <w:sz w:val="24"/>
                <w:szCs w:val="24"/>
                <w:highlight w:val="none"/>
                <w:lang w:val="en-US" w:eastAsia="zh-CN"/>
              </w:rPr>
              <w:t xml:space="preserve">1. 超前钻工程从现有场地标高（以发包人提供的方格网为准）开始勘察钻孔，超前钻钻孔位置及数量见设计图纸。 </w:t>
            </w:r>
          </w:p>
          <w:p>
            <w:pPr>
              <w:pStyle w:val="5"/>
              <w:tabs>
                <w:tab w:val="left" w:pos="886"/>
              </w:tabs>
              <w:adjustRightInd w:val="0"/>
              <w:snapToGrid w:val="0"/>
              <w:spacing w:line="360" w:lineRule="auto"/>
              <w:ind w:firstLine="480" w:firstLineChars="200"/>
              <w:rPr>
                <w:rFonts w:ascii="仿宋" w:hAnsi="仿宋" w:eastAsia="仿宋"/>
                <w:bCs/>
                <w:kern w:val="0"/>
                <w:sz w:val="24"/>
                <w:szCs w:val="24"/>
                <w:highlight w:val="none"/>
                <w:lang w:val="en-US" w:eastAsia="zh-CN"/>
              </w:rPr>
            </w:pPr>
            <w:r>
              <w:rPr>
                <w:rFonts w:hint="eastAsia" w:ascii="仿宋" w:hAnsi="仿宋" w:eastAsia="仿宋"/>
                <w:bCs/>
                <w:kern w:val="0"/>
                <w:sz w:val="24"/>
                <w:szCs w:val="24"/>
                <w:highlight w:val="none"/>
                <w:lang w:val="en-US" w:eastAsia="zh-CN"/>
              </w:rPr>
              <w:t>2. 超前钻深度要求：</w:t>
            </w:r>
          </w:p>
          <w:p>
            <w:pPr>
              <w:pStyle w:val="5"/>
              <w:tabs>
                <w:tab w:val="left" w:pos="886"/>
              </w:tabs>
              <w:adjustRightInd w:val="0"/>
              <w:snapToGrid w:val="0"/>
              <w:spacing w:line="360" w:lineRule="auto"/>
              <w:ind w:firstLine="480" w:firstLineChars="200"/>
              <w:rPr>
                <w:rFonts w:ascii="仿宋" w:hAnsi="仿宋" w:eastAsia="仿宋"/>
                <w:bCs/>
                <w:kern w:val="0"/>
                <w:sz w:val="24"/>
                <w:szCs w:val="24"/>
                <w:highlight w:val="none"/>
                <w:lang w:val="en-US" w:eastAsia="zh-CN"/>
              </w:rPr>
            </w:pPr>
            <w:r>
              <w:rPr>
                <w:rFonts w:hint="eastAsia" w:ascii="仿宋" w:hAnsi="仿宋" w:eastAsia="仿宋"/>
                <w:bCs/>
                <w:kern w:val="0"/>
                <w:sz w:val="24"/>
                <w:szCs w:val="24"/>
                <w:highlight w:val="none"/>
                <w:lang w:val="en-US" w:eastAsia="zh-CN"/>
              </w:rPr>
              <w:t>（1）桩入稳定持力层要求深度见图纸</w:t>
            </w:r>
            <w:r>
              <w:rPr>
                <w:rFonts w:hint="eastAsia" w:ascii="仿宋" w:hAnsi="仿宋" w:eastAsia="仿宋"/>
                <w:bCs/>
                <w:kern w:val="0"/>
                <w:sz w:val="24"/>
                <w:szCs w:val="24"/>
                <w:highlight w:val="none"/>
              </w:rPr>
              <w:t>超前钻</w:t>
            </w:r>
            <w:r>
              <w:rPr>
                <w:rFonts w:hint="eastAsia" w:ascii="仿宋" w:hAnsi="仿宋" w:eastAsia="仿宋"/>
                <w:bCs/>
                <w:kern w:val="0"/>
                <w:sz w:val="24"/>
                <w:szCs w:val="24"/>
                <w:highlight w:val="none"/>
                <w:lang w:val="en-US" w:eastAsia="zh-CN"/>
              </w:rPr>
              <w:t>说明，超前钻钻孔深度进入桩端以不小于3倍桩径或5m（按较大值），且应保证桩端以下3倍桩身直径或5m范围内无土洞、溶洞、破碎带或软弱夹层，否则应继续向下钻进直到满足以上条件为止。</w:t>
            </w:r>
          </w:p>
          <w:p>
            <w:pPr>
              <w:pStyle w:val="5"/>
              <w:tabs>
                <w:tab w:val="left" w:pos="886"/>
              </w:tabs>
              <w:adjustRightInd w:val="0"/>
              <w:snapToGrid w:val="0"/>
              <w:spacing w:line="360" w:lineRule="auto"/>
              <w:ind w:firstLine="480" w:firstLineChars="200"/>
              <w:rPr>
                <w:rFonts w:ascii="仿宋" w:hAnsi="仿宋" w:eastAsia="仿宋"/>
                <w:bCs/>
                <w:kern w:val="0"/>
                <w:sz w:val="24"/>
                <w:szCs w:val="24"/>
                <w:highlight w:val="none"/>
                <w:lang w:val="en-US" w:eastAsia="zh-CN"/>
              </w:rPr>
            </w:pPr>
            <w:r>
              <w:rPr>
                <w:rFonts w:hint="eastAsia" w:ascii="仿宋" w:hAnsi="仿宋" w:eastAsia="仿宋"/>
                <w:bCs/>
                <w:kern w:val="0"/>
                <w:sz w:val="24"/>
                <w:szCs w:val="24"/>
                <w:highlight w:val="none"/>
                <w:lang w:val="en-US" w:eastAsia="zh-CN"/>
              </w:rPr>
              <w:t>（2）需准确记录钻探进尺、不同岩性的分层厚度和采样位置。钻进深度、岩土分层界面深度测量允许误差为±0.5m；</w:t>
            </w:r>
          </w:p>
          <w:p>
            <w:pPr>
              <w:pStyle w:val="5"/>
              <w:tabs>
                <w:tab w:val="left" w:pos="886"/>
              </w:tabs>
              <w:adjustRightInd w:val="0"/>
              <w:snapToGrid w:val="0"/>
              <w:spacing w:line="360" w:lineRule="auto"/>
              <w:ind w:firstLine="480" w:firstLineChars="200"/>
              <w:rPr>
                <w:rFonts w:ascii="仿宋" w:hAnsi="仿宋" w:eastAsia="仿宋"/>
                <w:bCs/>
                <w:kern w:val="0"/>
                <w:sz w:val="24"/>
                <w:szCs w:val="24"/>
                <w:highlight w:val="none"/>
                <w:lang w:val="en-US" w:eastAsia="zh-CN"/>
              </w:rPr>
            </w:pPr>
            <w:r>
              <w:rPr>
                <w:rFonts w:hint="eastAsia" w:ascii="仿宋" w:hAnsi="仿宋" w:eastAsia="仿宋"/>
                <w:bCs/>
                <w:kern w:val="0"/>
                <w:sz w:val="24"/>
                <w:szCs w:val="24"/>
                <w:highlight w:val="none"/>
                <w:lang w:val="en-US" w:eastAsia="zh-CN"/>
              </w:rPr>
              <w:t>3、钻孔编号应与桩基编号一一对应，钻孔应严格按照施工图进行布置。</w:t>
            </w:r>
          </w:p>
          <w:p>
            <w:pPr>
              <w:pStyle w:val="5"/>
              <w:tabs>
                <w:tab w:val="left" w:pos="886"/>
              </w:tabs>
              <w:adjustRightInd w:val="0"/>
              <w:snapToGrid w:val="0"/>
              <w:spacing w:line="360" w:lineRule="auto"/>
              <w:ind w:firstLine="480" w:firstLineChars="200"/>
              <w:rPr>
                <w:rFonts w:ascii="仿宋" w:hAnsi="仿宋" w:eastAsia="仿宋"/>
                <w:bCs/>
                <w:kern w:val="0"/>
                <w:sz w:val="24"/>
                <w:szCs w:val="24"/>
                <w:highlight w:val="none"/>
                <w:lang w:val="en-US" w:eastAsia="zh-CN"/>
              </w:rPr>
            </w:pPr>
            <w:r>
              <w:rPr>
                <w:rFonts w:hint="eastAsia" w:ascii="仿宋" w:hAnsi="仿宋" w:eastAsia="仿宋"/>
                <w:bCs/>
                <w:kern w:val="0"/>
                <w:sz w:val="24"/>
                <w:szCs w:val="24"/>
                <w:highlight w:val="none"/>
                <w:lang w:val="en-US" w:eastAsia="zh-CN"/>
              </w:rPr>
              <w:t>4、查明建筑物场地内有无暗浜、溶洞、废弃人防设施等影响建筑场地稳定的不良情况，提出预防措施的建议，并服务于桩基工程建设的全过程。钻孔过程中如发现异常情况，具体是否加孔、加深，数量及位置应结合现场钻孔的实际情况协同勘察、设计、监理、基础施工单位及建设单位协商确定。</w:t>
            </w:r>
          </w:p>
          <w:p>
            <w:pPr>
              <w:pStyle w:val="5"/>
              <w:tabs>
                <w:tab w:val="left" w:pos="886"/>
              </w:tabs>
              <w:adjustRightInd w:val="0"/>
              <w:snapToGrid w:val="0"/>
              <w:spacing w:line="360" w:lineRule="auto"/>
              <w:ind w:firstLine="480" w:firstLineChars="200"/>
              <w:rPr>
                <w:rFonts w:ascii="仿宋" w:hAnsi="仿宋" w:eastAsia="仿宋"/>
                <w:bCs/>
                <w:kern w:val="0"/>
                <w:sz w:val="24"/>
                <w:szCs w:val="24"/>
                <w:highlight w:val="none"/>
                <w:lang w:val="en-US" w:eastAsia="zh-CN"/>
              </w:rPr>
            </w:pPr>
            <w:r>
              <w:rPr>
                <w:rFonts w:hint="eastAsia" w:ascii="仿宋" w:hAnsi="仿宋" w:eastAsia="仿宋"/>
                <w:bCs/>
                <w:kern w:val="0"/>
                <w:sz w:val="24"/>
                <w:szCs w:val="24"/>
                <w:highlight w:val="none"/>
                <w:lang w:val="en-US" w:eastAsia="zh-CN"/>
              </w:rPr>
              <w:t>5、根据超前钻情况分析相应桩位的地质情况,与地勘报告做深度比较，提供分析结果，指导桩基施工，以确定桩底标高、保证桩长及入岩情况。</w:t>
            </w:r>
          </w:p>
          <w:p>
            <w:pPr>
              <w:pStyle w:val="5"/>
              <w:tabs>
                <w:tab w:val="left" w:pos="886"/>
              </w:tabs>
              <w:adjustRightInd w:val="0"/>
              <w:snapToGrid w:val="0"/>
              <w:spacing w:line="360" w:lineRule="auto"/>
              <w:ind w:firstLine="480" w:firstLineChars="200"/>
              <w:rPr>
                <w:rFonts w:ascii="仿宋" w:hAnsi="仿宋" w:eastAsia="仿宋"/>
                <w:bCs/>
                <w:kern w:val="0"/>
                <w:sz w:val="24"/>
                <w:szCs w:val="24"/>
                <w:highlight w:val="none"/>
                <w:lang w:val="en-US" w:eastAsia="zh-CN"/>
              </w:rPr>
            </w:pPr>
            <w:r>
              <w:rPr>
                <w:rFonts w:hint="eastAsia" w:ascii="仿宋" w:hAnsi="仿宋" w:eastAsia="仿宋"/>
                <w:bCs/>
                <w:kern w:val="0"/>
                <w:sz w:val="24"/>
                <w:szCs w:val="24"/>
                <w:highlight w:val="none"/>
                <w:lang w:val="en-US" w:eastAsia="zh-CN"/>
              </w:rPr>
              <w:t>6、超前钻成果报告，包含但不限于：查明每个钻孔的地层结构、分布特征；结合原有钻孔数据提供钻孔地质柱状图、剖面图、岩层分布等高线；不良地质的标高、厚度及对应的钻孔号并提出预防措施；对设计终孔要求提出各桩的终孔深度建议；查明稳定持力层的准确顶面标高；超前钻成果报告应符合国家相关的规范要求。</w:t>
            </w:r>
          </w:p>
          <w:p>
            <w:pPr>
              <w:pStyle w:val="5"/>
              <w:tabs>
                <w:tab w:val="left" w:pos="886"/>
              </w:tabs>
              <w:adjustRightInd w:val="0"/>
              <w:snapToGrid w:val="0"/>
              <w:spacing w:line="360" w:lineRule="auto"/>
              <w:ind w:firstLine="480" w:firstLineChars="200"/>
              <w:rPr>
                <w:rFonts w:ascii="仿宋" w:hAnsi="仿宋" w:eastAsia="仿宋"/>
                <w:bCs/>
                <w:kern w:val="0"/>
                <w:sz w:val="24"/>
                <w:szCs w:val="24"/>
                <w:highlight w:val="none"/>
                <w:lang w:val="en-US" w:eastAsia="zh-CN"/>
              </w:rPr>
            </w:pPr>
            <w:r>
              <w:rPr>
                <w:rFonts w:hint="eastAsia" w:ascii="仿宋" w:hAnsi="仿宋" w:eastAsia="仿宋"/>
                <w:bCs/>
                <w:kern w:val="0"/>
                <w:sz w:val="24"/>
                <w:szCs w:val="24"/>
                <w:highlight w:val="none"/>
                <w:lang w:val="en-US" w:eastAsia="zh-CN"/>
              </w:rPr>
              <w:t>7、超前钻钻孔施工完毕后必须及时封闭。</w:t>
            </w:r>
          </w:p>
          <w:p>
            <w:pPr>
              <w:pStyle w:val="5"/>
              <w:tabs>
                <w:tab w:val="left" w:pos="886"/>
              </w:tabs>
              <w:adjustRightInd w:val="0"/>
              <w:snapToGrid w:val="0"/>
              <w:spacing w:line="360" w:lineRule="auto"/>
              <w:ind w:firstLine="0"/>
              <w:rPr>
                <w:rFonts w:ascii="仿宋" w:hAnsi="仿宋" w:eastAsia="仿宋"/>
                <w:bCs/>
                <w:kern w:val="0"/>
                <w:sz w:val="24"/>
                <w:szCs w:val="24"/>
                <w:highlight w:val="none"/>
              </w:rPr>
            </w:pPr>
            <w:r>
              <w:rPr>
                <w:rFonts w:hint="eastAsia" w:ascii="仿宋" w:hAnsi="仿宋" w:eastAsia="仿宋"/>
                <w:b/>
                <w:kern w:val="0"/>
                <w:sz w:val="24"/>
                <w:szCs w:val="24"/>
                <w:highlight w:val="none"/>
              </w:rPr>
              <w:t>付款方式：</w:t>
            </w:r>
            <w:r>
              <w:rPr>
                <w:rFonts w:hint="eastAsia" w:ascii="仿宋" w:hAnsi="仿宋" w:eastAsia="仿宋"/>
                <w:bCs/>
                <w:kern w:val="0"/>
                <w:sz w:val="24"/>
                <w:szCs w:val="24"/>
                <w:highlight w:val="none"/>
                <w:lang w:val="en-US"/>
              </w:rPr>
              <w:t xml:space="preserve"> </w:t>
            </w:r>
            <w:r>
              <w:rPr>
                <w:rFonts w:hint="eastAsia" w:ascii="仿宋" w:hAnsi="仿宋" w:eastAsia="仿宋"/>
                <w:bCs/>
                <w:kern w:val="0"/>
                <w:sz w:val="24"/>
                <w:szCs w:val="24"/>
                <w:highlight w:val="none"/>
                <w:lang w:val="en-US" w:eastAsia="zh-CN"/>
              </w:rPr>
              <w:t>综合单价合同。</w:t>
            </w:r>
          </w:p>
          <w:p>
            <w:pPr>
              <w:pStyle w:val="5"/>
              <w:tabs>
                <w:tab w:val="left" w:pos="886"/>
              </w:tabs>
              <w:adjustRightInd w:val="0"/>
              <w:snapToGrid w:val="0"/>
              <w:spacing w:line="360" w:lineRule="auto"/>
              <w:ind w:firstLine="0"/>
              <w:rPr>
                <w:rFonts w:ascii="仿宋" w:hAnsi="仿宋" w:eastAsia="仿宋"/>
                <w:bCs/>
                <w:kern w:val="0"/>
                <w:sz w:val="24"/>
                <w:szCs w:val="24"/>
                <w:highlight w:val="none"/>
              </w:rPr>
            </w:pPr>
            <w:r>
              <w:rPr>
                <w:rFonts w:hint="eastAsia" w:ascii="仿宋" w:hAnsi="仿宋" w:eastAsia="仿宋"/>
                <w:bCs/>
                <w:kern w:val="0"/>
                <w:sz w:val="24"/>
                <w:szCs w:val="24"/>
                <w:highlight w:val="none"/>
                <w:lang w:val="en-US" w:eastAsia="zh-CN"/>
              </w:rPr>
              <w:t>工程超前钻费包括取得合格的工程勘察报告所必须完成的勘察钻探试验、测量、取样、技术工作、设备进退场、施工配合及其他各项税费等一切费用。</w:t>
            </w:r>
          </w:p>
          <w:p>
            <w:pPr>
              <w:adjustRightInd w:val="0"/>
              <w:snapToGrid w:val="0"/>
              <w:spacing w:line="360" w:lineRule="auto"/>
              <w:rPr>
                <w:rFonts w:ascii="仿宋" w:hAnsi="仿宋" w:eastAsia="仿宋" w:cs="宋体"/>
                <w:bCs/>
                <w:kern w:val="0"/>
                <w:sz w:val="24"/>
                <w:szCs w:val="24"/>
                <w:highlight w:val="none"/>
              </w:rPr>
            </w:pPr>
            <w:r>
              <w:rPr>
                <w:rFonts w:hint="eastAsia" w:ascii="仿宋" w:hAnsi="仿宋" w:eastAsia="仿宋" w:cs="宋体"/>
                <w:bCs/>
                <w:kern w:val="0"/>
                <w:sz w:val="24"/>
                <w:szCs w:val="24"/>
                <w:highlight w:val="none"/>
              </w:rPr>
              <w:t>1、分为基本酬金（占90%）和绩效酬金（占10%）两部分。</w:t>
            </w:r>
          </w:p>
          <w:p>
            <w:pPr>
              <w:adjustRightInd w:val="0"/>
              <w:snapToGrid w:val="0"/>
              <w:spacing w:line="360" w:lineRule="auto"/>
              <w:rPr>
                <w:rFonts w:ascii="仿宋" w:hAnsi="仿宋" w:eastAsia="仿宋" w:cs="宋体"/>
                <w:bCs/>
                <w:kern w:val="0"/>
                <w:sz w:val="24"/>
                <w:szCs w:val="24"/>
                <w:highlight w:val="none"/>
              </w:rPr>
            </w:pPr>
            <w:r>
              <w:rPr>
                <w:rFonts w:hint="eastAsia" w:ascii="仿宋" w:hAnsi="仿宋" w:eastAsia="仿宋" w:cs="宋体"/>
                <w:bCs/>
                <w:kern w:val="0"/>
                <w:sz w:val="24"/>
                <w:szCs w:val="24"/>
                <w:highlight w:val="none"/>
              </w:rPr>
              <w:t>2、基本酬金支付：本合同不设预付款，合同签订后，乙方根据甲方要求开展工作，完成全部工作，经甲方确认后，甲方在收到乙方付款申请报告及相应有效发票后支付基本酬金的90%。</w:t>
            </w:r>
          </w:p>
          <w:p>
            <w:pPr>
              <w:adjustRightInd w:val="0"/>
              <w:snapToGrid w:val="0"/>
              <w:spacing w:line="360" w:lineRule="auto"/>
              <w:rPr>
                <w:rFonts w:ascii="仿宋" w:hAnsi="仿宋" w:eastAsia="仿宋" w:cs="宋体"/>
                <w:bCs/>
                <w:kern w:val="0"/>
                <w:sz w:val="24"/>
                <w:szCs w:val="24"/>
                <w:highlight w:val="none"/>
              </w:rPr>
            </w:pPr>
            <w:r>
              <w:rPr>
                <w:rFonts w:hint="eastAsia" w:ascii="仿宋" w:hAnsi="仿宋" w:eastAsia="仿宋" w:cs="宋体"/>
                <w:bCs/>
                <w:kern w:val="0"/>
                <w:sz w:val="24"/>
                <w:szCs w:val="24"/>
                <w:highlight w:val="none"/>
              </w:rPr>
              <w:t>3、绩效酬金支付：乙方工作完成后，甲方对乙方履约情况进行最终履约评价，并根据最终履约评价结果支付绩效酬金。履约评价评分采用百分制，综合考评结果分为优秀（评分≥90分）、良好（80≤评分&lt;90分）、中等（70≤评分&lt;80分）、合格（60≤评分&lt;70分）、不合格(评分&lt;60分)五个等级，对应的绩效酬金支付比例分别为100%、100%、70%、50%、0%。</w:t>
            </w:r>
          </w:p>
          <w:p>
            <w:pPr>
              <w:adjustRightInd w:val="0"/>
              <w:snapToGrid w:val="0"/>
              <w:spacing w:line="360" w:lineRule="auto"/>
              <w:rPr>
                <w:rFonts w:ascii="仿宋" w:hAnsi="仿宋" w:eastAsia="仿宋" w:cs="宋体"/>
                <w:bCs/>
                <w:kern w:val="0"/>
                <w:sz w:val="24"/>
                <w:szCs w:val="24"/>
                <w:highlight w:val="none"/>
              </w:rPr>
            </w:pPr>
            <w:r>
              <w:rPr>
                <w:rFonts w:hint="eastAsia" w:ascii="仿宋" w:hAnsi="仿宋" w:eastAsia="仿宋" w:cs="宋体"/>
                <w:bCs/>
                <w:kern w:val="0"/>
                <w:sz w:val="24"/>
                <w:szCs w:val="24"/>
                <w:highlight w:val="none"/>
              </w:rPr>
              <w:t>4、上述费用均须政府发改及财政部门划拨款项到位后支付，甲方不承担因财政或发改审批或拨款延迟造成延迟付款的违约责任。</w:t>
            </w:r>
          </w:p>
          <w:p>
            <w:pPr>
              <w:adjustRightInd w:val="0"/>
              <w:snapToGrid w:val="0"/>
              <w:spacing w:line="360" w:lineRule="auto"/>
              <w:rPr>
                <w:rFonts w:ascii="仿宋" w:hAnsi="仿宋" w:eastAsia="仿宋" w:cs="宋体"/>
                <w:bCs/>
                <w:kern w:val="0"/>
                <w:sz w:val="24"/>
                <w:szCs w:val="24"/>
                <w:highlight w:val="none"/>
              </w:rPr>
            </w:pPr>
            <w:r>
              <w:rPr>
                <w:rFonts w:hint="eastAsia" w:ascii="仿宋" w:hAnsi="仿宋" w:eastAsia="仿宋" w:cs="宋体"/>
                <w:bCs/>
                <w:kern w:val="0"/>
                <w:sz w:val="24"/>
                <w:szCs w:val="24"/>
                <w:highlight w:val="none"/>
              </w:rPr>
              <w:t>5、本合同最终结算价格以《深圳市财政预算和投资评审中心评审报告》的评审结论为准, 余款待审计后一次性付清。</w:t>
            </w:r>
          </w:p>
          <w:p>
            <w:pPr>
              <w:adjustRightInd w:val="0"/>
              <w:snapToGrid w:val="0"/>
              <w:spacing w:line="360" w:lineRule="auto"/>
              <w:rPr>
                <w:rFonts w:ascii="仿宋" w:hAnsi="仿宋" w:eastAsia="仿宋" w:cs="宋体"/>
                <w:bCs/>
                <w:kern w:val="0"/>
                <w:sz w:val="24"/>
                <w:szCs w:val="24"/>
                <w:highlight w:val="none"/>
              </w:rPr>
            </w:pPr>
            <w:r>
              <w:rPr>
                <w:rFonts w:hint="eastAsia" w:ascii="仿宋" w:hAnsi="仿宋" w:eastAsia="仿宋" w:cs="宋体"/>
                <w:bCs/>
                <w:kern w:val="0"/>
                <w:sz w:val="24"/>
                <w:szCs w:val="24"/>
                <w:highlight w:val="none"/>
              </w:rPr>
              <w:t>6、支付方式：每次付款前，乙方需提交符合甲方要求的付款申请资料，并提供等额合法有效的发票，在收到乙方提供的付款申请资料和发票后，所有费用以银行转账的方式予以支付。</w:t>
            </w:r>
          </w:p>
          <w:p>
            <w:pPr>
              <w:adjustRightInd w:val="0"/>
              <w:snapToGrid w:val="0"/>
              <w:spacing w:line="360" w:lineRule="auto"/>
              <w:rPr>
                <w:rFonts w:ascii="仿宋" w:hAnsi="仿宋" w:eastAsia="仿宋" w:cs="宋体"/>
                <w:bCs/>
                <w:kern w:val="0"/>
                <w:sz w:val="24"/>
                <w:szCs w:val="24"/>
                <w:highlight w:val="none"/>
              </w:rPr>
            </w:pPr>
            <w:r>
              <w:rPr>
                <w:rFonts w:ascii="仿宋" w:hAnsi="仿宋" w:eastAsia="仿宋" w:cs="宋体"/>
                <w:b/>
                <w:kern w:val="0"/>
                <w:sz w:val="24"/>
                <w:szCs w:val="24"/>
                <w:highlight w:val="none"/>
              </w:rPr>
              <w:t>投标人资质要求：</w:t>
            </w:r>
            <w:r>
              <w:rPr>
                <w:rFonts w:ascii="仿宋" w:hAnsi="仿宋" w:eastAsia="仿宋" w:cs="宋体"/>
                <w:bCs/>
                <w:kern w:val="0"/>
                <w:sz w:val="24"/>
                <w:szCs w:val="24"/>
                <w:highlight w:val="none"/>
              </w:rPr>
              <w:t>投标人须具有工程勘察综合资质甲级或工程勘察专业类（岩土工程）甲级资质</w:t>
            </w:r>
            <w:r>
              <w:rPr>
                <w:rFonts w:hint="eastAsia" w:ascii="仿宋" w:hAnsi="仿宋" w:eastAsia="仿宋" w:cs="宋体"/>
                <w:bCs/>
                <w:kern w:val="0"/>
                <w:sz w:val="24"/>
                <w:szCs w:val="24"/>
                <w:highlight w:val="none"/>
              </w:rPr>
              <w:t>。</w:t>
            </w:r>
          </w:p>
          <w:p>
            <w:pPr>
              <w:adjustRightInd w:val="0"/>
              <w:snapToGrid w:val="0"/>
              <w:spacing w:line="360" w:lineRule="auto"/>
              <w:jc w:val="left"/>
              <w:rPr>
                <w:rFonts w:ascii="仿宋" w:hAnsi="仿宋" w:eastAsia="仿宋"/>
                <w:sz w:val="24"/>
                <w:szCs w:val="24"/>
                <w:highlight w:val="none"/>
              </w:rPr>
            </w:pPr>
            <w:r>
              <w:rPr>
                <w:rFonts w:ascii="仿宋" w:hAnsi="仿宋" w:eastAsia="仿宋" w:cs="宋体"/>
                <w:b/>
                <w:kern w:val="0"/>
                <w:sz w:val="24"/>
                <w:szCs w:val="24"/>
                <w:highlight w:val="none"/>
              </w:rPr>
              <w:t>联合体投标</w:t>
            </w:r>
            <w:r>
              <w:rPr>
                <w:rFonts w:hint="eastAsia" w:ascii="仿宋" w:hAnsi="仿宋" w:eastAsia="仿宋" w:cs="宋体"/>
                <w:b/>
                <w:kern w:val="0"/>
                <w:sz w:val="24"/>
                <w:szCs w:val="24"/>
                <w:highlight w:val="none"/>
              </w:rPr>
              <w:t>：</w:t>
            </w:r>
            <w:r>
              <w:rPr>
                <w:rFonts w:ascii="仿宋" w:hAnsi="仿宋" w:eastAsia="仿宋"/>
                <w:sz w:val="24"/>
                <w:szCs w:val="24"/>
                <w:highlight w:val="none"/>
              </w:rPr>
              <w:t>本项目不接受联合体投标</w:t>
            </w:r>
            <w:r>
              <w:rPr>
                <w:rFonts w:hint="eastAsia" w:ascii="仿宋" w:hAnsi="仿宋" w:eastAsia="仿宋"/>
                <w:sz w:val="24"/>
                <w:szCs w:val="24"/>
                <w:highlight w:val="none"/>
              </w:rPr>
              <w:t>。</w:t>
            </w:r>
          </w:p>
        </w:tc>
      </w:tr>
    </w:tbl>
    <w:p>
      <w:pPr>
        <w:rPr>
          <w:rFonts w:hint="eastAsia" w:ascii="仿宋" w:hAnsi="仿宋"/>
          <w:sz w:val="28"/>
          <w:szCs w:val="28"/>
          <w:highlight w:val="none"/>
        </w:rPr>
      </w:pPr>
      <w:r>
        <w:rPr>
          <w:rFonts w:hint="eastAsia" w:ascii="仿宋" w:hAnsi="仿宋"/>
          <w:sz w:val="28"/>
          <w:szCs w:val="28"/>
          <w:highlight w:val="none"/>
        </w:rPr>
        <w:t xml:space="preserve">投标人法定代表签名：              </w:t>
      </w:r>
    </w:p>
    <w:p>
      <w:pPr>
        <w:rPr>
          <w:rFonts w:hint="eastAsia" w:ascii="仿宋" w:hAnsi="仿宋"/>
          <w:sz w:val="28"/>
          <w:szCs w:val="28"/>
          <w:highlight w:val="none"/>
        </w:rPr>
      </w:pPr>
    </w:p>
    <w:p>
      <w:pPr>
        <w:rPr>
          <w:rFonts w:ascii="仿宋" w:hAnsi="仿宋"/>
          <w:sz w:val="28"/>
          <w:szCs w:val="28"/>
          <w:highlight w:val="none"/>
        </w:rPr>
      </w:pPr>
      <w:r>
        <w:rPr>
          <w:rFonts w:hint="eastAsia" w:ascii="仿宋" w:hAnsi="仿宋"/>
          <w:sz w:val="28"/>
          <w:szCs w:val="28"/>
          <w:highlight w:val="none"/>
        </w:rPr>
        <w:t>投标单位（署名并盖章）：</w:t>
      </w:r>
    </w:p>
    <w:p>
      <w:pPr>
        <w:ind w:firstLine="4760" w:firstLineChars="1700"/>
        <w:rPr>
          <w:rFonts w:hint="eastAsia" w:ascii="仿宋" w:hAnsi="仿宋"/>
          <w:sz w:val="28"/>
          <w:szCs w:val="28"/>
          <w:highlight w:val="none"/>
        </w:rPr>
      </w:pPr>
    </w:p>
    <w:p>
      <w:pPr>
        <w:rPr>
          <w:rFonts w:ascii="仿宋" w:hAnsi="仿宋"/>
          <w:sz w:val="28"/>
          <w:szCs w:val="28"/>
          <w:highlight w:val="none"/>
        </w:rPr>
      </w:pPr>
      <w:r>
        <w:rPr>
          <w:rFonts w:hint="eastAsia" w:ascii="仿宋" w:hAnsi="仿宋"/>
          <w:sz w:val="28"/>
          <w:szCs w:val="28"/>
          <w:highlight w:val="none"/>
        </w:rPr>
        <w:t>日期：</w:t>
      </w:r>
      <w:bookmarkStart w:id="0" w:name="Bookmark39"/>
      <w:bookmarkEnd w:id="0"/>
      <w:bookmarkStart w:id="1" w:name="Bookmark40"/>
      <w:bookmarkEnd w:id="1"/>
      <w:bookmarkStart w:id="2" w:name="Bookmark38"/>
      <w:bookmarkEnd w:id="2"/>
      <w:bookmarkStart w:id="3" w:name="Bookmark44"/>
      <w:bookmarkEnd w:id="3"/>
    </w:p>
    <w:p>
      <w:pPr>
        <w:pStyle w:val="6"/>
        <w:rPr>
          <w:rFonts w:ascii="仿宋" w:hAnsi="仿宋"/>
          <w:szCs w:val="28"/>
          <w:highlight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A045CD"/>
    <w:multiLevelType w:val="multilevel"/>
    <w:tmpl w:val="07A045CD"/>
    <w:lvl w:ilvl="0" w:tentative="0">
      <w:start w:val="2"/>
      <w:numFmt w:val="decimal"/>
      <w:lvlText w:val="%1、"/>
      <w:lvlJc w:val="left"/>
      <w:pPr>
        <w:ind w:left="720" w:hanging="360"/>
      </w:pPr>
      <w:rPr>
        <w:rFonts w:hint="default"/>
        <w:u w:val="none"/>
      </w:rPr>
    </w:lvl>
    <w:lvl w:ilvl="1" w:tentative="0">
      <w:start w:val="1"/>
      <w:numFmt w:val="lowerLetter"/>
      <w:lvlText w:val="%2)"/>
      <w:lvlJc w:val="left"/>
      <w:pPr>
        <w:ind w:left="1200" w:hanging="420"/>
      </w:pPr>
    </w:lvl>
    <w:lvl w:ilvl="2" w:tentative="0">
      <w:start w:val="1"/>
      <w:numFmt w:val="lowerRoman"/>
      <w:pStyle w:val="2"/>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xYzc3ODg1NGRjZTIxYWRiZWY0MDg5ZWE0MmU2YjgifQ=="/>
  </w:docVars>
  <w:rsids>
    <w:rsidRoot w:val="00000000"/>
    <w:rsid w:val="4A0430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qFormat/>
    <w:uiPriority w:val="0"/>
    <w:pPr>
      <w:keepNext/>
      <w:keepLines/>
      <w:numPr>
        <w:ilvl w:val="2"/>
        <w:numId w:val="1"/>
      </w:numPr>
      <w:tabs>
        <w:tab w:val="left" w:pos="709"/>
      </w:tabs>
      <w:spacing w:line="360" w:lineRule="auto"/>
      <w:outlineLvl w:val="2"/>
    </w:pPr>
    <w:rPr>
      <w:rFonts w:ascii="宋体" w:hAnsi="宋体" w:eastAsia="宋体" w:cs="Times New Roman"/>
      <w:sz w:val="24"/>
      <w:szCs w:val="32"/>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5">
    <w:name w:val="Body text|1"/>
    <w:basedOn w:val="1"/>
    <w:qFormat/>
    <w:uiPriority w:val="0"/>
    <w:pPr>
      <w:spacing w:line="434" w:lineRule="auto"/>
      <w:ind w:firstLine="400"/>
    </w:pPr>
    <w:rPr>
      <w:rFonts w:ascii="宋体" w:hAnsi="宋体" w:eastAsia="宋体" w:cs="宋体"/>
      <w:sz w:val="22"/>
      <w:lang w:val="zh-TW" w:eastAsia="zh-TW" w:bidi="zh-TW"/>
    </w:rPr>
  </w:style>
  <w:style w:type="paragraph" w:customStyle="1" w:styleId="6">
    <w:name w:val="样式 样式 正文缩进 + 首行缩进:  2 字符 + 首行缩进:  2 字符"/>
    <w:basedOn w:val="1"/>
    <w:qFormat/>
    <w:uiPriority w:val="0"/>
    <w:pPr>
      <w:adjustRightInd w:val="0"/>
      <w:ind w:firstLine="200"/>
      <w:textAlignment w:val="baseline"/>
    </w:pPr>
    <w:rPr>
      <w:rFonts w:cs="宋体"/>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2024-03-22T01:36:16Z</dcterms:created>
  <dc:creator>thunderobot</dc:creator>
  <cp:lastModifiedBy>梁广明</cp:lastModifiedBy>
  <dcterms:modified xsi:type="dcterms:W3CDTF">2024-03-22T01:36:39Z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CA483C3DE4BD4970A5B9B06EFF9D3F6F_12</vt:lpwstr>
  </property>
</Properties>
</file>