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eastAsia" w:ascii="仿宋" w:hAnsi="仿宋" w:eastAsia="仿宋"/>
          <w:highlight w:val="none"/>
        </w:rPr>
      </w:pPr>
      <w:r>
        <w:rPr>
          <w:rFonts w:hint="eastAsia" w:ascii="仿宋" w:hAnsi="仿宋"/>
          <w:sz w:val="28"/>
          <w:szCs w:val="28"/>
          <w:highlight w:val="none"/>
        </w:rPr>
        <w:t>附</w:t>
      </w:r>
      <w:r>
        <w:rPr>
          <w:rFonts w:hint="eastAsia" w:ascii="等线" w:hAnsi="等线" w:eastAsia="等线"/>
          <w:sz w:val="28"/>
          <w:szCs w:val="28"/>
          <w:highlight w:val="none"/>
        </w:rPr>
        <w:t>件</w:t>
      </w:r>
      <w:r>
        <w:rPr>
          <w:rFonts w:ascii="仿宋" w:hAnsi="仿宋" w:eastAsia="等线"/>
          <w:sz w:val="28"/>
          <w:szCs w:val="28"/>
          <w:highlight w:val="none"/>
        </w:rPr>
        <w:t>1</w:t>
      </w:r>
      <w:r>
        <w:rPr>
          <w:rFonts w:hint="eastAsia" w:ascii="仿宋" w:hAnsi="仿宋"/>
          <w:sz w:val="28"/>
          <w:szCs w:val="28"/>
          <w:highlight w:val="none"/>
        </w:rPr>
        <w:t>：</w:t>
      </w:r>
    </w:p>
    <w:p>
      <w:pPr>
        <w:jc w:val="center"/>
        <w:rPr>
          <w:rFonts w:hint="eastAsia" w:ascii="仿宋" w:hAnsi="仿宋"/>
          <w:b/>
          <w:sz w:val="32"/>
          <w:szCs w:val="32"/>
          <w:highlight w:val="none"/>
        </w:rPr>
      </w:pPr>
      <w:r>
        <w:rPr>
          <w:rFonts w:hint="eastAsia" w:ascii="仿宋" w:hAnsi="仿宋"/>
          <w:b/>
          <w:sz w:val="32"/>
          <w:szCs w:val="32"/>
          <w:highlight w:val="none"/>
        </w:rPr>
        <w:t>投标报价书</w:t>
      </w:r>
    </w:p>
    <w:tbl>
      <w:tblPr>
        <w:tblStyle w:val="5"/>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5103"/>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noWrap w:val="0"/>
            <w:vAlign w:val="center"/>
          </w:tcPr>
          <w:p>
            <w:pPr>
              <w:jc w:val="center"/>
              <w:rPr>
                <w:rFonts w:ascii="仿宋" w:hAnsi="仿宋"/>
                <w:b/>
                <w:highlight w:val="none"/>
              </w:rPr>
            </w:pPr>
            <w:r>
              <w:rPr>
                <w:rFonts w:hint="eastAsia" w:ascii="仿宋" w:hAnsi="仿宋"/>
                <w:b/>
                <w:highlight w:val="none"/>
              </w:rPr>
              <w:t>编号</w:t>
            </w:r>
          </w:p>
        </w:tc>
        <w:tc>
          <w:tcPr>
            <w:tcW w:w="5103" w:type="dxa"/>
            <w:noWrap w:val="0"/>
            <w:vAlign w:val="center"/>
          </w:tcPr>
          <w:p>
            <w:pPr>
              <w:jc w:val="center"/>
              <w:rPr>
                <w:rFonts w:ascii="仿宋" w:hAnsi="仿宋"/>
                <w:b/>
                <w:highlight w:val="none"/>
              </w:rPr>
            </w:pPr>
            <w:r>
              <w:rPr>
                <w:rFonts w:hint="eastAsia" w:ascii="仿宋" w:hAnsi="仿宋"/>
                <w:b/>
                <w:highlight w:val="none"/>
              </w:rPr>
              <w:t>工程名称</w:t>
            </w:r>
          </w:p>
        </w:tc>
        <w:tc>
          <w:tcPr>
            <w:tcW w:w="1559" w:type="dxa"/>
            <w:tcBorders>
              <w:right w:val="single" w:color="auto" w:sz="4" w:space="0"/>
            </w:tcBorders>
            <w:noWrap w:val="0"/>
            <w:vAlign w:val="center"/>
          </w:tcPr>
          <w:p>
            <w:pPr>
              <w:jc w:val="center"/>
              <w:rPr>
                <w:rFonts w:ascii="仿宋" w:hAnsi="仿宋"/>
                <w:b/>
                <w:highlight w:val="none"/>
              </w:rPr>
            </w:pPr>
            <w:r>
              <w:rPr>
                <w:rFonts w:hint="eastAsia" w:ascii="仿宋" w:hAnsi="仿宋"/>
                <w:b/>
                <w:highlight w:val="none"/>
              </w:rPr>
              <w:t>投标上限价（万元）</w:t>
            </w:r>
          </w:p>
        </w:tc>
        <w:tc>
          <w:tcPr>
            <w:tcW w:w="1843" w:type="dxa"/>
            <w:tcBorders>
              <w:left w:val="single" w:color="auto" w:sz="4" w:space="0"/>
            </w:tcBorders>
            <w:noWrap w:val="0"/>
            <w:vAlign w:val="center"/>
          </w:tcPr>
          <w:p>
            <w:pPr>
              <w:jc w:val="center"/>
              <w:rPr>
                <w:rFonts w:ascii="仿宋" w:hAnsi="仿宋"/>
                <w:b/>
                <w:highlight w:val="none"/>
              </w:rPr>
            </w:pPr>
            <w:r>
              <w:rPr>
                <w:rFonts w:hint="eastAsia" w:ascii="仿宋" w:hAnsi="仿宋"/>
                <w:b/>
                <w:highlight w:val="none"/>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2" w:type="dxa"/>
            <w:noWrap w:val="0"/>
            <w:vAlign w:val="center"/>
          </w:tcPr>
          <w:p>
            <w:pPr>
              <w:jc w:val="center"/>
              <w:rPr>
                <w:rFonts w:hint="eastAsia" w:ascii="仿宋" w:hAnsi="仿宋"/>
                <w:highlight w:val="none"/>
              </w:rPr>
            </w:pPr>
            <w:r>
              <w:rPr>
                <w:rFonts w:hint="eastAsia" w:ascii="仿宋" w:hAnsi="仿宋"/>
                <w:highlight w:val="none"/>
              </w:rPr>
              <w:t>1</w:t>
            </w:r>
          </w:p>
        </w:tc>
        <w:tc>
          <w:tcPr>
            <w:tcW w:w="5103" w:type="dxa"/>
            <w:noWrap w:val="0"/>
            <w:vAlign w:val="center"/>
          </w:tcPr>
          <w:p>
            <w:pPr>
              <w:adjustRightInd w:val="0"/>
              <w:snapToGrid w:val="0"/>
              <w:spacing w:line="360" w:lineRule="auto"/>
              <w:jc w:val="center"/>
              <w:rPr>
                <w:rFonts w:hint="eastAsia" w:ascii="仿宋" w:hAnsi="仿宋"/>
                <w:szCs w:val="21"/>
                <w:highlight w:val="none"/>
              </w:rPr>
            </w:pPr>
            <w:r>
              <w:rPr>
                <w:rFonts w:hint="eastAsia" w:ascii="仿宋" w:hAnsi="仿宋"/>
                <w:sz w:val="24"/>
                <w:highlight w:val="none"/>
                <w:lang w:val="en-US" w:eastAsia="zh-CN"/>
              </w:rPr>
              <w:t>深圳歌剧院</w:t>
            </w:r>
            <w:r>
              <w:rPr>
                <w:rFonts w:ascii="仿宋" w:hAnsi="仿宋"/>
                <w:sz w:val="24"/>
                <w:highlight w:val="none"/>
              </w:rPr>
              <w:t>项目</w:t>
            </w:r>
            <w:r>
              <w:rPr>
                <w:rFonts w:hint="eastAsia" w:ascii="仿宋" w:hAnsi="仿宋"/>
                <w:sz w:val="24"/>
                <w:highlight w:val="none"/>
              </w:rPr>
              <w:t>防雷检测</w:t>
            </w:r>
          </w:p>
        </w:tc>
        <w:tc>
          <w:tcPr>
            <w:tcW w:w="1559" w:type="dxa"/>
            <w:tcBorders>
              <w:right w:val="single" w:color="auto" w:sz="4" w:space="0"/>
            </w:tcBorders>
            <w:noWrap w:val="0"/>
            <w:vAlign w:val="center"/>
          </w:tcPr>
          <w:p>
            <w:pPr>
              <w:adjustRightInd w:val="0"/>
              <w:snapToGrid w:val="0"/>
              <w:spacing w:line="360" w:lineRule="auto"/>
              <w:jc w:val="center"/>
              <w:rPr>
                <w:rFonts w:ascii="仿宋" w:hAnsi="仿宋"/>
                <w:sz w:val="24"/>
                <w:highlight w:val="none"/>
              </w:rPr>
            </w:pPr>
            <w:r>
              <w:rPr>
                <w:rFonts w:hint="eastAsia" w:ascii="仿宋" w:hAnsi="仿宋"/>
                <w:sz w:val="24"/>
                <w:highlight w:val="none"/>
                <w:lang w:val="en-US" w:eastAsia="zh-CN"/>
              </w:rPr>
              <w:t>10.439552</w:t>
            </w:r>
          </w:p>
        </w:tc>
        <w:tc>
          <w:tcPr>
            <w:tcW w:w="1843" w:type="dxa"/>
            <w:tcBorders>
              <w:left w:val="single" w:color="auto" w:sz="4" w:space="0"/>
            </w:tcBorders>
            <w:noWrap w:val="0"/>
            <w:vAlign w:val="center"/>
          </w:tcPr>
          <w:p>
            <w:pPr>
              <w:adjustRightInd w:val="0"/>
              <w:snapToGrid w:val="0"/>
              <w:spacing w:line="360" w:lineRule="auto"/>
              <w:jc w:val="center"/>
              <w:rPr>
                <w:rFonts w:hint="eastAsia" w:ascii="仿宋" w:hAnsi="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7" w:type="dxa"/>
            <w:gridSpan w:val="4"/>
            <w:noWrap w:val="0"/>
            <w:vAlign w:val="top"/>
          </w:tcPr>
          <w:p>
            <w:pPr>
              <w:pStyle w:val="8"/>
              <w:spacing w:line="360" w:lineRule="auto"/>
              <w:ind w:firstLine="0" w:firstLineChars="0"/>
              <w:rPr>
                <w:rFonts w:hint="eastAsia" w:ascii="仿宋" w:hAnsi="仿宋" w:eastAsia="宋体"/>
                <w:bCs/>
                <w:highlight w:val="none"/>
                <w:lang w:eastAsia="zh-CN"/>
              </w:rPr>
            </w:pPr>
            <w:r>
              <w:rPr>
                <w:rFonts w:hint="eastAsia" w:ascii="仿宋" w:hAnsi="仿宋" w:eastAsia="宋体"/>
                <w:b/>
                <w:highlight w:val="none"/>
                <w:lang w:eastAsia="zh-CN"/>
              </w:rPr>
              <w:t>本次服务具体要求：</w:t>
            </w:r>
            <w:r>
              <w:rPr>
                <w:rFonts w:hint="eastAsia" w:ascii="仿宋" w:hAnsi="仿宋" w:eastAsia="宋体"/>
                <w:bCs/>
                <w:highlight w:val="none"/>
                <w:lang w:eastAsia="zh-CN"/>
              </w:rPr>
              <w:t xml:space="preserve"> </w:t>
            </w:r>
          </w:p>
          <w:p>
            <w:pPr>
              <w:pStyle w:val="8"/>
              <w:spacing w:line="360" w:lineRule="auto"/>
              <w:ind w:firstLine="480"/>
              <w:rPr>
                <w:rFonts w:hint="eastAsia" w:ascii="宋体" w:hAnsi="宋体" w:eastAsia="宋体" w:cs="宋体"/>
                <w:bCs/>
                <w:highlight w:val="none"/>
                <w:lang w:eastAsia="zh-CN"/>
              </w:rPr>
            </w:pPr>
            <w:r>
              <w:rPr>
                <w:rFonts w:hint="eastAsia" w:ascii="宋体" w:hAnsi="宋体" w:eastAsia="宋体" w:cs="宋体"/>
                <w:bCs/>
                <w:highlight w:val="none"/>
                <w:lang w:eastAsia="zh-CN"/>
              </w:rPr>
              <w:t>一、检测内容</w:t>
            </w:r>
          </w:p>
          <w:p>
            <w:pPr>
              <w:pStyle w:val="8"/>
              <w:spacing w:line="360" w:lineRule="auto"/>
              <w:ind w:firstLine="480"/>
              <w:rPr>
                <w:rFonts w:hint="eastAsia" w:ascii="宋体" w:hAnsi="宋体" w:eastAsia="宋体" w:cs="宋体"/>
                <w:bCs/>
                <w:highlight w:val="none"/>
                <w:lang w:eastAsia="zh-CN"/>
              </w:rPr>
            </w:pPr>
            <w:r>
              <w:rPr>
                <w:rFonts w:hint="eastAsia" w:ascii="宋体" w:hAnsi="宋体" w:eastAsia="宋体"/>
                <w:highlight w:val="none"/>
                <w:lang w:val="en-US" w:eastAsia="zh-CN"/>
              </w:rPr>
              <w:t>深圳歌剧院</w:t>
            </w:r>
            <w:r>
              <w:rPr>
                <w:rFonts w:ascii="宋体" w:hAnsi="宋体" w:eastAsia="宋体"/>
                <w:highlight w:val="none"/>
                <w:lang w:eastAsia="zh-CN"/>
              </w:rPr>
              <w:t>项目</w:t>
            </w:r>
            <w:r>
              <w:rPr>
                <w:rFonts w:hint="eastAsia" w:ascii="宋体" w:hAnsi="宋体" w:eastAsia="宋体"/>
                <w:highlight w:val="none"/>
                <w:lang w:eastAsia="zh-CN"/>
              </w:rPr>
              <w:t>防雷装置检测工作，其检测内容包括但不限于：基础接地部分、中间层侧击雷防护部分、天面直击雷部分、整栋楼等电位处理部分、雷击电磁脉冲防护等。检测完毕提交质检部门认可的防雷装置检测报告。</w:t>
            </w:r>
          </w:p>
          <w:p>
            <w:pPr>
              <w:pStyle w:val="8"/>
              <w:spacing w:line="360" w:lineRule="auto"/>
              <w:ind w:firstLine="480"/>
              <w:rPr>
                <w:rFonts w:hint="eastAsia" w:ascii="宋体" w:hAnsi="宋体" w:eastAsia="宋体" w:cs="宋体"/>
                <w:bCs/>
                <w:highlight w:val="none"/>
                <w:lang w:eastAsia="zh-CN"/>
              </w:rPr>
            </w:pPr>
            <w:r>
              <w:rPr>
                <w:rFonts w:hint="eastAsia" w:ascii="宋体" w:hAnsi="宋体" w:eastAsia="宋体" w:cs="宋体"/>
                <w:bCs/>
                <w:highlight w:val="none"/>
                <w:lang w:eastAsia="zh-CN"/>
              </w:rPr>
              <w:t>二、检测依据</w:t>
            </w:r>
          </w:p>
          <w:p>
            <w:pPr>
              <w:adjustRightInd w:val="0"/>
              <w:snapToGrid w:val="0"/>
              <w:spacing w:line="360" w:lineRule="auto"/>
              <w:ind w:firstLine="480"/>
              <w:rPr>
                <w:rFonts w:ascii="宋体" w:hAnsi="宋体" w:cs="宋体"/>
                <w:bCs/>
                <w:sz w:val="24"/>
                <w:highlight w:val="none"/>
              </w:rPr>
            </w:pPr>
            <w:bookmarkStart w:id="0" w:name="_Hlk142919312"/>
            <w:r>
              <w:rPr>
                <w:rFonts w:hint="eastAsia" w:ascii="宋体" w:hAnsi="宋体" w:cs="宋体"/>
                <w:bCs/>
                <w:sz w:val="24"/>
                <w:highlight w:val="none"/>
              </w:rPr>
              <w:t>1、有关法律法规包括但不限于：《中华人民共和国气象法》、《防雷</w:t>
            </w:r>
            <w:bookmarkStart w:id="11" w:name="_GoBack"/>
            <w:bookmarkEnd w:id="11"/>
            <w:r>
              <w:rPr>
                <w:rFonts w:hint="eastAsia" w:ascii="宋体" w:hAnsi="宋体" w:cs="宋体"/>
                <w:bCs/>
                <w:sz w:val="24"/>
                <w:highlight w:val="none"/>
              </w:rPr>
              <w:t>减灾管理办法（修订）》（中国气象局令第24号）、《广东省气象管理规定》、《广东省防御雷电灾害管理规定》、《建筑物防雷装置检测技术规范》GBT21431-2015、《建筑物防雷设计规范》GB50057-2010、《建筑物电子信息系统防雷技术规范》GB50343-2004等。如相关法律、规定、规范有更新，以最新颁布的为准。</w:t>
            </w:r>
          </w:p>
          <w:p>
            <w:pPr>
              <w:pStyle w:val="8"/>
              <w:spacing w:line="360" w:lineRule="auto"/>
              <w:ind w:firstLine="480"/>
              <w:rPr>
                <w:rFonts w:ascii="宋体" w:hAnsi="宋体" w:eastAsia="宋体" w:cs="宋体"/>
                <w:bCs/>
                <w:highlight w:val="none"/>
                <w:lang w:eastAsia="zh-CN"/>
              </w:rPr>
            </w:pPr>
            <w:r>
              <w:rPr>
                <w:rFonts w:hint="eastAsia" w:ascii="宋体" w:hAnsi="宋体" w:eastAsia="宋体" w:cs="宋体"/>
                <w:bCs/>
                <w:highlight w:val="none"/>
                <w:lang w:eastAsia="zh-CN"/>
              </w:rPr>
              <w:t>2、防雷检测方案、设计文件等。</w:t>
            </w:r>
          </w:p>
          <w:bookmarkEnd w:id="0"/>
          <w:p>
            <w:pPr>
              <w:pStyle w:val="8"/>
              <w:spacing w:line="360" w:lineRule="auto"/>
              <w:ind w:firstLine="480"/>
              <w:rPr>
                <w:rFonts w:ascii="宋体" w:hAnsi="宋体" w:eastAsia="宋体" w:cs="宋体"/>
                <w:bCs/>
                <w:highlight w:val="none"/>
                <w:lang w:eastAsia="zh-CN"/>
              </w:rPr>
            </w:pPr>
            <w:r>
              <w:rPr>
                <w:rFonts w:hint="eastAsia" w:ascii="宋体" w:hAnsi="宋体" w:eastAsia="宋体" w:cs="宋体"/>
                <w:bCs/>
                <w:highlight w:val="none"/>
                <w:lang w:eastAsia="zh-CN"/>
              </w:rPr>
              <w:t>三、检测成果　　</w:t>
            </w:r>
          </w:p>
          <w:p>
            <w:pPr>
              <w:pStyle w:val="8"/>
              <w:spacing w:line="360" w:lineRule="auto"/>
              <w:ind w:firstLine="480"/>
              <w:rPr>
                <w:rFonts w:ascii="宋体" w:hAnsi="宋体" w:eastAsia="宋体" w:cs="宋体"/>
                <w:bCs/>
                <w:highlight w:val="none"/>
                <w:lang w:eastAsia="zh-CN"/>
              </w:rPr>
            </w:pPr>
            <w:r>
              <w:rPr>
                <w:rFonts w:hint="eastAsia" w:ascii="宋体" w:hAnsi="宋体" w:eastAsia="宋体" w:cs="宋体"/>
                <w:bCs/>
                <w:highlight w:val="none"/>
                <w:lang w:eastAsia="zh-CN"/>
              </w:rPr>
              <w:t>1、乙方向甲方提交 8 份防雷装置检测报告。</w:t>
            </w:r>
          </w:p>
          <w:p>
            <w:pPr>
              <w:pStyle w:val="8"/>
              <w:spacing w:line="360" w:lineRule="auto"/>
              <w:ind w:firstLine="480"/>
              <w:rPr>
                <w:rFonts w:ascii="宋体" w:hAnsi="宋体" w:eastAsia="宋体" w:cs="宋体"/>
                <w:bCs/>
                <w:highlight w:val="none"/>
                <w:lang w:eastAsia="zh-CN"/>
              </w:rPr>
            </w:pPr>
            <w:r>
              <w:rPr>
                <w:rFonts w:hint="eastAsia" w:ascii="宋体" w:hAnsi="宋体" w:eastAsia="宋体" w:cs="宋体"/>
                <w:bCs/>
                <w:highlight w:val="none"/>
                <w:lang w:eastAsia="zh-CN"/>
              </w:rPr>
              <w:t>四、进度</w:t>
            </w:r>
          </w:p>
          <w:p>
            <w:pPr>
              <w:pStyle w:val="8"/>
              <w:spacing w:line="360" w:lineRule="auto"/>
              <w:ind w:firstLine="480"/>
              <w:rPr>
                <w:rFonts w:hint="eastAsia" w:ascii="宋体" w:hAnsi="宋体" w:eastAsia="宋体" w:cs="宋体"/>
                <w:bCs/>
                <w:highlight w:val="none"/>
                <w:lang w:eastAsia="zh-CN"/>
              </w:rPr>
            </w:pPr>
            <w:r>
              <w:rPr>
                <w:rFonts w:hint="eastAsia" w:ascii="宋体" w:hAnsi="宋体" w:eastAsia="宋体" w:cs="宋体"/>
                <w:bCs/>
                <w:highlight w:val="none"/>
                <w:lang w:eastAsia="zh-CN"/>
              </w:rPr>
              <w:t>1、</w:t>
            </w:r>
            <w:bookmarkStart w:id="1" w:name="_Hlk142919351"/>
            <w:r>
              <w:rPr>
                <w:rFonts w:hint="eastAsia" w:ascii="宋体" w:hAnsi="宋体" w:eastAsia="宋体" w:cs="宋体"/>
                <w:bCs/>
                <w:highlight w:val="none"/>
                <w:lang w:eastAsia="zh-CN"/>
              </w:rPr>
              <w:t>乙方应在接到甲方通知后 30 个日历天内，提交防雷装置检测方案，并取得监理单位书面确认；在完成所有检测工作后 10 个日历天内，提交防雷装置检测报告。</w:t>
            </w:r>
            <w:bookmarkEnd w:id="1"/>
          </w:p>
          <w:p>
            <w:pPr>
              <w:pStyle w:val="8"/>
              <w:spacing w:line="360" w:lineRule="auto"/>
              <w:ind w:firstLine="0" w:firstLineChars="0"/>
              <w:rPr>
                <w:rFonts w:hint="eastAsia" w:ascii="仿宋" w:hAnsi="仿宋" w:eastAsia="宋体"/>
                <w:b/>
                <w:highlight w:val="none"/>
                <w:lang w:eastAsia="zh-CN"/>
              </w:rPr>
            </w:pPr>
            <w:r>
              <w:rPr>
                <w:rFonts w:hint="eastAsia" w:ascii="仿宋" w:hAnsi="仿宋" w:eastAsia="宋体"/>
                <w:b/>
                <w:highlight w:val="none"/>
                <w:lang w:eastAsia="zh-CN"/>
              </w:rPr>
              <w:t>计价原则及结算方式</w:t>
            </w:r>
          </w:p>
          <w:p>
            <w:pPr>
              <w:adjustRightInd w:val="0"/>
              <w:snapToGrid w:val="0"/>
              <w:spacing w:line="360" w:lineRule="auto"/>
              <w:ind w:firstLine="480" w:firstLineChars="200"/>
              <w:rPr>
                <w:rFonts w:hint="eastAsia" w:ascii="仿宋" w:hAnsi="仿宋"/>
                <w:bCs/>
                <w:sz w:val="24"/>
                <w:highlight w:val="none"/>
              </w:rPr>
            </w:pPr>
            <w:r>
              <w:rPr>
                <w:rFonts w:hint="eastAsia" w:ascii="仿宋" w:hAnsi="仿宋"/>
                <w:bCs/>
                <w:sz w:val="24"/>
                <w:highlight w:val="none"/>
              </w:rPr>
              <w:t>本合同价格为总价包干，该合同价为投标人完成本合同工作内容所需的全部费用，包含人工费、检验费用、检验材料费、工具机械使用费、技术资料提供费用、技术指导和工人培训费、检测措施费、管理费、配合费、利润、税金、出具检测报告等所有检测相关费用。</w:t>
            </w:r>
          </w:p>
          <w:p>
            <w:pPr>
              <w:adjustRightInd w:val="0"/>
              <w:snapToGrid w:val="0"/>
              <w:spacing w:line="360" w:lineRule="auto"/>
              <w:ind w:firstLine="480" w:firstLineChars="200"/>
              <w:rPr>
                <w:rFonts w:hint="eastAsia" w:ascii="仿宋" w:hAnsi="仿宋"/>
                <w:bCs/>
                <w:sz w:val="24"/>
                <w:highlight w:val="none"/>
              </w:rPr>
            </w:pPr>
            <w:r>
              <w:rPr>
                <w:rFonts w:hint="eastAsia" w:ascii="仿宋" w:hAnsi="仿宋"/>
                <w:bCs/>
                <w:sz w:val="24"/>
                <w:highlight w:val="none"/>
              </w:rPr>
              <w:t>由于下列情况造成工作量的变化，均不调整合同价款：</w:t>
            </w:r>
          </w:p>
          <w:p>
            <w:pPr>
              <w:adjustRightInd w:val="0"/>
              <w:snapToGrid w:val="0"/>
              <w:spacing w:line="360" w:lineRule="auto"/>
              <w:ind w:firstLine="480" w:firstLineChars="200"/>
              <w:rPr>
                <w:rFonts w:ascii="仿宋" w:hAnsi="仿宋"/>
                <w:bCs/>
                <w:sz w:val="24"/>
                <w:highlight w:val="none"/>
              </w:rPr>
            </w:pPr>
            <w:r>
              <w:rPr>
                <w:rFonts w:hint="eastAsia" w:ascii="仿宋" w:hAnsi="仿宋"/>
                <w:bCs/>
                <w:sz w:val="24"/>
                <w:highlight w:val="none"/>
              </w:rPr>
              <w:t>1、由于防雷装置检验不合格导致的复检。                        </w:t>
            </w:r>
          </w:p>
          <w:p>
            <w:pPr>
              <w:adjustRightInd w:val="0"/>
              <w:snapToGrid w:val="0"/>
              <w:spacing w:line="360" w:lineRule="auto"/>
              <w:ind w:firstLine="480" w:firstLineChars="200"/>
              <w:rPr>
                <w:rFonts w:ascii="仿宋" w:hAnsi="仿宋"/>
                <w:bCs/>
                <w:sz w:val="24"/>
                <w:highlight w:val="none"/>
              </w:rPr>
            </w:pPr>
            <w:r>
              <w:rPr>
                <w:rFonts w:hint="eastAsia" w:ascii="仿宋" w:hAnsi="仿宋"/>
                <w:bCs/>
                <w:sz w:val="24"/>
                <w:highlight w:val="none"/>
              </w:rPr>
              <w:t>2、由于主管部门要求，调整检测内容或频次，投标人按调整要求执行，不调整合同价款。</w:t>
            </w:r>
          </w:p>
          <w:p>
            <w:pPr>
              <w:adjustRightInd w:val="0"/>
              <w:snapToGrid w:val="0"/>
              <w:spacing w:line="360" w:lineRule="auto"/>
              <w:ind w:firstLine="480" w:firstLineChars="200"/>
              <w:rPr>
                <w:rFonts w:hint="eastAsia" w:ascii="仿宋" w:hAnsi="仿宋"/>
                <w:bCs/>
                <w:sz w:val="24"/>
                <w:highlight w:val="none"/>
              </w:rPr>
            </w:pPr>
            <w:r>
              <w:rPr>
                <w:rFonts w:hint="eastAsia" w:ascii="仿宋" w:hAnsi="仿宋"/>
                <w:bCs/>
                <w:sz w:val="24"/>
                <w:highlight w:val="none"/>
              </w:rPr>
              <w:t>3、若由于防雷装置检测相关政策发生变化，甲方有权单方面解除合同。</w:t>
            </w:r>
          </w:p>
          <w:p>
            <w:pPr>
              <w:adjustRightInd w:val="0"/>
              <w:snapToGrid w:val="0"/>
              <w:spacing w:line="360" w:lineRule="auto"/>
              <w:ind w:firstLine="480" w:firstLineChars="200"/>
              <w:rPr>
                <w:rFonts w:ascii="仿宋" w:hAnsi="仿宋"/>
                <w:bCs/>
                <w:sz w:val="24"/>
                <w:highlight w:val="none"/>
              </w:rPr>
            </w:pPr>
            <w:r>
              <w:rPr>
                <w:rFonts w:hint="eastAsia" w:ascii="仿宋" w:hAnsi="仿宋"/>
                <w:bCs/>
                <w:sz w:val="24"/>
                <w:highlight w:val="none"/>
              </w:rPr>
              <w:t>工程结算报送</w:t>
            </w:r>
            <w:r>
              <w:rPr>
                <w:rFonts w:hint="eastAsia" w:ascii="仿宋" w:hAnsi="仿宋"/>
                <w:bCs/>
                <w:sz w:val="24"/>
                <w:highlight w:val="none"/>
                <w:lang w:val="en-US" w:eastAsia="zh-CN"/>
              </w:rPr>
              <w:t>深圳市</w:t>
            </w:r>
            <w:r>
              <w:rPr>
                <w:rFonts w:hint="eastAsia" w:ascii="仿宋" w:hAnsi="仿宋"/>
                <w:bCs/>
                <w:sz w:val="24"/>
                <w:highlight w:val="none"/>
              </w:rPr>
              <w:t>财政</w:t>
            </w:r>
            <w:r>
              <w:rPr>
                <w:rFonts w:hint="eastAsia" w:ascii="仿宋" w:hAnsi="仿宋"/>
                <w:bCs/>
                <w:sz w:val="24"/>
                <w:highlight w:val="none"/>
                <w:lang w:val="en-US" w:eastAsia="zh-CN"/>
              </w:rPr>
              <w:t>预算和</w:t>
            </w:r>
            <w:r>
              <w:rPr>
                <w:rFonts w:hint="eastAsia" w:ascii="仿宋" w:hAnsi="仿宋"/>
                <w:bCs/>
                <w:sz w:val="24"/>
                <w:highlight w:val="none"/>
              </w:rPr>
              <w:t>投资评审</w:t>
            </w:r>
            <w:r>
              <w:rPr>
                <w:rFonts w:hint="eastAsia" w:ascii="仿宋" w:hAnsi="仿宋"/>
                <w:bCs/>
                <w:sz w:val="24"/>
                <w:highlight w:val="none"/>
                <w:lang w:val="en-US" w:eastAsia="zh-CN"/>
              </w:rPr>
              <w:t>中心</w:t>
            </w:r>
            <w:r>
              <w:rPr>
                <w:rFonts w:hint="eastAsia" w:ascii="仿宋" w:hAnsi="仿宋"/>
                <w:bCs/>
                <w:sz w:val="24"/>
                <w:highlight w:val="none"/>
              </w:rPr>
              <w:t>，以评审结果作为工程结算的依据。若被各级审计机关再次就结算进行审计的，应以审计机关的审计结论作为结算依据。如审计机关审计结论认定工程结算多计工程款项的，投标人应在接到招标人书面通知后15日内无条件返还多支付的工程款。最终结算价服务类限额不得超过（含）100万元。</w:t>
            </w:r>
          </w:p>
          <w:p>
            <w:pPr>
              <w:pStyle w:val="8"/>
              <w:adjustRightInd w:val="0"/>
              <w:snapToGrid w:val="0"/>
              <w:spacing w:line="360" w:lineRule="auto"/>
              <w:ind w:firstLine="0" w:firstLineChars="0"/>
              <w:rPr>
                <w:rFonts w:ascii="仿宋" w:hAnsi="仿宋" w:eastAsia="宋体"/>
                <w:b/>
                <w:color w:val="FF0000"/>
                <w:highlight w:val="none"/>
                <w:lang w:eastAsia="zh-CN"/>
              </w:rPr>
            </w:pPr>
            <w:r>
              <w:rPr>
                <w:rFonts w:hint="eastAsia" w:ascii="仿宋" w:hAnsi="仿宋" w:eastAsia="宋体"/>
                <w:b/>
                <w:highlight w:val="none"/>
                <w:lang w:eastAsia="zh-CN"/>
              </w:rPr>
              <w:t>付款方式：</w:t>
            </w:r>
          </w:p>
          <w:p>
            <w:pPr>
              <w:adjustRightInd w:val="0"/>
              <w:snapToGrid w:val="0"/>
              <w:spacing w:line="360" w:lineRule="auto"/>
              <w:ind w:firstLine="480" w:firstLineChars="200"/>
              <w:rPr>
                <w:rFonts w:ascii="仿宋" w:hAnsi="仿宋"/>
                <w:bCs/>
                <w:sz w:val="24"/>
                <w:highlight w:val="none"/>
              </w:rPr>
            </w:pPr>
            <w:r>
              <w:rPr>
                <w:rFonts w:hint="eastAsia" w:ascii="仿宋" w:hAnsi="仿宋"/>
                <w:bCs/>
                <w:sz w:val="24"/>
                <w:highlight w:val="none"/>
              </w:rPr>
              <w:t>1、付款进度</w:t>
            </w:r>
          </w:p>
          <w:p>
            <w:pPr>
              <w:adjustRightInd w:val="0"/>
              <w:snapToGrid w:val="0"/>
              <w:spacing w:line="360" w:lineRule="auto"/>
              <w:ind w:firstLine="480" w:firstLineChars="200"/>
              <w:rPr>
                <w:rFonts w:ascii="仿宋" w:hAnsi="仿宋"/>
                <w:sz w:val="24"/>
                <w:highlight w:val="none"/>
              </w:rPr>
            </w:pPr>
            <w:r>
              <w:rPr>
                <w:rFonts w:hint="eastAsia" w:ascii="仿宋" w:hAnsi="仿宋"/>
                <w:sz w:val="24"/>
                <w:highlight w:val="none"/>
              </w:rPr>
              <w:t>（1）本项目不设预付款；</w:t>
            </w:r>
          </w:p>
          <w:p>
            <w:pPr>
              <w:adjustRightInd w:val="0"/>
              <w:snapToGrid w:val="0"/>
              <w:spacing w:line="360" w:lineRule="auto"/>
              <w:ind w:firstLine="480" w:firstLineChars="200"/>
              <w:rPr>
                <w:rFonts w:ascii="仿宋" w:hAnsi="仿宋"/>
                <w:sz w:val="24"/>
                <w:highlight w:val="none"/>
              </w:rPr>
            </w:pPr>
            <w:r>
              <w:rPr>
                <w:rFonts w:hint="eastAsia" w:ascii="仿宋" w:hAnsi="仿宋"/>
                <w:sz w:val="24"/>
                <w:highlight w:val="none"/>
              </w:rPr>
              <w:t>（2）完成所有检测任务，提供检测报告（满足竣工验收的要求），招标人支付至合同金额的90%；</w:t>
            </w:r>
          </w:p>
          <w:p>
            <w:pPr>
              <w:spacing w:line="360" w:lineRule="auto"/>
              <w:ind w:firstLine="410" w:firstLineChars="171"/>
              <w:rPr>
                <w:rFonts w:ascii="仿宋" w:hAnsi="仿宋"/>
                <w:sz w:val="24"/>
                <w:highlight w:val="none"/>
              </w:rPr>
            </w:pPr>
            <w:bookmarkStart w:id="2" w:name="_Hlk142919778"/>
            <w:r>
              <w:rPr>
                <w:rFonts w:hint="eastAsia" w:ascii="仿宋" w:hAnsi="仿宋"/>
                <w:sz w:val="24"/>
                <w:highlight w:val="none"/>
              </w:rPr>
              <w:t>合同费用分基本检测费（占90%）和绩效检测费（占10%）两部分，绩效根据履约评价结果支付。结算价以</w:t>
            </w:r>
            <w:r>
              <w:rPr>
                <w:rFonts w:hint="eastAsia" w:ascii="宋体" w:hAnsi="宋体" w:eastAsia="宋体" w:cs="宋体"/>
                <w:color w:val="auto"/>
                <w:sz w:val="24"/>
                <w:szCs w:val="24"/>
                <w:highlight w:val="none"/>
                <w:lang w:val="en-US" w:eastAsia="zh-CN"/>
              </w:rPr>
              <w:t>深圳市</w:t>
            </w:r>
            <w:r>
              <w:rPr>
                <w:rFonts w:hint="eastAsia" w:ascii="仿宋" w:hAnsi="仿宋"/>
                <w:color w:val="auto"/>
                <w:sz w:val="24"/>
                <w:highlight w:val="none"/>
              </w:rPr>
              <w:t>财政</w:t>
            </w:r>
            <w:r>
              <w:rPr>
                <w:rFonts w:hint="eastAsia" w:ascii="仿宋" w:hAnsi="仿宋"/>
                <w:color w:val="auto"/>
                <w:sz w:val="24"/>
                <w:highlight w:val="none"/>
                <w:lang w:val="en-US" w:eastAsia="zh-CN"/>
              </w:rPr>
              <w:t>预算和</w:t>
            </w:r>
            <w:r>
              <w:rPr>
                <w:rFonts w:hint="eastAsia" w:ascii="仿宋" w:hAnsi="仿宋"/>
                <w:color w:val="auto"/>
                <w:sz w:val="24"/>
                <w:highlight w:val="none"/>
              </w:rPr>
              <w:t>投资评审</w:t>
            </w:r>
            <w:r>
              <w:rPr>
                <w:rFonts w:hint="eastAsia" w:ascii="仿宋" w:hAnsi="仿宋"/>
                <w:color w:val="auto"/>
                <w:sz w:val="24"/>
                <w:highlight w:val="none"/>
                <w:lang w:val="en-US" w:eastAsia="zh-CN"/>
              </w:rPr>
              <w:t>中心</w:t>
            </w:r>
            <w:r>
              <w:rPr>
                <w:rFonts w:hint="eastAsia" w:ascii="仿宋" w:hAnsi="仿宋"/>
                <w:color w:val="auto"/>
                <w:sz w:val="24"/>
                <w:highlight w:val="none"/>
              </w:rPr>
              <w:t>的评审</w:t>
            </w:r>
            <w:r>
              <w:rPr>
                <w:rFonts w:hint="eastAsia" w:ascii="仿宋" w:hAnsi="仿宋"/>
                <w:color w:val="auto"/>
                <w:sz w:val="24"/>
                <w:highlight w:val="none"/>
                <w:lang w:val="en-US" w:eastAsia="zh-CN"/>
              </w:rPr>
              <w:t>报告</w:t>
            </w:r>
            <w:r>
              <w:rPr>
                <w:rFonts w:hint="eastAsia" w:ascii="仿宋" w:hAnsi="仿宋"/>
                <w:sz w:val="24"/>
                <w:highlight w:val="none"/>
              </w:rPr>
              <w:t>为准；</w:t>
            </w:r>
          </w:p>
          <w:p>
            <w:pPr>
              <w:spacing w:line="360" w:lineRule="auto"/>
              <w:ind w:firstLine="410" w:firstLineChars="171"/>
              <w:rPr>
                <w:rFonts w:hint="eastAsia" w:ascii="仿宋" w:hAnsi="仿宋"/>
                <w:sz w:val="24"/>
                <w:highlight w:val="none"/>
              </w:rPr>
            </w:pPr>
            <w:r>
              <w:rPr>
                <w:rFonts w:hint="eastAsia" w:ascii="仿宋" w:hAnsi="仿宋"/>
                <w:sz w:val="24"/>
                <w:highlight w:val="none"/>
              </w:rPr>
              <w:t>绩效检测费的计算：甲方按照《</w:t>
            </w:r>
            <w:r>
              <w:rPr>
                <w:rFonts w:hint="eastAsia" w:ascii="仿宋" w:hAnsi="仿宋"/>
                <w:sz w:val="24"/>
                <w:highlight w:val="none"/>
                <w:lang w:val="en-US" w:eastAsia="zh-CN"/>
              </w:rPr>
              <w:t>深圳</w:t>
            </w:r>
            <w:r>
              <w:rPr>
                <w:rFonts w:hint="eastAsia" w:ascii="仿宋" w:hAnsi="仿宋"/>
                <w:sz w:val="24"/>
                <w:highlight w:val="none"/>
              </w:rPr>
              <w:t>市建筑工务署</w:t>
            </w:r>
            <w:r>
              <w:rPr>
                <w:rFonts w:hint="eastAsia" w:ascii="仿宋" w:hAnsi="仿宋"/>
                <w:sz w:val="24"/>
                <w:highlight w:val="none"/>
                <w:lang w:val="en-US" w:eastAsia="zh-CN"/>
              </w:rPr>
              <w:t>承包商</w:t>
            </w:r>
            <w:r>
              <w:rPr>
                <w:rFonts w:hint="eastAsia" w:ascii="仿宋" w:hAnsi="仿宋"/>
                <w:sz w:val="24"/>
                <w:highlight w:val="none"/>
              </w:rPr>
              <w:t>履约评价管理办法》和《检测合同履约评价细则》对乙方履约情况进行评价，履约评价结果分优秀、良好、</w:t>
            </w:r>
            <w:r>
              <w:rPr>
                <w:rFonts w:hint="eastAsia" w:ascii="仿宋" w:hAnsi="仿宋"/>
                <w:sz w:val="24"/>
                <w:highlight w:val="none"/>
                <w:lang w:val="en-US" w:eastAsia="zh-CN"/>
              </w:rPr>
              <w:t>中等、</w:t>
            </w:r>
            <w:r>
              <w:rPr>
                <w:rFonts w:hint="eastAsia" w:ascii="仿宋" w:hAnsi="仿宋"/>
                <w:sz w:val="24"/>
                <w:highlight w:val="none"/>
              </w:rPr>
              <w:t>合格、不合格</w:t>
            </w:r>
            <w:r>
              <w:rPr>
                <w:rFonts w:hint="eastAsia" w:ascii="仿宋" w:hAnsi="仿宋"/>
                <w:sz w:val="24"/>
                <w:highlight w:val="none"/>
                <w:lang w:val="en-US" w:eastAsia="zh-CN"/>
              </w:rPr>
              <w:t>5个等级</w:t>
            </w:r>
            <w:r>
              <w:rPr>
                <w:rFonts w:hint="eastAsia" w:ascii="仿宋" w:hAnsi="仿宋"/>
                <w:sz w:val="24"/>
                <w:highlight w:val="none"/>
              </w:rPr>
              <w:t>，对应的绩效检测费支付比例分别为100%、</w:t>
            </w:r>
            <w:r>
              <w:rPr>
                <w:rFonts w:ascii="仿宋" w:hAnsi="仿宋"/>
                <w:sz w:val="24"/>
                <w:highlight w:val="none"/>
              </w:rPr>
              <w:t>10</w:t>
            </w:r>
            <w:r>
              <w:rPr>
                <w:rFonts w:hint="eastAsia" w:ascii="仿宋" w:hAnsi="仿宋"/>
                <w:sz w:val="24"/>
                <w:highlight w:val="none"/>
              </w:rPr>
              <w:t>0%、</w:t>
            </w:r>
            <w:r>
              <w:rPr>
                <w:rFonts w:hint="eastAsia" w:ascii="仿宋" w:hAnsi="仿宋"/>
                <w:sz w:val="24"/>
                <w:highlight w:val="none"/>
                <w:lang w:val="en-US" w:eastAsia="zh-CN"/>
              </w:rPr>
              <w:t>7</w:t>
            </w:r>
            <w:r>
              <w:rPr>
                <w:rFonts w:hint="eastAsia" w:ascii="仿宋" w:hAnsi="仿宋"/>
                <w:sz w:val="24"/>
                <w:highlight w:val="none"/>
              </w:rPr>
              <w:t>0%、</w:t>
            </w:r>
            <w:r>
              <w:rPr>
                <w:rFonts w:hint="eastAsia" w:ascii="仿宋" w:hAnsi="仿宋"/>
                <w:sz w:val="24"/>
                <w:highlight w:val="none"/>
                <w:lang w:val="en-US" w:eastAsia="zh-CN"/>
              </w:rPr>
              <w:t>50%、</w:t>
            </w:r>
            <w:r>
              <w:rPr>
                <w:rFonts w:hint="eastAsia" w:ascii="仿宋" w:hAnsi="仿宋"/>
                <w:sz w:val="24"/>
                <w:highlight w:val="none"/>
              </w:rPr>
              <w:t>0%；</w:t>
            </w:r>
          </w:p>
          <w:bookmarkEnd w:id="2"/>
          <w:p>
            <w:pPr>
              <w:adjustRightInd w:val="0"/>
              <w:snapToGrid w:val="0"/>
              <w:spacing w:line="360" w:lineRule="auto"/>
              <w:ind w:firstLine="480" w:firstLineChars="200"/>
              <w:rPr>
                <w:rFonts w:ascii="仿宋" w:hAnsi="仿宋"/>
                <w:sz w:val="24"/>
                <w:highlight w:val="none"/>
              </w:rPr>
            </w:pPr>
            <w:r>
              <w:rPr>
                <w:rFonts w:hint="eastAsia" w:ascii="仿宋" w:hAnsi="仿宋"/>
                <w:sz w:val="24"/>
                <w:highlight w:val="none"/>
              </w:rPr>
              <w:t>（3）剩余款项待</w:t>
            </w:r>
            <w:r>
              <w:rPr>
                <w:rFonts w:hint="eastAsia" w:ascii="仿宋" w:hAnsi="仿宋"/>
                <w:sz w:val="24"/>
                <w:highlight w:val="none"/>
                <w:lang w:val="en-US" w:eastAsia="zh-CN"/>
              </w:rPr>
              <w:t>深圳市</w:t>
            </w:r>
            <w:r>
              <w:rPr>
                <w:rFonts w:hint="eastAsia" w:ascii="仿宋" w:hAnsi="仿宋"/>
                <w:sz w:val="24"/>
                <w:highlight w:val="none"/>
              </w:rPr>
              <w:t>财政</w:t>
            </w:r>
            <w:r>
              <w:rPr>
                <w:rFonts w:hint="eastAsia" w:ascii="仿宋" w:hAnsi="仿宋"/>
                <w:sz w:val="24"/>
                <w:highlight w:val="none"/>
                <w:lang w:val="en-US" w:eastAsia="zh-CN"/>
              </w:rPr>
              <w:t>预算和</w:t>
            </w:r>
            <w:r>
              <w:rPr>
                <w:rFonts w:hint="eastAsia" w:ascii="仿宋" w:hAnsi="仿宋"/>
                <w:sz w:val="24"/>
                <w:highlight w:val="none"/>
              </w:rPr>
              <w:t>投资评审</w:t>
            </w:r>
            <w:r>
              <w:rPr>
                <w:rFonts w:hint="eastAsia" w:ascii="仿宋" w:hAnsi="仿宋"/>
                <w:sz w:val="24"/>
                <w:highlight w:val="none"/>
                <w:lang w:val="en-US" w:eastAsia="zh-CN"/>
              </w:rPr>
              <w:t>中心</w:t>
            </w:r>
            <w:r>
              <w:rPr>
                <w:rFonts w:hint="eastAsia" w:ascii="仿宋" w:hAnsi="仿宋"/>
                <w:sz w:val="24"/>
                <w:highlight w:val="none"/>
              </w:rPr>
              <w:t>的评审结论后一次性付清。</w:t>
            </w:r>
          </w:p>
          <w:p>
            <w:pPr>
              <w:adjustRightInd w:val="0"/>
              <w:snapToGrid w:val="0"/>
              <w:spacing w:line="360" w:lineRule="auto"/>
              <w:ind w:firstLine="480" w:firstLineChars="200"/>
              <w:rPr>
                <w:rFonts w:ascii="仿宋" w:hAnsi="仿宋"/>
                <w:bCs/>
                <w:sz w:val="24"/>
                <w:highlight w:val="none"/>
              </w:rPr>
            </w:pPr>
            <w:r>
              <w:rPr>
                <w:rFonts w:hint="eastAsia" w:ascii="仿宋" w:hAnsi="仿宋"/>
                <w:bCs/>
                <w:sz w:val="24"/>
                <w:highlight w:val="none"/>
              </w:rPr>
              <w:t>2、付款方式</w:t>
            </w:r>
          </w:p>
          <w:p>
            <w:pPr>
              <w:adjustRightInd w:val="0"/>
              <w:snapToGrid w:val="0"/>
              <w:spacing w:line="360" w:lineRule="auto"/>
              <w:ind w:firstLine="480" w:firstLineChars="200"/>
              <w:rPr>
                <w:rFonts w:ascii="仿宋" w:hAnsi="仿宋"/>
                <w:bCs/>
                <w:sz w:val="24"/>
                <w:highlight w:val="none"/>
              </w:rPr>
            </w:pPr>
            <w:r>
              <w:rPr>
                <w:rFonts w:hint="eastAsia" w:ascii="仿宋" w:hAnsi="仿宋"/>
                <w:bCs/>
                <w:sz w:val="24"/>
                <w:highlight w:val="none"/>
              </w:rPr>
              <w:t>（1）投标人应按付款进度之规定及本合同项中的其它相关条款的规定，向招标人出具附有工作进度报告和相关工作成果的付款申请。</w:t>
            </w:r>
          </w:p>
          <w:p>
            <w:pPr>
              <w:adjustRightInd w:val="0"/>
              <w:snapToGrid w:val="0"/>
              <w:spacing w:line="360" w:lineRule="auto"/>
              <w:ind w:firstLine="480" w:firstLineChars="200"/>
              <w:rPr>
                <w:rFonts w:hint="eastAsia" w:ascii="仿宋" w:hAnsi="仿宋"/>
                <w:bCs/>
                <w:sz w:val="24"/>
                <w:highlight w:val="none"/>
              </w:rPr>
            </w:pPr>
            <w:r>
              <w:rPr>
                <w:rFonts w:hint="eastAsia" w:ascii="仿宋" w:hAnsi="仿宋"/>
                <w:bCs/>
                <w:sz w:val="24"/>
                <w:highlight w:val="none"/>
              </w:rPr>
              <w:t>（2）每次付款申请时,投标人应向招标人开具与付款金额等额的税务发票。</w:t>
            </w:r>
          </w:p>
          <w:p>
            <w:pPr>
              <w:pStyle w:val="8"/>
              <w:spacing w:line="360" w:lineRule="auto"/>
              <w:ind w:firstLine="0" w:firstLineChars="0"/>
              <w:rPr>
                <w:rFonts w:hint="eastAsia" w:ascii="仿宋" w:hAnsi="仿宋" w:eastAsia="宋体"/>
                <w:b/>
                <w:highlight w:val="none"/>
                <w:lang w:eastAsia="zh-CN"/>
              </w:rPr>
            </w:pPr>
            <w:r>
              <w:rPr>
                <w:rFonts w:hint="eastAsia" w:ascii="仿宋" w:hAnsi="仿宋" w:eastAsia="宋体"/>
                <w:b/>
                <w:highlight w:val="none"/>
                <w:lang w:eastAsia="zh-CN"/>
              </w:rPr>
              <w:t>工期：</w:t>
            </w:r>
          </w:p>
          <w:p>
            <w:pPr>
              <w:pStyle w:val="8"/>
              <w:spacing w:line="360" w:lineRule="auto"/>
              <w:ind w:firstLine="480"/>
              <w:rPr>
                <w:rFonts w:hint="eastAsia" w:ascii="仿宋" w:hAnsi="仿宋" w:eastAsia="宋体"/>
                <w:bCs/>
                <w:highlight w:val="none"/>
                <w:lang w:eastAsia="zh-CN"/>
              </w:rPr>
            </w:pPr>
            <w:r>
              <w:rPr>
                <w:rFonts w:hint="eastAsia" w:ascii="仿宋" w:hAnsi="仿宋" w:eastAsia="宋体"/>
                <w:bCs/>
                <w:highlight w:val="none"/>
                <w:lang w:eastAsia="zh-CN"/>
              </w:rPr>
              <w:t>1、合同签订起至完成合同约定的所有工作。</w:t>
            </w:r>
          </w:p>
          <w:p>
            <w:pPr>
              <w:pStyle w:val="8"/>
              <w:spacing w:line="360" w:lineRule="auto"/>
              <w:ind w:firstLine="480"/>
              <w:rPr>
                <w:rFonts w:hint="eastAsia" w:ascii="仿宋" w:hAnsi="仿宋" w:eastAsia="宋体"/>
                <w:bCs/>
                <w:highlight w:val="none"/>
                <w:lang w:eastAsia="zh-CN"/>
              </w:rPr>
            </w:pPr>
            <w:r>
              <w:rPr>
                <w:rFonts w:hint="eastAsia" w:ascii="仿宋" w:hAnsi="仿宋" w:eastAsia="宋体"/>
                <w:bCs/>
                <w:highlight w:val="none"/>
                <w:lang w:eastAsia="zh-CN"/>
              </w:rPr>
              <w:t>2、工期暂定</w:t>
            </w:r>
            <w:r>
              <w:rPr>
                <w:rFonts w:hint="eastAsia" w:ascii="仿宋" w:hAnsi="仿宋" w:eastAsia="宋体"/>
                <w:bCs/>
                <w:color w:val="000000"/>
                <w:highlight w:val="none"/>
                <w:lang w:eastAsia="zh-CN"/>
              </w:rPr>
              <w:t>为 202</w:t>
            </w:r>
            <w:r>
              <w:rPr>
                <w:rFonts w:hint="eastAsia" w:ascii="仿宋" w:hAnsi="仿宋" w:eastAsia="宋体"/>
                <w:bCs/>
                <w:color w:val="000000"/>
                <w:highlight w:val="none"/>
                <w:lang w:val="en-US" w:eastAsia="zh-CN"/>
              </w:rPr>
              <w:t>5</w:t>
            </w:r>
            <w:r>
              <w:rPr>
                <w:rFonts w:hint="eastAsia" w:ascii="仿宋" w:hAnsi="仿宋" w:eastAsia="宋体"/>
                <w:bCs/>
                <w:color w:val="000000"/>
                <w:highlight w:val="none"/>
                <w:lang w:eastAsia="zh-CN"/>
              </w:rPr>
              <w:t xml:space="preserve"> 年</w:t>
            </w:r>
            <w:r>
              <w:rPr>
                <w:rFonts w:hint="eastAsia" w:ascii="仿宋" w:hAnsi="仿宋" w:eastAsia="宋体"/>
                <w:bCs/>
                <w:color w:val="000000"/>
                <w:highlight w:val="none"/>
                <w:lang w:val="en-US" w:eastAsia="zh-CN"/>
              </w:rPr>
              <w:t>10</w:t>
            </w:r>
            <w:r>
              <w:rPr>
                <w:rFonts w:hint="eastAsia" w:ascii="仿宋" w:hAnsi="仿宋" w:eastAsia="宋体"/>
                <w:bCs/>
                <w:color w:val="000000"/>
                <w:highlight w:val="none"/>
                <w:lang w:eastAsia="zh-CN"/>
              </w:rPr>
              <w:t>月</w:t>
            </w:r>
            <w:r>
              <w:rPr>
                <w:rFonts w:hint="eastAsia" w:ascii="仿宋" w:hAnsi="仿宋" w:eastAsia="宋体"/>
                <w:bCs/>
                <w:color w:val="000000"/>
                <w:highlight w:val="none"/>
                <w:lang w:val="en-US" w:eastAsia="zh-CN"/>
              </w:rPr>
              <w:t xml:space="preserve"> 8 </w:t>
            </w:r>
            <w:r>
              <w:rPr>
                <w:rFonts w:hint="eastAsia" w:ascii="仿宋" w:hAnsi="仿宋" w:eastAsia="宋体"/>
                <w:bCs/>
                <w:color w:val="000000"/>
                <w:highlight w:val="none"/>
                <w:lang w:eastAsia="zh-CN"/>
              </w:rPr>
              <w:t>日至 202</w:t>
            </w:r>
            <w:r>
              <w:rPr>
                <w:rFonts w:hint="eastAsia" w:ascii="仿宋" w:hAnsi="仿宋" w:eastAsia="宋体"/>
                <w:bCs/>
                <w:color w:val="000000"/>
                <w:highlight w:val="none"/>
                <w:lang w:val="en-US" w:eastAsia="zh-CN"/>
              </w:rPr>
              <w:t>8</w:t>
            </w:r>
            <w:r>
              <w:rPr>
                <w:rFonts w:hint="eastAsia" w:ascii="仿宋" w:hAnsi="仿宋" w:eastAsia="宋体"/>
                <w:bCs/>
                <w:color w:val="000000"/>
                <w:highlight w:val="none"/>
                <w:lang w:eastAsia="zh-CN"/>
              </w:rPr>
              <w:t>年</w:t>
            </w:r>
            <w:r>
              <w:rPr>
                <w:rFonts w:hint="eastAsia" w:ascii="仿宋" w:hAnsi="仿宋" w:eastAsia="宋体"/>
                <w:bCs/>
                <w:color w:val="000000"/>
                <w:highlight w:val="none"/>
                <w:lang w:val="en-US" w:eastAsia="zh-CN"/>
              </w:rPr>
              <w:t>12</w:t>
            </w:r>
            <w:r>
              <w:rPr>
                <w:rFonts w:hint="eastAsia" w:ascii="仿宋" w:hAnsi="仿宋" w:eastAsia="宋体"/>
                <w:bCs/>
                <w:color w:val="000000"/>
                <w:highlight w:val="none"/>
                <w:lang w:eastAsia="zh-CN"/>
              </w:rPr>
              <w:t>月3</w:t>
            </w:r>
            <w:r>
              <w:rPr>
                <w:rFonts w:hint="eastAsia" w:ascii="仿宋" w:hAnsi="仿宋" w:eastAsia="宋体"/>
                <w:bCs/>
                <w:color w:val="000000"/>
                <w:highlight w:val="none"/>
                <w:lang w:val="en-US" w:eastAsia="zh-CN"/>
              </w:rPr>
              <w:t>1</w:t>
            </w:r>
            <w:r>
              <w:rPr>
                <w:rFonts w:hint="eastAsia" w:ascii="仿宋" w:hAnsi="仿宋" w:eastAsia="宋体"/>
                <w:bCs/>
                <w:color w:val="000000"/>
                <w:highlight w:val="none"/>
                <w:lang w:eastAsia="zh-CN"/>
              </w:rPr>
              <w:t>日</w:t>
            </w:r>
            <w:r>
              <w:rPr>
                <w:rFonts w:hint="eastAsia" w:ascii="仿宋" w:hAnsi="仿宋" w:eastAsia="宋体"/>
                <w:bCs/>
                <w:highlight w:val="none"/>
                <w:lang w:eastAsia="zh-CN"/>
              </w:rPr>
              <w:t>。</w:t>
            </w:r>
          </w:p>
          <w:p>
            <w:pPr>
              <w:pStyle w:val="8"/>
              <w:spacing w:line="360" w:lineRule="auto"/>
              <w:ind w:firstLine="480"/>
              <w:rPr>
                <w:rFonts w:hint="eastAsia" w:ascii="仿宋" w:hAnsi="仿宋" w:eastAsia="宋体"/>
                <w:bCs/>
                <w:highlight w:val="none"/>
                <w:lang w:eastAsia="zh-CN"/>
              </w:rPr>
            </w:pPr>
            <w:r>
              <w:rPr>
                <w:rFonts w:hint="eastAsia" w:ascii="仿宋" w:hAnsi="仿宋" w:eastAsia="宋体"/>
                <w:bCs/>
                <w:highlight w:val="none"/>
                <w:lang w:eastAsia="zh-CN"/>
              </w:rPr>
              <w:t>3、以上时间仅为预估工期，实际工期根据项目实际建设时间相应调整。</w:t>
            </w:r>
          </w:p>
          <w:p>
            <w:pPr>
              <w:adjustRightInd w:val="0"/>
              <w:snapToGrid w:val="0"/>
              <w:spacing w:line="360" w:lineRule="auto"/>
              <w:rPr>
                <w:rFonts w:hint="eastAsia" w:ascii="仿宋" w:hAnsi="仿宋"/>
                <w:b/>
                <w:sz w:val="24"/>
                <w:highlight w:val="none"/>
              </w:rPr>
            </w:pPr>
            <w:r>
              <w:rPr>
                <w:rFonts w:hint="eastAsia" w:ascii="仿宋" w:hAnsi="仿宋"/>
                <w:b/>
                <w:sz w:val="24"/>
                <w:highlight w:val="none"/>
              </w:rPr>
              <w:t xml:space="preserve">投标资料组成： </w:t>
            </w:r>
          </w:p>
          <w:p>
            <w:pPr>
              <w:pStyle w:val="8"/>
              <w:adjustRightInd w:val="0"/>
              <w:snapToGrid w:val="0"/>
              <w:spacing w:line="360" w:lineRule="auto"/>
              <w:ind w:firstLine="480"/>
              <w:rPr>
                <w:rFonts w:hint="eastAsia" w:ascii="仿宋" w:hAnsi="仿宋" w:eastAsia="宋体"/>
                <w:highlight w:val="none"/>
                <w:lang w:eastAsia="zh-CN"/>
              </w:rPr>
            </w:pPr>
            <w:r>
              <w:rPr>
                <w:rFonts w:hint="eastAsia" w:ascii="仿宋" w:hAnsi="仿宋" w:eastAsia="宋体"/>
                <w:highlight w:val="none"/>
                <w:lang w:eastAsia="zh-CN"/>
              </w:rPr>
              <w:t>1、投标报价书（按附件1，签名加盖公章）</w:t>
            </w:r>
          </w:p>
          <w:p>
            <w:pPr>
              <w:pStyle w:val="8"/>
              <w:adjustRightInd w:val="0"/>
              <w:snapToGrid w:val="0"/>
              <w:spacing w:line="360" w:lineRule="auto"/>
              <w:ind w:firstLine="480"/>
              <w:rPr>
                <w:rFonts w:hint="eastAsia" w:ascii="仿宋" w:hAnsi="仿宋" w:eastAsia="宋体"/>
                <w:highlight w:val="none"/>
                <w:lang w:eastAsia="zh-CN"/>
              </w:rPr>
            </w:pPr>
            <w:r>
              <w:rPr>
                <w:rFonts w:hint="eastAsia" w:ascii="仿宋" w:hAnsi="仿宋" w:eastAsia="宋体"/>
                <w:highlight w:val="none"/>
                <w:lang w:eastAsia="zh-CN"/>
              </w:rPr>
              <w:t>2、营业执照（复印件加盖公章）</w:t>
            </w:r>
          </w:p>
          <w:p>
            <w:pPr>
              <w:adjustRightInd w:val="0"/>
              <w:snapToGrid w:val="0"/>
              <w:spacing w:line="360" w:lineRule="auto"/>
              <w:ind w:firstLine="480" w:firstLineChars="200"/>
              <w:rPr>
                <w:rFonts w:ascii="仿宋" w:hAnsi="仿宋"/>
                <w:sz w:val="24"/>
                <w:highlight w:val="none"/>
              </w:rPr>
            </w:pPr>
            <w:r>
              <w:rPr>
                <w:rFonts w:hint="eastAsia" w:ascii="仿宋" w:hAnsi="仿宋"/>
                <w:sz w:val="24"/>
                <w:highlight w:val="none"/>
              </w:rPr>
              <w:t>3、法定代表人证明书及法定代表人授权委托书（原件，需签名加盖公章），法定代表人及法定代表人授权委托人身份证复印件（加盖公章）</w:t>
            </w:r>
          </w:p>
          <w:p>
            <w:pPr>
              <w:adjustRightInd w:val="0"/>
              <w:snapToGrid w:val="0"/>
              <w:spacing w:line="360" w:lineRule="auto"/>
              <w:ind w:firstLine="480" w:firstLineChars="200"/>
              <w:rPr>
                <w:rFonts w:hint="eastAsia" w:ascii="仿宋" w:hAnsi="仿宋"/>
                <w:bCs/>
                <w:sz w:val="24"/>
                <w:highlight w:val="none"/>
              </w:rPr>
            </w:pPr>
            <w:r>
              <w:rPr>
                <w:rFonts w:hint="eastAsia" w:ascii="仿宋" w:hAnsi="仿宋"/>
                <w:bCs/>
                <w:sz w:val="24"/>
                <w:highlight w:val="none"/>
              </w:rPr>
              <w:t>4、深圳市气象局公示的证明材料</w:t>
            </w:r>
            <w:r>
              <w:rPr>
                <w:rFonts w:hint="eastAsia" w:ascii="仿宋" w:hAnsi="仿宋"/>
                <w:bCs/>
                <w:sz w:val="24"/>
                <w:highlight w:val="none"/>
                <w:lang w:val="en-US" w:eastAsia="zh-CN"/>
              </w:rPr>
              <w:t>及雷电防护装置检测</w:t>
            </w:r>
            <w:r>
              <w:rPr>
                <w:rFonts w:hint="eastAsia" w:ascii="仿宋" w:hAnsi="仿宋"/>
                <w:bCs/>
                <w:sz w:val="24"/>
                <w:highlight w:val="none"/>
              </w:rPr>
              <w:t>甲级资质证书</w:t>
            </w:r>
          </w:p>
          <w:p>
            <w:pPr>
              <w:adjustRightInd w:val="0"/>
              <w:snapToGrid w:val="0"/>
              <w:spacing w:line="360" w:lineRule="auto"/>
              <w:ind w:firstLine="480" w:firstLineChars="200"/>
              <w:rPr>
                <w:rFonts w:hint="eastAsia" w:ascii="仿宋" w:hAnsi="仿宋"/>
                <w:bCs/>
                <w:sz w:val="24"/>
                <w:highlight w:val="none"/>
              </w:rPr>
            </w:pPr>
            <w:r>
              <w:rPr>
                <w:rFonts w:hint="eastAsia" w:ascii="仿宋" w:hAnsi="仿宋"/>
                <w:bCs/>
                <w:sz w:val="24"/>
                <w:highlight w:val="none"/>
              </w:rPr>
              <w:t>5、项目负责人在本单位近3个月的社保缴纳证明（复印件加盖公章）。</w:t>
            </w:r>
          </w:p>
          <w:p>
            <w:pPr>
              <w:pStyle w:val="8"/>
              <w:adjustRightInd w:val="0"/>
              <w:snapToGrid w:val="0"/>
              <w:spacing w:line="360" w:lineRule="auto"/>
              <w:ind w:firstLine="0" w:firstLineChars="0"/>
              <w:rPr>
                <w:rFonts w:hint="eastAsia" w:ascii="仿宋" w:hAnsi="仿宋" w:eastAsia="宋体"/>
                <w:b/>
                <w:highlight w:val="none"/>
                <w:lang w:eastAsia="zh-CN"/>
              </w:rPr>
            </w:pPr>
            <w:r>
              <w:rPr>
                <w:rFonts w:hint="eastAsia" w:ascii="仿宋" w:hAnsi="仿宋" w:eastAsia="宋体"/>
                <w:b/>
                <w:highlight w:val="none"/>
                <w:lang w:eastAsia="zh-CN"/>
              </w:rPr>
              <w:t>其他说明：</w:t>
            </w:r>
          </w:p>
          <w:p>
            <w:pPr>
              <w:pStyle w:val="8"/>
              <w:adjustRightInd w:val="0"/>
              <w:snapToGrid w:val="0"/>
              <w:spacing w:line="360" w:lineRule="auto"/>
              <w:ind w:firstLine="480"/>
              <w:rPr>
                <w:rFonts w:ascii="仿宋" w:hAnsi="仿宋" w:eastAsia="宋体"/>
                <w:bCs/>
                <w:highlight w:val="none"/>
                <w:lang w:eastAsia="zh-CN"/>
              </w:rPr>
            </w:pPr>
            <w:r>
              <w:rPr>
                <w:rFonts w:hint="eastAsia" w:ascii="仿宋" w:hAnsi="仿宋" w:eastAsia="宋体"/>
                <w:bCs/>
                <w:highlight w:val="none"/>
                <w:lang w:eastAsia="zh-CN"/>
              </w:rPr>
              <w:t>1、本次招标不需编制技术标。</w:t>
            </w:r>
          </w:p>
          <w:p>
            <w:pPr>
              <w:pStyle w:val="8"/>
              <w:adjustRightInd w:val="0"/>
              <w:snapToGrid w:val="0"/>
              <w:spacing w:line="360" w:lineRule="auto"/>
              <w:ind w:firstLine="480"/>
              <w:rPr>
                <w:rFonts w:hint="eastAsia" w:ascii="仿宋" w:hAnsi="仿宋" w:eastAsia="宋体" w:cs="Times New Roman"/>
                <w:bCs/>
                <w:highlight w:val="none"/>
                <w:lang w:eastAsia="zh-CN"/>
              </w:rPr>
            </w:pPr>
            <w:r>
              <w:rPr>
                <w:rFonts w:ascii="仿宋" w:hAnsi="仿宋" w:eastAsia="宋体"/>
                <w:bCs/>
                <w:highlight w:val="none"/>
                <w:lang w:eastAsia="zh-CN"/>
              </w:rPr>
              <w:t>2</w:t>
            </w:r>
            <w:r>
              <w:rPr>
                <w:rFonts w:hint="eastAsia" w:ascii="仿宋" w:hAnsi="仿宋" w:eastAsia="宋体"/>
                <w:bCs/>
                <w:highlight w:val="none"/>
                <w:lang w:eastAsia="zh-CN"/>
              </w:rPr>
              <w:t>、</w:t>
            </w:r>
            <w:r>
              <w:rPr>
                <w:rFonts w:hint="eastAsia" w:ascii="仿宋" w:hAnsi="仿宋" w:eastAsia="宋体" w:cs="Times New Roman"/>
                <w:bCs/>
                <w:highlight w:val="none"/>
                <w:lang w:eastAsia="zh-CN"/>
              </w:rPr>
              <w:t>投标人需于公告指定的时间前至指定地点现场提交投标文件，并提交法人证明和法人授权委托书，否则投标文件不予受理。</w:t>
            </w:r>
          </w:p>
          <w:p>
            <w:pPr>
              <w:pStyle w:val="8"/>
              <w:adjustRightInd w:val="0"/>
              <w:snapToGrid w:val="0"/>
              <w:spacing w:line="360" w:lineRule="auto"/>
              <w:ind w:firstLine="480"/>
              <w:rPr>
                <w:rFonts w:hint="eastAsia" w:ascii="仿宋" w:hAnsi="仿宋" w:eastAsia="宋体" w:cs="Times New Roman"/>
                <w:bCs/>
                <w:highlight w:val="none"/>
                <w:lang w:val="en-US" w:eastAsia="zh-CN"/>
              </w:rPr>
            </w:pPr>
            <w:r>
              <w:rPr>
                <w:rFonts w:hint="eastAsia" w:ascii="仿宋" w:hAnsi="仿宋" w:eastAsia="宋体" w:cs="Times New Roman"/>
                <w:bCs/>
                <w:highlight w:val="none"/>
                <w:lang w:val="en-US" w:eastAsia="zh-CN"/>
              </w:rPr>
              <w:t>3、本次标书一式两份，采用A4双面打印，装订成册，并使用文件袋，在封口粘贴处加盖密封企业公章。</w:t>
            </w:r>
          </w:p>
          <w:p>
            <w:pPr>
              <w:pStyle w:val="8"/>
              <w:adjustRightInd w:val="0"/>
              <w:snapToGrid w:val="0"/>
              <w:spacing w:line="360" w:lineRule="auto"/>
              <w:ind w:firstLine="480"/>
              <w:rPr>
                <w:rFonts w:hint="eastAsia" w:ascii="仿宋" w:hAnsi="仿宋" w:eastAsia="宋体" w:cs="Times New Roman"/>
                <w:bCs/>
                <w:highlight w:val="none"/>
                <w:lang w:eastAsia="zh-CN"/>
              </w:rPr>
            </w:pPr>
            <w:r>
              <w:rPr>
                <w:rFonts w:hint="eastAsia" w:ascii="仿宋" w:hAnsi="仿宋" w:eastAsia="宋体" w:cs="Times New Roman"/>
                <w:bCs/>
                <w:highlight w:val="none"/>
                <w:lang w:val="en-US" w:eastAsia="zh-CN"/>
              </w:rPr>
              <w:t>4</w:t>
            </w:r>
            <w:r>
              <w:rPr>
                <w:rFonts w:hint="eastAsia" w:ascii="仿宋" w:hAnsi="仿宋" w:eastAsia="宋体" w:cs="Times New Roman"/>
                <w:bCs/>
                <w:highlight w:val="none"/>
                <w:lang w:eastAsia="zh-CN"/>
              </w:rPr>
              <w:t>、投标人未按要求提交投标报价书视为废标。</w:t>
            </w:r>
          </w:p>
          <w:p>
            <w:pPr>
              <w:pStyle w:val="8"/>
              <w:adjustRightInd w:val="0"/>
              <w:snapToGrid w:val="0"/>
              <w:spacing w:line="360" w:lineRule="auto"/>
              <w:ind w:firstLine="480"/>
              <w:rPr>
                <w:rFonts w:hint="eastAsia" w:ascii="仿宋" w:hAnsi="仿宋" w:eastAsia="宋体" w:cs="Times New Roman"/>
                <w:bCs/>
                <w:highlight w:val="none"/>
                <w:lang w:eastAsia="zh-CN"/>
              </w:rPr>
            </w:pPr>
            <w:r>
              <w:rPr>
                <w:rFonts w:hint="eastAsia" w:ascii="仿宋" w:hAnsi="仿宋" w:eastAsia="宋体" w:cs="Times New Roman"/>
                <w:bCs/>
                <w:highlight w:val="none"/>
                <w:lang w:val="en-US" w:eastAsia="zh-CN"/>
              </w:rPr>
              <w:t>5</w:t>
            </w:r>
            <w:r>
              <w:rPr>
                <w:rFonts w:hint="eastAsia" w:ascii="仿宋" w:hAnsi="仿宋" w:eastAsia="宋体" w:cs="Times New Roman"/>
                <w:bCs/>
                <w:highlight w:val="none"/>
                <w:lang w:eastAsia="zh-CN"/>
              </w:rPr>
              <w:t>、</w:t>
            </w:r>
            <w:r>
              <w:rPr>
                <w:rFonts w:hint="eastAsia" w:ascii="仿宋" w:hAnsi="仿宋" w:eastAsia="宋体" w:cs="Times New Roman"/>
                <w:bCs/>
                <w:highlight w:val="none"/>
                <w:lang w:eastAsia="zh-Hans"/>
              </w:rPr>
              <w:t>不满足资质要求，投标文件不予受理。</w:t>
            </w:r>
          </w:p>
          <w:p>
            <w:pPr>
              <w:pStyle w:val="8"/>
              <w:adjustRightInd w:val="0"/>
              <w:snapToGrid w:val="0"/>
              <w:spacing w:line="360" w:lineRule="auto"/>
              <w:ind w:firstLine="480"/>
              <w:rPr>
                <w:rFonts w:hint="eastAsia" w:ascii="仿宋" w:hAnsi="仿宋" w:eastAsia="宋体"/>
                <w:bCs/>
                <w:highlight w:val="none"/>
                <w:lang w:eastAsia="zh-CN"/>
              </w:rPr>
            </w:pPr>
          </w:p>
        </w:tc>
      </w:tr>
    </w:tbl>
    <w:p>
      <w:pPr>
        <w:rPr>
          <w:rFonts w:ascii="仿宋" w:hAnsi="仿宋"/>
          <w:sz w:val="28"/>
          <w:szCs w:val="28"/>
          <w:highlight w:val="none"/>
        </w:rPr>
      </w:pPr>
      <w:r>
        <w:rPr>
          <w:rFonts w:hint="eastAsia" w:ascii="仿宋" w:hAnsi="仿宋"/>
          <w:sz w:val="28"/>
          <w:szCs w:val="28"/>
          <w:highlight w:val="none"/>
        </w:rPr>
        <w:t>投标人法定代表签名：              投标单位（署名并盖章）：</w:t>
      </w:r>
    </w:p>
    <w:p>
      <w:pPr>
        <w:rPr>
          <w:rFonts w:hint="eastAsia" w:ascii="仿宋" w:hAnsi="仿宋"/>
          <w:sz w:val="28"/>
          <w:szCs w:val="28"/>
          <w:highlight w:val="none"/>
        </w:rPr>
      </w:pPr>
    </w:p>
    <w:p>
      <w:pPr>
        <w:ind w:firstLine="4760" w:firstLineChars="1700"/>
        <w:rPr>
          <w:rFonts w:ascii="仿宋" w:hAnsi="仿宋"/>
          <w:sz w:val="28"/>
          <w:szCs w:val="28"/>
          <w:highlight w:val="none"/>
        </w:rPr>
      </w:pPr>
      <w:r>
        <w:rPr>
          <w:rFonts w:hint="eastAsia" w:ascii="仿宋" w:hAnsi="仿宋"/>
          <w:sz w:val="28"/>
          <w:szCs w:val="28"/>
          <w:highlight w:val="none"/>
        </w:rPr>
        <w:t>日期：</w:t>
      </w:r>
      <w:bookmarkStart w:id="3" w:name="Bookmark39"/>
      <w:bookmarkEnd w:id="3"/>
      <w:bookmarkStart w:id="4" w:name="Bookmark35"/>
      <w:bookmarkEnd w:id="4"/>
      <w:bookmarkStart w:id="5" w:name="Bookmark34"/>
      <w:bookmarkEnd w:id="5"/>
      <w:bookmarkStart w:id="6" w:name="Bookmark40"/>
      <w:bookmarkEnd w:id="6"/>
      <w:bookmarkStart w:id="7" w:name="Bookmark38"/>
      <w:bookmarkEnd w:id="7"/>
      <w:bookmarkStart w:id="8" w:name="Bookmark44"/>
      <w:bookmarkEnd w:id="8"/>
      <w:bookmarkStart w:id="9" w:name="Bookmark37"/>
      <w:bookmarkEnd w:id="9"/>
      <w:bookmarkStart w:id="10" w:name="Bookmark36"/>
      <w:bookmarkEnd w:id="10"/>
    </w:p>
    <w:p>
      <w:pPr>
        <w:pStyle w:val="2"/>
        <w:rPr>
          <w:highlight w:val="none"/>
        </w:rPr>
      </w:pPr>
    </w:p>
    <w:p>
      <w:pPr>
        <w:pStyle w:val="2"/>
        <w:rPr>
          <w:highlight w:val="none"/>
        </w:rPr>
      </w:pPr>
    </w:p>
    <w:p>
      <w:pPr>
        <w:pStyle w:val="2"/>
        <w:rPr>
          <w:rFonts w:hint="eastAsia"/>
          <w:highlight w:val="none"/>
        </w:rPr>
      </w:pPr>
    </w:p>
    <w:p>
      <w:pPr>
        <w:pStyle w:val="2"/>
        <w:rPr>
          <w:rFonts w:hint="eastAsia"/>
          <w:highlight w:val="none"/>
          <w:lang w:val="en-US" w:eastAsia="zh-CN"/>
        </w:rPr>
      </w:pPr>
      <w:r>
        <w:rPr>
          <w:rFonts w:hint="eastAsia"/>
          <w:highlight w:val="none"/>
        </w:rPr>
        <w:br w:type="page"/>
      </w:r>
      <w:r>
        <w:rPr>
          <w:rFonts w:hint="eastAsia"/>
          <w:highlight w:val="none"/>
        </w:rPr>
        <w:t>附件</w:t>
      </w:r>
      <w:r>
        <w:rPr>
          <w:rFonts w:hint="eastAsia"/>
          <w:highlight w:val="none"/>
          <w:lang w:val="en-US" w:eastAsia="zh-CN"/>
        </w:rPr>
        <w:t>2</w:t>
      </w:r>
      <w:r>
        <w:rPr>
          <w:rFonts w:hint="eastAsia"/>
          <w:highlight w:val="none"/>
        </w:rPr>
        <w:t>：</w:t>
      </w:r>
      <w:r>
        <w:rPr>
          <w:rFonts w:hint="eastAsia"/>
          <w:highlight w:val="none"/>
          <w:lang w:val="en-US" w:eastAsia="zh-CN"/>
        </w:rPr>
        <w:t>防雷检测</w:t>
      </w:r>
      <w:r>
        <w:rPr>
          <w:rFonts w:hint="eastAsia"/>
          <w:highlight w:val="none"/>
        </w:rPr>
        <w:t>合同</w:t>
      </w:r>
      <w:r>
        <w:rPr>
          <w:rFonts w:hint="eastAsia"/>
          <w:highlight w:val="none"/>
          <w:lang w:val="en-US" w:eastAsia="zh-CN"/>
        </w:rPr>
        <w:t>格式</w:t>
      </w:r>
    </w:p>
    <w:p>
      <w:pPr>
        <w:pStyle w:val="4"/>
        <w:rPr>
          <w:rFonts w:hint="eastAsia"/>
          <w:highlight w:val="none"/>
          <w:lang w:val="en-US" w:eastAsia="zh-CN"/>
        </w:rPr>
      </w:pPr>
    </w:p>
    <w:p>
      <w:pPr>
        <w:spacing w:line="360" w:lineRule="auto"/>
        <w:ind w:right="1739" w:firstLine="560"/>
        <w:jc w:val="right"/>
        <w:rPr>
          <w:rFonts w:ascii="仿宋_GB2312" w:eastAsia="仿宋_GB2312"/>
          <w:sz w:val="32"/>
          <w:highlight w:val="none"/>
        </w:rPr>
      </w:pPr>
      <w:r>
        <w:rPr>
          <w:rFonts w:hint="eastAsia" w:ascii="仿宋_GB2312" w:eastAsia="仿宋_GB2312"/>
          <w:sz w:val="32"/>
          <w:highlight w:val="none"/>
        </w:rPr>
        <w:t>合同编号：</w:t>
      </w:r>
    </w:p>
    <w:p>
      <w:pPr>
        <w:spacing w:line="360" w:lineRule="auto"/>
        <w:ind w:right="139" w:firstLine="560"/>
        <w:jc w:val="right"/>
        <w:rPr>
          <w:rFonts w:ascii="宋体" w:hAnsi="宋体"/>
          <w:sz w:val="28"/>
          <w:szCs w:val="28"/>
          <w:highlight w:val="none"/>
        </w:rPr>
      </w:pPr>
      <w:r>
        <w:rPr>
          <w:highlight w:val="none"/>
        </w:rPr>
        <w:drawing>
          <wp:anchor distT="0" distB="0" distL="114300" distR="114300" simplePos="0" relativeHeight="251659264" behindDoc="0" locked="0" layoutInCell="1" allowOverlap="1">
            <wp:simplePos x="0" y="0"/>
            <wp:positionH relativeFrom="column">
              <wp:posOffset>-10795</wp:posOffset>
            </wp:positionH>
            <wp:positionV relativeFrom="paragraph">
              <wp:posOffset>-143510</wp:posOffset>
            </wp:positionV>
            <wp:extent cx="1068070" cy="1278255"/>
            <wp:effectExtent l="0" t="0" r="17780" b="17145"/>
            <wp:wrapNone/>
            <wp:docPr id="1" name="图片 1" descr="说明: 工务署VI-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工务署VI-标志"/>
                    <pic:cNvPicPr>
                      <a:picLocks noChangeAspect="1"/>
                    </pic:cNvPicPr>
                  </pic:nvPicPr>
                  <pic:blipFill>
                    <a:blip r:embed="rId6"/>
                    <a:stretch>
                      <a:fillRect/>
                    </a:stretch>
                  </pic:blipFill>
                  <pic:spPr>
                    <a:xfrm>
                      <a:off x="0" y="0"/>
                      <a:ext cx="1068070" cy="1278255"/>
                    </a:xfrm>
                    <a:prstGeom prst="rect">
                      <a:avLst/>
                    </a:prstGeom>
                    <a:noFill/>
                    <a:ln>
                      <a:noFill/>
                    </a:ln>
                  </pic:spPr>
                </pic:pic>
              </a:graphicData>
            </a:graphic>
          </wp:anchor>
        </w:drawing>
      </w:r>
    </w:p>
    <w:p>
      <w:pPr>
        <w:spacing w:line="560" w:lineRule="exact"/>
        <w:ind w:firstLine="560"/>
        <w:jc w:val="center"/>
        <w:rPr>
          <w:rFonts w:ascii="宋体" w:hAnsi="宋体"/>
          <w:sz w:val="28"/>
          <w:szCs w:val="28"/>
          <w:highlight w:val="none"/>
        </w:rPr>
      </w:pPr>
      <w:r>
        <w:rPr>
          <w:rFonts w:hint="eastAsia" w:ascii="宋体" w:hAnsi="宋体"/>
          <w:sz w:val="28"/>
          <w:szCs w:val="28"/>
          <w:highlight w:val="none"/>
        </w:rPr>
        <w:t xml:space="preserve">  </w:t>
      </w:r>
    </w:p>
    <w:p>
      <w:pPr>
        <w:pStyle w:val="9"/>
        <w:ind w:left="0" w:leftChars="0" w:firstLine="0" w:firstLineChars="0"/>
        <w:rPr>
          <w:rFonts w:ascii="宋体" w:hAnsi="宋体"/>
          <w:b/>
          <w:spacing w:val="40"/>
          <w:sz w:val="52"/>
          <w:szCs w:val="52"/>
          <w:highlight w:val="none"/>
        </w:rPr>
      </w:pPr>
    </w:p>
    <w:p>
      <w:pPr>
        <w:adjustRightInd w:val="0"/>
        <w:snapToGrid w:val="0"/>
        <w:spacing w:after="100" w:line="560" w:lineRule="exact"/>
        <w:ind w:firstLine="1204"/>
        <w:jc w:val="center"/>
        <w:rPr>
          <w:rFonts w:ascii="宋体" w:hAnsi="宋体"/>
          <w:b/>
          <w:spacing w:val="40"/>
          <w:sz w:val="52"/>
          <w:szCs w:val="52"/>
          <w:highlight w:val="none"/>
        </w:rPr>
      </w:pPr>
    </w:p>
    <w:p>
      <w:pPr>
        <w:adjustRightInd w:val="0"/>
        <w:snapToGrid w:val="0"/>
        <w:spacing w:after="100" w:line="560" w:lineRule="exact"/>
        <w:ind w:firstLine="722"/>
        <w:jc w:val="center"/>
        <w:rPr>
          <w:rFonts w:ascii="宋体" w:hAnsi="宋体"/>
          <w:b/>
          <w:spacing w:val="40"/>
          <w:sz w:val="28"/>
          <w:szCs w:val="28"/>
          <w:highlight w:val="none"/>
        </w:rPr>
      </w:pPr>
    </w:p>
    <w:p>
      <w:pPr>
        <w:adjustRightInd w:val="0"/>
        <w:snapToGrid w:val="0"/>
        <w:spacing w:after="100" w:line="360" w:lineRule="auto"/>
        <w:jc w:val="center"/>
        <w:rPr>
          <w:rFonts w:ascii="宋体" w:hAnsi="宋体"/>
          <w:b/>
          <w:sz w:val="44"/>
          <w:szCs w:val="44"/>
          <w:highlight w:val="none"/>
        </w:rPr>
      </w:pPr>
      <w:r>
        <w:rPr>
          <w:rFonts w:hint="eastAsia" w:ascii="宋体" w:hAnsi="宋体"/>
          <w:b/>
          <w:sz w:val="44"/>
          <w:szCs w:val="44"/>
          <w:highlight w:val="none"/>
        </w:rPr>
        <w:t>深圳市建筑工务署工程管理中心</w:t>
      </w:r>
    </w:p>
    <w:p>
      <w:pPr>
        <w:adjustRightInd w:val="0"/>
        <w:snapToGrid w:val="0"/>
        <w:spacing w:after="100"/>
        <w:jc w:val="center"/>
        <w:rPr>
          <w:rFonts w:ascii="宋体" w:hAnsi="宋体"/>
          <w:b/>
          <w:sz w:val="32"/>
          <w:szCs w:val="44"/>
          <w:highlight w:val="none"/>
        </w:rPr>
      </w:pPr>
      <w:r>
        <w:rPr>
          <w:rFonts w:hint="eastAsia" w:ascii="宋体" w:hAnsi="宋体"/>
          <w:b/>
          <w:sz w:val="44"/>
          <w:szCs w:val="44"/>
          <w:highlight w:val="none"/>
        </w:rPr>
        <w:t>合同协议书</w:t>
      </w:r>
    </w:p>
    <w:p>
      <w:pPr>
        <w:adjustRightInd w:val="0"/>
        <w:snapToGrid w:val="0"/>
        <w:spacing w:after="100"/>
        <w:rPr>
          <w:rFonts w:ascii="宋体" w:hAnsi="宋体"/>
          <w:b/>
          <w:sz w:val="32"/>
          <w:szCs w:val="32"/>
          <w:highlight w:val="none"/>
        </w:rPr>
      </w:pPr>
      <w:r>
        <w:rPr>
          <w:rFonts w:hint="eastAsia" w:ascii="宋体" w:hAnsi="宋体"/>
          <w:b/>
          <w:sz w:val="32"/>
          <w:szCs w:val="32"/>
          <w:highlight w:val="none"/>
        </w:rPr>
        <w:t xml:space="preserve">   </w:t>
      </w:r>
    </w:p>
    <w:p>
      <w:pPr>
        <w:spacing w:line="560" w:lineRule="exact"/>
        <w:ind w:firstLine="560"/>
        <w:rPr>
          <w:rFonts w:ascii="宋体" w:hAnsi="宋体"/>
          <w:sz w:val="28"/>
          <w:szCs w:val="28"/>
          <w:highlight w:val="none"/>
        </w:rPr>
      </w:pPr>
    </w:p>
    <w:p>
      <w:pPr>
        <w:pStyle w:val="9"/>
        <w:rPr>
          <w:highlight w:val="none"/>
        </w:rPr>
      </w:pPr>
    </w:p>
    <w:p>
      <w:pPr>
        <w:spacing w:line="560" w:lineRule="exact"/>
        <w:rPr>
          <w:rFonts w:ascii="宋体" w:hAnsi="宋体"/>
          <w:sz w:val="28"/>
          <w:szCs w:val="28"/>
          <w:highlight w:val="none"/>
        </w:rPr>
      </w:pPr>
    </w:p>
    <w:p>
      <w:pPr>
        <w:spacing w:line="360" w:lineRule="auto"/>
        <w:ind w:left="2558" w:leftChars="300" w:hanging="1928" w:hangingChars="600"/>
        <w:rPr>
          <w:rFonts w:ascii="宋体" w:hAnsi="宋体"/>
          <w:b/>
          <w:sz w:val="32"/>
          <w:szCs w:val="32"/>
          <w:highlight w:val="none"/>
          <w:u w:val="single"/>
        </w:rPr>
      </w:pPr>
      <w:r>
        <w:rPr>
          <w:rFonts w:hint="eastAsia" w:ascii="宋体" w:hAnsi="宋体"/>
          <w:b/>
          <w:sz w:val="32"/>
          <w:szCs w:val="32"/>
          <w:highlight w:val="none"/>
        </w:rPr>
        <w:t>项目名称：</w:t>
      </w:r>
      <w:r>
        <w:rPr>
          <w:rFonts w:hint="eastAsia" w:ascii="宋体" w:hAnsi="宋体"/>
          <w:b/>
          <w:sz w:val="32"/>
          <w:szCs w:val="32"/>
          <w:highlight w:val="none"/>
          <w:u w:val="single"/>
          <w:lang w:eastAsia="zh-CN"/>
        </w:rPr>
        <w:t>深圳歌剧院</w:t>
      </w:r>
      <w:r>
        <w:rPr>
          <w:rFonts w:hint="eastAsia" w:ascii="宋体" w:hAnsi="宋体"/>
          <w:b/>
          <w:sz w:val="32"/>
          <w:szCs w:val="32"/>
          <w:highlight w:val="none"/>
          <w:u w:val="single"/>
        </w:rPr>
        <w:t xml:space="preserve">    </w:t>
      </w:r>
    </w:p>
    <w:p>
      <w:pPr>
        <w:spacing w:line="360" w:lineRule="auto"/>
        <w:ind w:left="2106" w:leftChars="304" w:hanging="1468" w:hangingChars="457"/>
        <w:rPr>
          <w:rFonts w:ascii="宋体" w:hAnsi="宋体"/>
          <w:b/>
          <w:sz w:val="32"/>
          <w:szCs w:val="32"/>
          <w:highlight w:val="none"/>
          <w:u w:val="single"/>
        </w:rPr>
      </w:pPr>
      <w:r>
        <w:rPr>
          <w:rFonts w:hint="eastAsia" w:ascii="宋体" w:hAnsi="宋体"/>
          <w:b/>
          <w:sz w:val="32"/>
          <w:szCs w:val="32"/>
          <w:highlight w:val="none"/>
        </w:rPr>
        <w:t>合同名称：</w:t>
      </w:r>
      <w:r>
        <w:rPr>
          <w:rFonts w:hint="eastAsia" w:ascii="宋体" w:hAnsi="宋体"/>
          <w:b/>
          <w:sz w:val="32"/>
          <w:szCs w:val="32"/>
          <w:highlight w:val="none"/>
          <w:u w:val="single"/>
          <w:lang w:eastAsia="zh-CN"/>
        </w:rPr>
        <w:t>深圳歌剧院项目</w:t>
      </w:r>
      <w:r>
        <w:rPr>
          <w:rFonts w:hint="eastAsia" w:ascii="宋体" w:hAnsi="宋体"/>
          <w:b/>
          <w:sz w:val="32"/>
          <w:szCs w:val="32"/>
          <w:highlight w:val="none"/>
          <w:u w:val="single"/>
          <w:lang w:val="en-US" w:eastAsia="zh-CN"/>
        </w:rPr>
        <w:t>防雷检测</w:t>
      </w:r>
      <w:r>
        <w:rPr>
          <w:rFonts w:hint="eastAsia" w:ascii="宋体" w:hAnsi="宋体"/>
          <w:b/>
          <w:sz w:val="32"/>
          <w:szCs w:val="32"/>
          <w:highlight w:val="none"/>
          <w:u w:val="single"/>
        </w:rPr>
        <w:t>合同</w:t>
      </w:r>
    </w:p>
    <w:p>
      <w:pPr>
        <w:spacing w:line="360" w:lineRule="auto"/>
        <w:ind w:right="-199" w:rightChars="-95"/>
        <w:rPr>
          <w:rFonts w:ascii="宋体" w:hAnsi="宋体"/>
          <w:b/>
          <w:sz w:val="32"/>
          <w:szCs w:val="32"/>
          <w:highlight w:val="none"/>
          <w:u w:val="single"/>
        </w:rPr>
      </w:pPr>
      <w:r>
        <w:rPr>
          <w:rFonts w:ascii="宋体" w:hAnsi="宋体"/>
          <w:b/>
          <w:sz w:val="32"/>
          <w:szCs w:val="32"/>
          <w:highlight w:val="none"/>
        </w:rPr>
        <w:t xml:space="preserve"> </w:t>
      </w:r>
      <w:r>
        <w:rPr>
          <w:rFonts w:hint="eastAsia" w:ascii="宋体" w:hAnsi="宋体"/>
          <w:b/>
          <w:sz w:val="32"/>
          <w:szCs w:val="32"/>
          <w:highlight w:val="none"/>
        </w:rPr>
        <w:t xml:space="preserve">   发 包 人：</w:t>
      </w:r>
      <w:r>
        <w:rPr>
          <w:rFonts w:hint="eastAsia" w:ascii="宋体" w:hAnsi="宋体"/>
          <w:b/>
          <w:sz w:val="32"/>
          <w:szCs w:val="32"/>
          <w:highlight w:val="none"/>
          <w:u w:val="single"/>
        </w:rPr>
        <w:t xml:space="preserve">深圳市建筑工务署工程管理中心      </w:t>
      </w:r>
    </w:p>
    <w:p>
      <w:pPr>
        <w:spacing w:line="360" w:lineRule="auto"/>
        <w:ind w:firstLine="643"/>
        <w:rPr>
          <w:rFonts w:ascii="宋体" w:hAnsi="宋体"/>
          <w:b/>
          <w:sz w:val="32"/>
          <w:szCs w:val="32"/>
          <w:highlight w:val="none"/>
        </w:rPr>
      </w:pPr>
      <w:r>
        <w:rPr>
          <w:rFonts w:hint="eastAsia" w:ascii="宋体" w:hAnsi="宋体"/>
          <w:b/>
          <w:sz w:val="32"/>
          <w:szCs w:val="32"/>
          <w:highlight w:val="none"/>
        </w:rPr>
        <w:t>承 包 人：</w:t>
      </w:r>
      <w:r>
        <w:rPr>
          <w:rFonts w:hint="eastAsia" w:ascii="宋体" w:hAnsi="宋体"/>
          <w:b/>
          <w:sz w:val="32"/>
          <w:szCs w:val="32"/>
          <w:highlight w:val="none"/>
          <w:u w:val="single"/>
        </w:rPr>
        <w:t xml:space="preserve"> </w:t>
      </w:r>
      <w:r>
        <w:rPr>
          <w:rFonts w:ascii="宋体" w:hAnsi="宋体"/>
          <w:b/>
          <w:sz w:val="32"/>
          <w:szCs w:val="32"/>
          <w:highlight w:val="none"/>
          <w:u w:val="single"/>
        </w:rPr>
        <w:t xml:space="preserve">      </w:t>
      </w:r>
      <w:r>
        <w:rPr>
          <w:rFonts w:hint="eastAsia" w:ascii="宋体" w:hAnsi="宋体"/>
          <w:b/>
          <w:sz w:val="32"/>
          <w:szCs w:val="32"/>
          <w:highlight w:val="none"/>
          <w:u w:val="single"/>
        </w:rPr>
        <w:t xml:space="preserve">                           </w:t>
      </w:r>
    </w:p>
    <w:p>
      <w:pPr>
        <w:widowControl/>
        <w:spacing w:before="156" w:beforeLines="50" w:line="360" w:lineRule="auto"/>
        <w:ind w:firstLine="643" w:firstLineChars="200"/>
        <w:jc w:val="left"/>
        <w:rPr>
          <w:rFonts w:ascii="宋体" w:hAnsi="宋体"/>
          <w:b/>
          <w:sz w:val="32"/>
          <w:szCs w:val="32"/>
          <w:highlight w:val="none"/>
        </w:rPr>
        <w:sectPr>
          <w:pgSz w:w="11906" w:h="16838"/>
          <w:pgMar w:top="1440" w:right="1800" w:bottom="1440" w:left="1800" w:header="851" w:footer="992" w:gutter="0"/>
          <w:pgNumType w:start="1"/>
          <w:cols w:space="720" w:num="1"/>
          <w:docGrid w:type="lines" w:linePitch="312" w:charSpace="0"/>
        </w:sectPr>
      </w:pPr>
      <w:r>
        <w:rPr>
          <w:rFonts w:hint="eastAsia" w:ascii="宋体" w:hAnsi="宋体"/>
          <w:b/>
          <w:sz w:val="32"/>
          <w:szCs w:val="32"/>
          <w:highlight w:val="none"/>
        </w:rPr>
        <w:t>日    期：</w:t>
      </w:r>
      <w:r>
        <w:rPr>
          <w:rFonts w:hint="eastAsia" w:ascii="宋体" w:hAnsi="宋体"/>
          <w:b/>
          <w:sz w:val="32"/>
          <w:szCs w:val="32"/>
          <w:highlight w:val="none"/>
          <w:u w:val="single"/>
        </w:rPr>
        <w:t xml:space="preserve"> 二0二</w:t>
      </w:r>
      <w:r>
        <w:rPr>
          <w:rFonts w:hint="eastAsia" w:ascii="宋体" w:hAnsi="宋体"/>
          <w:b/>
          <w:sz w:val="32"/>
          <w:szCs w:val="32"/>
          <w:highlight w:val="none"/>
          <w:u w:val="single"/>
          <w:lang w:val="en-US" w:eastAsia="zh-CN"/>
        </w:rPr>
        <w:t>四</w:t>
      </w:r>
      <w:r>
        <w:rPr>
          <w:rFonts w:hint="eastAsia" w:ascii="宋体" w:hAnsi="宋体"/>
          <w:b/>
          <w:sz w:val="32"/>
          <w:szCs w:val="32"/>
          <w:highlight w:val="none"/>
          <w:u w:val="single"/>
        </w:rPr>
        <w:t>年</w:t>
      </w:r>
      <w:r>
        <w:rPr>
          <w:rFonts w:hint="eastAsia" w:ascii="宋体" w:hAnsi="宋体"/>
          <w:b/>
          <w:sz w:val="32"/>
          <w:szCs w:val="32"/>
          <w:highlight w:val="none"/>
          <w:u w:val="single"/>
          <w:lang w:val="en-US" w:eastAsia="zh-CN"/>
        </w:rPr>
        <w:t>一</w:t>
      </w:r>
      <w:r>
        <w:rPr>
          <w:rFonts w:hint="eastAsia" w:ascii="宋体" w:hAnsi="宋体"/>
          <w:b/>
          <w:sz w:val="32"/>
          <w:szCs w:val="32"/>
          <w:highlight w:val="none"/>
          <w:u w:val="single"/>
        </w:rPr>
        <w:t xml:space="preserve">月                  </w:t>
      </w:r>
    </w:p>
    <w:p>
      <w:pPr>
        <w:adjustRightInd w:val="0"/>
        <w:snapToGrid w:val="0"/>
        <w:spacing w:line="360" w:lineRule="auto"/>
        <w:jc w:val="center"/>
        <w:rPr>
          <w:rFonts w:ascii="仿宋_GB2312" w:hAnsi="宋体" w:eastAsia="仿宋_GB2312"/>
          <w:b/>
          <w:sz w:val="32"/>
          <w:szCs w:val="32"/>
          <w:highlight w:val="none"/>
        </w:rPr>
      </w:pPr>
      <w:r>
        <w:rPr>
          <w:rFonts w:hint="eastAsia" w:ascii="仿宋_GB2312" w:hAnsi="宋体" w:eastAsia="仿宋_GB2312"/>
          <w:b/>
          <w:sz w:val="32"/>
          <w:szCs w:val="32"/>
          <w:highlight w:val="none"/>
          <w:lang w:val="en-US" w:eastAsia="zh-CN"/>
        </w:rPr>
        <w:t>深圳歌剧院</w:t>
      </w:r>
      <w:r>
        <w:rPr>
          <w:rFonts w:hint="eastAsia" w:ascii="仿宋_GB2312" w:hAnsi="宋体" w:eastAsia="仿宋_GB2312"/>
          <w:b/>
          <w:sz w:val="32"/>
          <w:szCs w:val="32"/>
          <w:highlight w:val="none"/>
        </w:rPr>
        <w:t>项目防雷检测合同</w:t>
      </w:r>
    </w:p>
    <w:p>
      <w:pPr>
        <w:spacing w:line="360" w:lineRule="auto"/>
        <w:ind w:firstLine="420" w:firstLineChars="200"/>
        <w:rPr>
          <w:rFonts w:ascii="宋体" w:hAnsi="宋体"/>
          <w:szCs w:val="21"/>
          <w:highlight w:val="none"/>
        </w:rPr>
      </w:pP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甲方：深圳市建筑工务署工程管理中心 </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乙方：</w:t>
      </w:r>
    </w:p>
    <w:p>
      <w:pPr>
        <w:pStyle w:val="2"/>
        <w:rPr>
          <w:rFonts w:hint="eastAsia" w:ascii="宋体" w:hAnsi="宋体" w:eastAsia="宋体" w:cs="宋体"/>
          <w:sz w:val="24"/>
          <w:szCs w:val="24"/>
          <w:highlight w:val="none"/>
        </w:rPr>
      </w:pP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"javascript:SLC(21651,0)"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中华人民共和国民</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法典》、《深圳经济特区</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"javascript:SLC(26936,0)"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建设工程质量管理条例</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》及其他法律法规，遵循平等、自愿、公平和诚实信用的原则，双方就检测事宜协商一致，签订本合同。</w:t>
      </w:r>
    </w:p>
    <w:p>
      <w:pPr>
        <w:adjustRightInd w:val="0"/>
        <w:snapToGrid w:val="0"/>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mallCaps/>
          <w:sz w:val="24"/>
          <w:szCs w:val="24"/>
          <w:highlight w:val="none"/>
        </w:rPr>
        <w:t>第一条</w:t>
      </w:r>
      <w:r>
        <w:rPr>
          <w:rFonts w:hint="eastAsia" w:ascii="宋体" w:hAnsi="宋体" w:eastAsia="宋体" w:cs="宋体"/>
          <w:b/>
          <w:sz w:val="24"/>
          <w:szCs w:val="24"/>
          <w:highlight w:val="none"/>
        </w:rPr>
        <w:t>　工程概况</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1、工程名称：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深圳歌剧院</w:t>
      </w:r>
      <w:r>
        <w:rPr>
          <w:rFonts w:hint="eastAsia" w:ascii="宋体" w:hAnsi="宋体" w:eastAsia="宋体" w:cs="宋体"/>
          <w:sz w:val="24"/>
          <w:szCs w:val="24"/>
          <w:highlight w:val="none"/>
          <w:u w:val="single"/>
        </w:rPr>
        <w:t xml:space="preserve">项目防雷检测  </w:t>
      </w:r>
      <w:r>
        <w:rPr>
          <w:rFonts w:hint="eastAsia" w:ascii="宋体" w:hAnsi="宋体" w:eastAsia="宋体" w:cs="宋体"/>
          <w:sz w:val="24"/>
          <w:szCs w:val="24"/>
          <w:highlight w:val="none"/>
          <w:u w:val="single"/>
        </w:rPr>
        <w:br w:type="textWrapping"/>
      </w:r>
      <w:r>
        <w:rPr>
          <w:rFonts w:hint="eastAsia" w:ascii="宋体" w:hAnsi="宋体" w:eastAsia="宋体" w:cs="宋体"/>
          <w:sz w:val="24"/>
          <w:szCs w:val="24"/>
          <w:highlight w:val="none"/>
        </w:rPr>
        <w:t>　　2、工程地点：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深圳市南山区蛇口东角头片区，后海大道与望海路交汇处东南侧</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3、建筑面积：</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21.2</w:t>
      </w:r>
      <w:r>
        <w:rPr>
          <w:rFonts w:hint="eastAsia" w:ascii="宋体" w:hAnsi="宋体" w:eastAsia="宋体" w:cs="宋体"/>
          <w:sz w:val="24"/>
          <w:szCs w:val="24"/>
          <w:highlight w:val="none"/>
          <w:u w:val="single"/>
        </w:rPr>
        <w:t xml:space="preserve">万平方米    </w:t>
      </w:r>
    </w:p>
    <w:p>
      <w:pPr>
        <w:adjustRightInd w:val="0"/>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第二条　检测内容</w:t>
      </w:r>
    </w:p>
    <w:p>
      <w:pPr>
        <w:pStyle w:val="8"/>
        <w:spacing w:line="360" w:lineRule="auto"/>
        <w:ind w:firstLine="480"/>
        <w:rPr>
          <w:rFonts w:hint="eastAsia" w:ascii="宋体" w:hAnsi="宋体" w:eastAsia="宋体" w:cs="宋体"/>
          <w:bCs/>
          <w:sz w:val="24"/>
          <w:szCs w:val="24"/>
          <w:highlight w:val="none"/>
          <w:lang w:eastAsia="zh-CN"/>
        </w:rPr>
      </w:pPr>
      <w:r>
        <w:rPr>
          <w:rFonts w:hint="eastAsia" w:ascii="宋体" w:hAnsi="宋体" w:eastAsia="宋体" w:cs="宋体"/>
          <w:sz w:val="24"/>
          <w:szCs w:val="24"/>
          <w:highlight w:val="none"/>
          <w:lang w:val="en-US" w:eastAsia="zh-CN"/>
        </w:rPr>
        <w:t>深圳歌剧院</w:t>
      </w:r>
      <w:r>
        <w:rPr>
          <w:rFonts w:hint="eastAsia" w:ascii="宋体" w:hAnsi="宋体" w:eastAsia="宋体" w:cs="宋体"/>
          <w:sz w:val="24"/>
          <w:szCs w:val="24"/>
          <w:highlight w:val="none"/>
          <w:lang w:eastAsia="zh-CN"/>
        </w:rPr>
        <w:t>项目防雷装置检测工作，其检测内容包括但不限于：基础接地部分、中间层侧击雷防护部分、天面直击雷部分、整栋楼等电位处理部分、雷击电磁脉冲防护等。检测完毕提交质检部门认可的防雷装置检测报告。</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检测工作量：详见本项目《防雷装置检测方案》。</w:t>
      </w:r>
    </w:p>
    <w:p>
      <w:pPr>
        <w:adjustRightInd w:val="0"/>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第三条 检测依据</w:t>
      </w:r>
    </w:p>
    <w:p>
      <w:pPr>
        <w:adjustRightInd w:val="0"/>
        <w:snapToGrid w:val="0"/>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有关法律法规包括但不限于：《中华人民共和国气象法》、《防雷减灾管理办法（修订）》（中国气象局令第24号）、《广东省气象管理规定》、《广东省防御雷电灾害管理规定》、《建筑物防雷装置检测技术规范》GBT21431-2015、《建筑物防雷设计规范》GB50057-2010、《建筑物电子信息系统防雷技术规范》GB50343-2004等。如相关法律、规定、规范有更新，以最新颁布的为准。</w:t>
      </w:r>
    </w:p>
    <w:p>
      <w:pPr>
        <w:pStyle w:val="8"/>
        <w:spacing w:line="360" w:lineRule="auto"/>
        <w:ind w:firstLine="4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2、防雷检测方案、设计文件等。</w:t>
      </w:r>
    </w:p>
    <w:p>
      <w:pPr>
        <w:adjustRightInd w:val="0"/>
        <w:snapToGrid w:val="0"/>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mallCaps/>
          <w:sz w:val="24"/>
          <w:szCs w:val="24"/>
          <w:highlight w:val="none"/>
        </w:rPr>
        <w:t>第四条　检测成果</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1、乙方向甲方提交</w:t>
      </w:r>
      <w:r>
        <w:rPr>
          <w:rFonts w:hint="eastAsia" w:ascii="宋体" w:hAnsi="宋体" w:eastAsia="宋体" w:cs="宋体"/>
          <w:sz w:val="24"/>
          <w:szCs w:val="24"/>
          <w:highlight w:val="none"/>
          <w:u w:val="single"/>
        </w:rPr>
        <w:t xml:space="preserve">  8  </w:t>
      </w:r>
      <w:r>
        <w:rPr>
          <w:rFonts w:hint="eastAsia" w:ascii="宋体" w:hAnsi="宋体" w:eastAsia="宋体" w:cs="宋体"/>
          <w:sz w:val="24"/>
          <w:szCs w:val="24"/>
          <w:highlight w:val="none"/>
        </w:rPr>
        <w:t>份防雷装置检测报告。</w:t>
      </w:r>
    </w:p>
    <w:p>
      <w:pPr>
        <w:adjustRightInd w:val="0"/>
        <w:snapToGrid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第五条  工期</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1、合同签订起至完成合同约定的所有工作。</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2、工期暂定为 202</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 xml:space="preserve"> 年</w:t>
      </w:r>
      <w:r>
        <w:rPr>
          <w:rFonts w:hint="eastAsia" w:ascii="宋体" w:hAnsi="宋体" w:eastAsia="宋体" w:cs="宋体"/>
          <w:sz w:val="24"/>
          <w:szCs w:val="24"/>
          <w:highlight w:val="none"/>
          <w:lang w:val="en-US" w:eastAsia="zh-CN"/>
        </w:rPr>
        <w:t xml:space="preserve"> 10</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 xml:space="preserve"> 8</w:t>
      </w:r>
      <w:r>
        <w:rPr>
          <w:rFonts w:hint="eastAsia" w:ascii="宋体" w:hAnsi="宋体" w:eastAsia="宋体" w:cs="宋体"/>
          <w:sz w:val="24"/>
          <w:szCs w:val="24"/>
          <w:highlight w:val="none"/>
        </w:rPr>
        <w:t>日至202</w:t>
      </w:r>
      <w:r>
        <w:rPr>
          <w:rFonts w:hint="eastAsia" w:ascii="宋体" w:hAnsi="宋体" w:eastAsia="宋体" w:cs="宋体"/>
          <w:sz w:val="24"/>
          <w:szCs w:val="24"/>
          <w:highlight w:val="none"/>
          <w:lang w:val="en-US" w:eastAsia="zh-CN"/>
        </w:rPr>
        <w:t xml:space="preserve">8 </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 xml:space="preserve"> 12 </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 xml:space="preserve"> 31 </w:t>
      </w:r>
      <w:r>
        <w:rPr>
          <w:rFonts w:hint="eastAsia" w:ascii="宋体" w:hAnsi="宋体" w:eastAsia="宋体" w:cs="宋体"/>
          <w:sz w:val="24"/>
          <w:szCs w:val="24"/>
          <w:highlight w:val="none"/>
        </w:rPr>
        <w:t>日。</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3、以上时间仅为预估工期，实际工期根据项目实际建设时间相应调整。</w:t>
      </w:r>
    </w:p>
    <w:p>
      <w:pPr>
        <w:adjustRightInd w:val="0"/>
        <w:spacing w:line="360" w:lineRule="auto"/>
        <w:ind w:firstLine="482" w:firstLineChars="200"/>
        <w:rPr>
          <w:rFonts w:hint="eastAsia" w:ascii="宋体" w:hAnsi="宋体" w:eastAsia="宋体" w:cs="宋体"/>
          <w:bCs/>
          <w:sz w:val="24"/>
          <w:szCs w:val="24"/>
          <w:highlight w:val="none"/>
        </w:rPr>
      </w:pPr>
      <w:r>
        <w:rPr>
          <w:rFonts w:hint="eastAsia" w:ascii="宋体" w:hAnsi="宋体" w:eastAsia="宋体" w:cs="宋体"/>
          <w:b/>
          <w:bCs/>
          <w:smallCaps/>
          <w:sz w:val="24"/>
          <w:szCs w:val="24"/>
          <w:highlight w:val="none"/>
        </w:rPr>
        <w:t>第六条</w:t>
      </w:r>
      <w:r>
        <w:rPr>
          <w:rFonts w:hint="eastAsia" w:ascii="宋体" w:hAnsi="宋体" w:eastAsia="宋体" w:cs="宋体"/>
          <w:sz w:val="24"/>
          <w:szCs w:val="24"/>
          <w:highlight w:val="none"/>
        </w:rPr>
        <w:t>　</w:t>
      </w:r>
      <w:r>
        <w:rPr>
          <w:rFonts w:hint="eastAsia" w:ascii="宋体" w:hAnsi="宋体" w:eastAsia="宋体" w:cs="宋体"/>
          <w:b/>
          <w:sz w:val="24"/>
          <w:szCs w:val="24"/>
          <w:highlight w:val="none"/>
        </w:rPr>
        <w:t>进度</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xml:space="preserve">　　 </w:t>
      </w:r>
      <w:r>
        <w:rPr>
          <w:rFonts w:hint="eastAsia" w:ascii="宋体" w:hAnsi="宋体" w:eastAsia="宋体" w:cs="宋体"/>
          <w:bCs/>
          <w:sz w:val="24"/>
          <w:szCs w:val="24"/>
          <w:highlight w:val="none"/>
        </w:rPr>
        <w:t>乙方应在接到甲方通知后 30 个日历天内，提交防雷装置检测方案，并取得监理单位书面确认；在完成所有检测工作后 10 个日历天内，提交防雷装置检测报告。</w:t>
      </w:r>
    </w:p>
    <w:p>
      <w:pPr>
        <w:adjustRightInd w:val="0"/>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mallCaps/>
          <w:sz w:val="24"/>
          <w:szCs w:val="24"/>
          <w:highlight w:val="none"/>
        </w:rPr>
        <w:t>第七条</w:t>
      </w:r>
      <w:r>
        <w:rPr>
          <w:rFonts w:hint="eastAsia" w:ascii="宋体" w:hAnsi="宋体" w:eastAsia="宋体" w:cs="宋体"/>
          <w:b/>
          <w:sz w:val="24"/>
          <w:szCs w:val="24"/>
          <w:highlight w:val="none"/>
        </w:rPr>
        <w:t>　合同价</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合同总价为人民币（大写）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元整（小写）￥</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元。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本合同价格为总价包干，该合同价为</w:t>
      </w:r>
      <w:r>
        <w:rPr>
          <w:rFonts w:hint="eastAsia" w:ascii="宋体" w:hAnsi="宋体" w:eastAsia="宋体" w:cs="宋体"/>
          <w:bCs/>
          <w:sz w:val="24"/>
          <w:szCs w:val="24"/>
          <w:highlight w:val="none"/>
        </w:rPr>
        <w:t>乙方</w:t>
      </w:r>
      <w:r>
        <w:rPr>
          <w:rFonts w:hint="eastAsia" w:ascii="宋体" w:hAnsi="宋体" w:eastAsia="宋体" w:cs="宋体"/>
          <w:sz w:val="24"/>
          <w:szCs w:val="24"/>
          <w:highlight w:val="none"/>
        </w:rPr>
        <w:t>完成本合同工作内容所需的全部费用，包含人工费、检验费用、检验材料费、工具机械使用费、技术资料提供费用、技术指导和工人培训费、检测措施费、管理费、配合费、利润、税金、出具检测报告等所有检测相关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由于下列情况造成工作量的变化，均不调整合同价款：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由于防雷装置检验不合格导致的复检。                        </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（2）由于主管部门要求，调整检测内容或频次，投标人按调整要求执行，不调整合同价款。</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（3）若由于防雷装置检测相关政策发生变化，甲方有权单方面解除合同。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工程结算报送</w:t>
      </w:r>
      <w:r>
        <w:rPr>
          <w:rFonts w:hint="eastAsia" w:ascii="宋体" w:hAnsi="宋体" w:eastAsia="宋体" w:cs="宋体"/>
          <w:sz w:val="24"/>
          <w:szCs w:val="24"/>
          <w:highlight w:val="none"/>
          <w:lang w:val="en-US" w:eastAsia="zh-CN"/>
        </w:rPr>
        <w:t>深圳市</w:t>
      </w:r>
      <w:r>
        <w:rPr>
          <w:rFonts w:hint="eastAsia" w:ascii="宋体" w:hAnsi="宋体" w:eastAsia="宋体" w:cs="宋体"/>
          <w:sz w:val="24"/>
          <w:szCs w:val="24"/>
          <w:highlight w:val="none"/>
        </w:rPr>
        <w:t>财政</w:t>
      </w:r>
      <w:r>
        <w:rPr>
          <w:rFonts w:hint="eastAsia" w:ascii="宋体" w:hAnsi="宋体" w:eastAsia="宋体" w:cs="宋体"/>
          <w:sz w:val="24"/>
          <w:szCs w:val="24"/>
          <w:highlight w:val="none"/>
          <w:lang w:val="en-US" w:eastAsia="zh-CN"/>
        </w:rPr>
        <w:t>预算和</w:t>
      </w:r>
      <w:r>
        <w:rPr>
          <w:rFonts w:hint="eastAsia" w:ascii="宋体" w:hAnsi="宋体" w:eastAsia="宋体" w:cs="宋体"/>
          <w:sz w:val="24"/>
          <w:szCs w:val="24"/>
          <w:highlight w:val="none"/>
        </w:rPr>
        <w:t>投资评审</w:t>
      </w:r>
      <w:r>
        <w:rPr>
          <w:rFonts w:hint="eastAsia" w:ascii="宋体" w:hAnsi="宋体" w:eastAsia="宋体" w:cs="宋体"/>
          <w:sz w:val="24"/>
          <w:szCs w:val="24"/>
          <w:highlight w:val="none"/>
          <w:lang w:val="en-US" w:eastAsia="zh-CN"/>
        </w:rPr>
        <w:t>中心</w:t>
      </w:r>
      <w:r>
        <w:rPr>
          <w:rFonts w:hint="eastAsia" w:ascii="宋体" w:hAnsi="宋体" w:eastAsia="宋体" w:cs="宋体"/>
          <w:sz w:val="24"/>
          <w:szCs w:val="24"/>
          <w:highlight w:val="none"/>
        </w:rPr>
        <w:t>，以评审结果作为工程结算的依据。若被各级审计机关再次就结算进行审计的，应以审计机关的审计结论作为结算依据。如审计机关审计结论认定工程结算多计工程款项的，乙方应在接到甲方书面通知后15日内无条件返还多支付的工程款。最终结算价服务类限额不得超过（含）100万元。</w:t>
      </w:r>
    </w:p>
    <w:p>
      <w:pPr>
        <w:adjustRightInd w:val="0"/>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第八条   支付进度</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bCs/>
          <w:sz w:val="24"/>
          <w:szCs w:val="24"/>
          <w:highlight w:val="none"/>
        </w:rPr>
        <w:t>1、付款进度</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（1）本项目不设预付款；</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（2）完成所有检测任务，提供检测报告（满足竣工验收的要求），招标人支付至合同金额的90%；</w:t>
      </w:r>
    </w:p>
    <w:p>
      <w:pPr>
        <w:spacing w:line="360" w:lineRule="auto"/>
        <w:ind w:firstLine="650" w:firstLineChars="271"/>
        <w:rPr>
          <w:rFonts w:hint="eastAsia" w:ascii="宋体" w:hAnsi="宋体" w:eastAsia="宋体" w:cs="宋体"/>
          <w:sz w:val="24"/>
          <w:szCs w:val="24"/>
          <w:highlight w:val="none"/>
        </w:rPr>
      </w:pPr>
      <w:r>
        <w:rPr>
          <w:rFonts w:hint="eastAsia" w:ascii="宋体" w:hAnsi="宋体" w:eastAsia="宋体" w:cs="宋体"/>
          <w:sz w:val="24"/>
          <w:szCs w:val="24"/>
          <w:highlight w:val="none"/>
        </w:rPr>
        <w:t>合同费用分基本检测费（占90%）和绩效检测费（占10%）两部分，绩效根据履约评价结果支付。结算价以</w:t>
      </w:r>
      <w:r>
        <w:rPr>
          <w:rFonts w:hint="eastAsia" w:ascii="宋体" w:hAnsi="宋体" w:eastAsia="宋体" w:cs="宋体"/>
          <w:color w:val="auto"/>
          <w:sz w:val="24"/>
          <w:szCs w:val="24"/>
          <w:highlight w:val="none"/>
        </w:rPr>
        <w:t>深圳市财政预算和投资评审中心的评审报告</w:t>
      </w:r>
      <w:r>
        <w:rPr>
          <w:rFonts w:hint="eastAsia" w:ascii="宋体" w:hAnsi="宋体" w:eastAsia="宋体" w:cs="宋体"/>
          <w:sz w:val="24"/>
          <w:szCs w:val="24"/>
          <w:highlight w:val="none"/>
        </w:rPr>
        <w:t>为准；</w:t>
      </w:r>
    </w:p>
    <w:p>
      <w:pPr>
        <w:spacing w:line="360" w:lineRule="auto"/>
        <w:ind w:firstLine="650" w:firstLineChars="271"/>
        <w:rPr>
          <w:rFonts w:hint="eastAsia" w:ascii="宋体" w:hAnsi="宋体" w:eastAsia="宋体" w:cs="宋体"/>
          <w:sz w:val="24"/>
          <w:szCs w:val="24"/>
          <w:highlight w:val="none"/>
        </w:rPr>
      </w:pPr>
      <w:r>
        <w:rPr>
          <w:rFonts w:hint="eastAsia" w:ascii="宋体" w:hAnsi="宋体" w:eastAsia="宋体" w:cs="宋体"/>
          <w:sz w:val="24"/>
          <w:szCs w:val="24"/>
          <w:highlight w:val="none"/>
        </w:rPr>
        <w:t>绩效检测费的计算：甲方按照《</w:t>
      </w:r>
      <w:r>
        <w:rPr>
          <w:rFonts w:hint="eastAsia" w:ascii="宋体" w:hAnsi="宋体" w:eastAsia="宋体" w:cs="宋体"/>
          <w:sz w:val="24"/>
          <w:szCs w:val="24"/>
          <w:highlight w:val="none"/>
          <w:lang w:val="en-US" w:eastAsia="zh-CN"/>
        </w:rPr>
        <w:t>深圳市</w:t>
      </w:r>
      <w:r>
        <w:rPr>
          <w:rFonts w:hint="eastAsia" w:ascii="宋体" w:hAnsi="宋体" w:eastAsia="宋体" w:cs="宋体"/>
          <w:sz w:val="24"/>
          <w:szCs w:val="24"/>
          <w:highlight w:val="none"/>
        </w:rPr>
        <w:t>建筑工务署</w:t>
      </w:r>
      <w:r>
        <w:rPr>
          <w:rFonts w:hint="eastAsia" w:ascii="宋体" w:hAnsi="宋体" w:eastAsia="宋体" w:cs="宋体"/>
          <w:sz w:val="24"/>
          <w:szCs w:val="24"/>
          <w:highlight w:val="none"/>
          <w:lang w:val="en-US" w:eastAsia="zh-CN"/>
        </w:rPr>
        <w:t>承包商</w:t>
      </w:r>
      <w:r>
        <w:rPr>
          <w:rFonts w:hint="eastAsia" w:ascii="宋体" w:hAnsi="宋体" w:eastAsia="宋体" w:cs="宋体"/>
          <w:sz w:val="24"/>
          <w:szCs w:val="24"/>
          <w:highlight w:val="none"/>
        </w:rPr>
        <w:t>履约评价管理办法》和《检测合同履约评价细则》对乙方履约情况进行评价，履约评价结果分优秀、良好、</w:t>
      </w:r>
      <w:r>
        <w:rPr>
          <w:rFonts w:hint="eastAsia" w:ascii="宋体" w:hAnsi="宋体" w:eastAsia="宋体" w:cs="宋体"/>
          <w:sz w:val="24"/>
          <w:szCs w:val="24"/>
          <w:highlight w:val="none"/>
          <w:lang w:val="en-US" w:eastAsia="zh-CN"/>
        </w:rPr>
        <w:t>中等、</w:t>
      </w:r>
      <w:r>
        <w:rPr>
          <w:rFonts w:hint="eastAsia" w:ascii="宋体" w:hAnsi="宋体" w:eastAsia="宋体" w:cs="宋体"/>
          <w:sz w:val="24"/>
          <w:szCs w:val="24"/>
          <w:highlight w:val="none"/>
        </w:rPr>
        <w:t>合格、不合格</w:t>
      </w:r>
      <w:r>
        <w:rPr>
          <w:rFonts w:hint="eastAsia" w:ascii="宋体" w:hAnsi="宋体" w:eastAsia="宋体" w:cs="宋体"/>
          <w:sz w:val="24"/>
          <w:szCs w:val="24"/>
          <w:highlight w:val="none"/>
          <w:lang w:val="en-US" w:eastAsia="zh-CN"/>
        </w:rPr>
        <w:t>5个等级</w:t>
      </w:r>
      <w:r>
        <w:rPr>
          <w:rFonts w:hint="eastAsia" w:ascii="宋体" w:hAnsi="宋体" w:eastAsia="宋体" w:cs="宋体"/>
          <w:sz w:val="24"/>
          <w:szCs w:val="24"/>
          <w:highlight w:val="none"/>
        </w:rPr>
        <w:t>，对应的绩效检测费支付比例分别为100%、100%、</w:t>
      </w:r>
      <w:r>
        <w:rPr>
          <w:rFonts w:hint="eastAsia" w:ascii="宋体" w:hAnsi="宋体" w:eastAsia="宋体" w:cs="宋体"/>
          <w:sz w:val="24"/>
          <w:szCs w:val="24"/>
          <w:highlight w:val="none"/>
          <w:lang w:val="en-US" w:eastAsia="zh-CN"/>
        </w:rPr>
        <w:t>70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50%、</w:t>
      </w:r>
      <w:r>
        <w:rPr>
          <w:rFonts w:hint="eastAsia" w:ascii="宋体" w:hAnsi="宋体" w:eastAsia="宋体" w:cs="宋体"/>
          <w:sz w:val="24"/>
          <w:szCs w:val="24"/>
          <w:highlight w:val="none"/>
        </w:rPr>
        <w:t>0%；</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（3）剩余款项待</w:t>
      </w:r>
      <w:r>
        <w:rPr>
          <w:rFonts w:hint="eastAsia" w:ascii="宋体" w:hAnsi="宋体" w:eastAsia="宋体" w:cs="宋体"/>
          <w:sz w:val="24"/>
          <w:szCs w:val="24"/>
          <w:highlight w:val="none"/>
          <w:lang w:val="en-US" w:eastAsia="zh-CN"/>
        </w:rPr>
        <w:t>深圳市</w:t>
      </w:r>
      <w:r>
        <w:rPr>
          <w:rFonts w:hint="eastAsia" w:ascii="宋体" w:hAnsi="宋体" w:eastAsia="宋体" w:cs="宋体"/>
          <w:sz w:val="24"/>
          <w:szCs w:val="24"/>
          <w:highlight w:val="none"/>
        </w:rPr>
        <w:t>财政</w:t>
      </w:r>
      <w:r>
        <w:rPr>
          <w:rFonts w:hint="eastAsia" w:ascii="宋体" w:hAnsi="宋体" w:eastAsia="宋体" w:cs="宋体"/>
          <w:sz w:val="24"/>
          <w:szCs w:val="24"/>
          <w:highlight w:val="none"/>
          <w:lang w:val="en-US" w:eastAsia="zh-CN"/>
        </w:rPr>
        <w:t>预算和</w:t>
      </w:r>
      <w:r>
        <w:rPr>
          <w:rFonts w:hint="eastAsia" w:ascii="宋体" w:hAnsi="宋体" w:eastAsia="宋体" w:cs="宋体"/>
          <w:sz w:val="24"/>
          <w:szCs w:val="24"/>
          <w:highlight w:val="none"/>
        </w:rPr>
        <w:t>投资评审</w:t>
      </w:r>
      <w:r>
        <w:rPr>
          <w:rFonts w:hint="eastAsia" w:ascii="宋体" w:hAnsi="宋体" w:eastAsia="宋体" w:cs="宋体"/>
          <w:sz w:val="24"/>
          <w:szCs w:val="24"/>
          <w:highlight w:val="none"/>
          <w:lang w:val="en-US" w:eastAsia="zh-CN"/>
        </w:rPr>
        <w:t>中心</w:t>
      </w:r>
      <w:r>
        <w:rPr>
          <w:rFonts w:hint="eastAsia" w:ascii="宋体" w:hAnsi="宋体" w:eastAsia="宋体" w:cs="宋体"/>
          <w:sz w:val="24"/>
          <w:szCs w:val="24"/>
          <w:highlight w:val="none"/>
        </w:rPr>
        <w:t>的评审结论后一次性付清。</w:t>
      </w:r>
    </w:p>
    <w:p>
      <w:pPr>
        <w:adjustRightInd w:val="0"/>
        <w:snapToGri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2、付款方式</w:t>
      </w:r>
    </w:p>
    <w:p>
      <w:pPr>
        <w:adjustRightInd w:val="0"/>
        <w:snapToGrid w:val="0"/>
        <w:spacing w:line="360" w:lineRule="auto"/>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（1）投标人应按付款进度之规定及本合同项中的其它相关条款的规定，向招标人出具附有工作进度报告和相关工作成果的付款申请。</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bCs/>
          <w:sz w:val="24"/>
          <w:szCs w:val="24"/>
          <w:highlight w:val="none"/>
        </w:rPr>
        <w:t>（2）每次付款申请时,投标人应向招标人开具与付款金额等额的税务发票</w:t>
      </w:r>
    </w:p>
    <w:p>
      <w:pPr>
        <w:adjustRightInd w:val="0"/>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第九条  甲方权利与义务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1、甲方委托任务时，必须以书面形式向乙方明确检测任务，并提供有关资料。</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2、甲方对乙方所提供的资料及本工程的检测成果拥有著作权、版权、专利权和使用权（署名权除外）。</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3、指派专人与乙方保持密切联系，及时协调有关问题。</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4、按合同规定支付合同费用。</w:t>
      </w:r>
    </w:p>
    <w:p>
      <w:pPr>
        <w:adjustRightInd w:val="0"/>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第十条  乙方权利与义务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接到甲方任务委托书后，乙方应按国家技术规范、标准、规程、设计文件和甲方的任务委托书编制防雷装置检测方案，检测方案须经甲方后续按方案进行检测作业，所有检测工作完成后及时提交防雷装置检测报告。</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2、检测方案应有详细的检测项目、检测程序等。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3、甲方根据工程需要，提出本合同范围以外的工作内容，乙方应予以执行，所发生费用，经双方协商解决。</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4、乙方应严格遵守甲方工地的各项管理规定，服从甲方的管理。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乙方应严格遵守防雷检测有关规范、规则，制定检测安全保障措施，保证检测过程的安全文明，坚决杜绝安全事故的发生。如发生与检测有关的安全事故，造成不良的社会影响及经济损失，一切责任均由乙方承担。</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6、检测过程与施工单位密切配合，确保检测工作不耽误施工进度。</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7、乙方应积极参加与检测相关的各类施工交底及工程验收，配合处理施工过程中出现的防雷问题，并根据甲方要求，及时派驻专业工程师到现场解决问题。</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8、检测不合格时，乙方应积极配合甲方根据国家和地方有关法律法规及技术规范标准的要求，提出整改意见，并在整改后重新检测，直至检测合格后出具防雷装置检测报告。</w:t>
      </w:r>
    </w:p>
    <w:p>
      <w:pPr>
        <w:adjustRightInd w:val="0"/>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第十一条  违约责任</w:t>
      </w:r>
    </w:p>
    <w:p>
      <w:pPr>
        <w:pStyle w:val="8"/>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1、由于乙方原因导致工期延误的，每延误一天按人民币 2000 元罚款，每期罚款额不超过人民币 5 万元，从合同金额或履约担保中扣除。</w:t>
      </w:r>
    </w:p>
    <w:p>
      <w:pPr>
        <w:pStyle w:val="8"/>
        <w:spacing w:line="360" w:lineRule="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2、合同履行期间，由于工程停建甲方要求解除合同时，乙方未进行检测工作的，合同自然解除；己进行检测工作的,按实际完成的工作量占批准检测方案总工作量的比例计算支付检测费。</w:t>
      </w:r>
    </w:p>
    <w:p>
      <w:pPr>
        <w:adjustRightInd w:val="0"/>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第十二条  不可抗力</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1、因不可抗力致使完全不能履行本协议或项目合同的，本协议或项目合同终止，双方无需承担责任，但本协议或项目合同另有约定的除外。</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2、因不可抗力致使部分不能履行本协议或项目合同的（包括导致延期履行），根据不可抗力的影响，免除相应的责任，但本协议或项目合同另有约定的除外。</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3、协议或项目合同一方延迟履行协议或项目合同后发生不可抗力的，不能免除责任。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4、因发生不可抗力影响协议或项目合同履行的，遭受不可抗力的一方须及时通知另一方，并在不可抗力结束后合理期限内向另一方提交发生不可抗力的充分而有效的证明，否则不能免除相应责任。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除非本协议或项目合同中另有预定，不可抗力系指甲乙双方都不可遇见、不可避免、不能克服的超出认识控制和防范能力事件。这类事件使协议和项目合同一方的履约已变得不可能或非法。不可抗力包括（但不限于）下列情况：</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（1）天灾：如地震、洪水、海啸、飓风、强台风、暴雨、雷击、爆炸、火灾、 瘟疫等；</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（2）战争、敌对行动（不论宣传与否）、入侵、外敌行动、叛乱、革命、暴动、军事政变和内政；</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（3）离子辐射或放射性污染；</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（4）以音速或超音速飞行的飞机或其他飞行装置产生的压力波，飞行物坠落；</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（5）暴乱、骚乱或混乱，但对于完全局限在乙方、丙方或其雇佣人员内部并且是由于从事本工程而发生的除外。</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（6）由于工程防雷检测相关政策发生变化，甲方有权单方面解除合同。</w:t>
      </w:r>
    </w:p>
    <w:p>
      <w:pPr>
        <w:adjustRightInd w:val="0"/>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第十三条  转让和分包</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本协议任何权利、责任和义务双方均不得转让给第三方。乙方亦不得将项目任务分包给其他单位，否则甲方有权单方面终止本协议。</w:t>
      </w:r>
    </w:p>
    <w:p>
      <w:pPr>
        <w:adjustRightInd w:val="0"/>
        <w:spacing w:line="360" w:lineRule="auto"/>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第十四条　其他</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乙方应负责为其参与本项目检测的人员购买意外伤害保险，确保检测人员及工作人员在项目现场遭受意外伤害后能得到保险理赔。对于乙方检测人员及工作人员在项目现场遭受的意外伤害，甲方无需承担赔偿责任。</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2、由于检测结论错误，致使对工程本体、建筑物内设施设备、相关人员生命财产安全造成破坏的，乙方除应承担相关法律责任和免收直接受损失部分的工程检测费外，还应向甲方支付损失的全部赔偿。</w:t>
      </w:r>
    </w:p>
    <w:p>
      <w:pPr>
        <w:adjustRightInd w:val="0"/>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3、出现以下情形的，直接判定为履约不合格：</w:t>
      </w:r>
      <w:r>
        <w:rPr>
          <w:rFonts w:hint="eastAsia" w:ascii="宋体" w:hAnsi="宋体" w:eastAsia="宋体" w:cs="宋体"/>
          <w:sz w:val="24"/>
          <w:szCs w:val="24"/>
          <w:highlight w:val="none"/>
        </w:rPr>
        <w:cr/>
      </w:r>
      <w:r>
        <w:rPr>
          <w:rFonts w:hint="eastAsia" w:ascii="宋体" w:hAnsi="宋体" w:eastAsia="宋体" w:cs="宋体"/>
          <w:sz w:val="24"/>
          <w:szCs w:val="24"/>
          <w:highlight w:val="none"/>
        </w:rPr>
        <w:t xml:space="preserve">    （1）乙方提供的成果弄虚作假、与实际情况不符。</w:t>
      </w:r>
    </w:p>
    <w:p>
      <w:pPr>
        <w:adjustRightInd w:val="0"/>
        <w:snapToGrid w:val="0"/>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（2）因检测结论错误导致重大事故发生或造成重大损失，记履约评价不合格。</w:t>
      </w:r>
      <w:r>
        <w:rPr>
          <w:rFonts w:hint="eastAsia" w:ascii="宋体" w:hAnsi="宋体" w:eastAsia="宋体" w:cs="宋体"/>
          <w:sz w:val="24"/>
          <w:szCs w:val="24"/>
          <w:highlight w:val="none"/>
        </w:rPr>
        <w:cr/>
      </w:r>
      <w:r>
        <w:rPr>
          <w:rFonts w:hint="eastAsia" w:ascii="宋体" w:hAnsi="宋体" w:eastAsia="宋体" w:cs="宋体"/>
          <w:sz w:val="24"/>
          <w:szCs w:val="24"/>
          <w:highlight w:val="none"/>
        </w:rPr>
        <w:t xml:space="preserve">    出现以上情形并按照现行的《深圳市建筑工务署不良行为记录处理办法》和《深圳市建筑工务署合同履约评价管理办法》相关规定执行。</w:t>
      </w:r>
      <w:r>
        <w:rPr>
          <w:rFonts w:hint="eastAsia" w:ascii="宋体" w:hAnsi="宋体" w:eastAsia="宋体" w:cs="宋体"/>
          <w:sz w:val="24"/>
          <w:szCs w:val="24"/>
          <w:highlight w:val="none"/>
        </w:rPr>
        <w:cr/>
      </w:r>
      <w:r>
        <w:rPr>
          <w:rFonts w:hint="eastAsia" w:ascii="宋体" w:hAnsi="宋体" w:eastAsia="宋体" w:cs="宋体"/>
          <w:b/>
          <w:bCs/>
          <w:sz w:val="24"/>
          <w:szCs w:val="24"/>
          <w:highlight w:val="none"/>
        </w:rPr>
        <w:t xml:space="preserve">    第十五</w:t>
      </w:r>
      <w:r>
        <w:rPr>
          <w:rFonts w:hint="eastAsia" w:ascii="宋体" w:hAnsi="宋体" w:eastAsia="宋体" w:cs="宋体"/>
          <w:b/>
          <w:bCs/>
          <w:smallCaps/>
          <w:sz w:val="24"/>
          <w:szCs w:val="24"/>
          <w:highlight w:val="none"/>
        </w:rPr>
        <w:t>条</w:t>
      </w:r>
      <w:r>
        <w:rPr>
          <w:rFonts w:hint="eastAsia" w:ascii="宋体" w:hAnsi="宋体" w:eastAsia="宋体" w:cs="宋体"/>
          <w:b/>
          <w:bCs/>
          <w:sz w:val="24"/>
          <w:szCs w:val="24"/>
          <w:highlight w:val="none"/>
        </w:rPr>
        <w:t>　争议处理</w:t>
      </w:r>
    </w:p>
    <w:p>
      <w:pPr>
        <w:adjustRightIn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本合同发生争议，甲方、乙方应及时协商解决，协商或调解不成的，由 </w:t>
      </w:r>
      <w:r>
        <w:rPr>
          <w:rFonts w:hint="eastAsia" w:ascii="宋体" w:hAnsi="宋体" w:eastAsia="宋体" w:cs="宋体"/>
          <w:sz w:val="24"/>
          <w:szCs w:val="24"/>
          <w:highlight w:val="none"/>
          <w:u w:val="single"/>
        </w:rPr>
        <w:t>深圳　</w:t>
      </w:r>
      <w:r>
        <w:rPr>
          <w:rFonts w:hint="eastAsia" w:ascii="宋体" w:hAnsi="宋体" w:eastAsia="宋体" w:cs="宋体"/>
          <w:sz w:val="24"/>
          <w:szCs w:val="24"/>
          <w:highlight w:val="none"/>
        </w:rPr>
        <w:t>仲裁委员会仲裁。</w:t>
      </w:r>
    </w:p>
    <w:p>
      <w:pPr>
        <w:adjustRightInd w:val="0"/>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mallCaps/>
          <w:sz w:val="24"/>
          <w:szCs w:val="24"/>
          <w:highlight w:val="none"/>
        </w:rPr>
        <w:t>第十六条</w:t>
      </w:r>
      <w:r>
        <w:rPr>
          <w:rFonts w:hint="eastAsia" w:ascii="宋体" w:hAnsi="宋体" w:eastAsia="宋体" w:cs="宋体"/>
          <w:b/>
          <w:bCs/>
          <w:sz w:val="24"/>
          <w:szCs w:val="24"/>
          <w:highlight w:val="none"/>
        </w:rPr>
        <w:t>　合同生效和终止</w:t>
      </w:r>
    </w:p>
    <w:p>
      <w:pPr>
        <w:spacing w:line="360" w:lineRule="auto"/>
        <w:ind w:firstLine="480" w:firstLineChars="200"/>
        <w:rPr>
          <w:rFonts w:ascii="宋体" w:hAnsi="宋体"/>
          <w:highlight w:val="none"/>
        </w:rPr>
      </w:pPr>
      <w:r>
        <w:rPr>
          <w:rFonts w:hint="eastAsia" w:ascii="宋体" w:hAnsi="宋体" w:eastAsia="宋体" w:cs="宋体"/>
          <w:sz w:val="24"/>
          <w:szCs w:val="24"/>
          <w:highlight w:val="none"/>
        </w:rPr>
        <w:t>本合同一式</w:t>
      </w:r>
      <w:r>
        <w:rPr>
          <w:rFonts w:hint="eastAsia" w:ascii="宋体" w:hAnsi="宋体" w:eastAsia="宋体" w:cs="宋体"/>
          <w:sz w:val="24"/>
          <w:szCs w:val="24"/>
          <w:highlight w:val="none"/>
          <w:u w:val="single"/>
        </w:rPr>
        <w:t>＿10＿</w:t>
      </w:r>
      <w:r>
        <w:rPr>
          <w:rFonts w:hint="eastAsia" w:ascii="宋体" w:hAnsi="宋体" w:eastAsia="宋体" w:cs="宋体"/>
          <w:sz w:val="24"/>
          <w:szCs w:val="24"/>
          <w:highlight w:val="none"/>
        </w:rPr>
        <w:t>份，甲方</w:t>
      </w:r>
      <w:r>
        <w:rPr>
          <w:rFonts w:hint="eastAsia" w:ascii="宋体" w:hAnsi="宋体" w:eastAsia="宋体" w:cs="宋体"/>
          <w:sz w:val="24"/>
          <w:szCs w:val="24"/>
          <w:highlight w:val="none"/>
          <w:u w:val="single"/>
        </w:rPr>
        <w:t>＿8＿</w:t>
      </w:r>
      <w:r>
        <w:rPr>
          <w:rFonts w:hint="eastAsia" w:ascii="宋体" w:hAnsi="宋体" w:eastAsia="宋体" w:cs="宋体"/>
          <w:sz w:val="24"/>
          <w:szCs w:val="24"/>
          <w:highlight w:val="none"/>
        </w:rPr>
        <w:t>份、乙方</w:t>
      </w:r>
      <w:r>
        <w:rPr>
          <w:rFonts w:hint="eastAsia" w:ascii="宋体" w:hAnsi="宋体" w:eastAsia="宋体" w:cs="宋体"/>
          <w:sz w:val="24"/>
          <w:szCs w:val="24"/>
          <w:highlight w:val="none"/>
          <w:u w:val="single"/>
        </w:rPr>
        <w:t>＿2＿</w:t>
      </w:r>
      <w:r>
        <w:rPr>
          <w:rFonts w:hint="eastAsia" w:ascii="宋体" w:hAnsi="宋体" w:eastAsia="宋体" w:cs="宋体"/>
          <w:sz w:val="24"/>
          <w:szCs w:val="24"/>
          <w:highlight w:val="none"/>
        </w:rPr>
        <w:t>份。自甲方、乙方签字盖章后生效；甲方、乙方履行完合同规定的义务后，本合同终止。</w:t>
      </w:r>
      <w:r>
        <w:rPr>
          <w:rFonts w:hint="eastAsia" w:ascii="宋体" w:hAnsi="宋体" w:eastAsia="宋体" w:cs="宋体"/>
          <w:sz w:val="24"/>
          <w:szCs w:val="24"/>
          <w:highlight w:val="none"/>
        </w:rPr>
        <w:br w:type="textWrapping"/>
      </w:r>
      <w:r>
        <w:rPr>
          <w:rFonts w:hint="eastAsia"/>
          <w:szCs w:val="21"/>
          <w:highlight w:val="none"/>
        </w:rPr>
        <w:t>　　</w:t>
      </w:r>
      <w:r>
        <w:rPr>
          <w:rFonts w:hint="eastAsia"/>
          <w:szCs w:val="21"/>
          <w:highlight w:val="none"/>
        </w:rPr>
        <w:br w:type="textWrapping"/>
      </w:r>
    </w:p>
    <w:p>
      <w:pPr>
        <w:spacing w:line="360" w:lineRule="auto"/>
        <w:rPr>
          <w:rFonts w:ascii="宋体" w:hAnsi="宋体"/>
          <w:highlight w:val="none"/>
        </w:rPr>
      </w:pPr>
    </w:p>
    <w:p>
      <w:pPr>
        <w:spacing w:line="360" w:lineRule="auto"/>
        <w:rPr>
          <w:rFonts w:ascii="宋体" w:hAnsi="宋体"/>
          <w:sz w:val="24"/>
          <w:szCs w:val="24"/>
          <w:highlight w:val="none"/>
        </w:rPr>
      </w:pPr>
      <w:r>
        <w:rPr>
          <w:rFonts w:hint="eastAsia" w:ascii="宋体" w:hAnsi="宋体"/>
          <w:sz w:val="24"/>
          <w:szCs w:val="24"/>
          <w:highlight w:val="none"/>
        </w:rPr>
        <w:t>甲方：                                     乙方：</w:t>
      </w:r>
    </w:p>
    <w:p>
      <w:pPr>
        <w:spacing w:line="360" w:lineRule="auto"/>
        <w:rPr>
          <w:rFonts w:ascii="宋体" w:hAnsi="宋体"/>
          <w:sz w:val="24"/>
          <w:szCs w:val="24"/>
          <w:highlight w:val="none"/>
        </w:rPr>
      </w:pPr>
      <w:r>
        <w:rPr>
          <w:rFonts w:hint="eastAsia" w:ascii="宋体" w:hAnsi="宋体"/>
          <w:sz w:val="24"/>
          <w:szCs w:val="24"/>
          <w:highlight w:val="none"/>
        </w:rPr>
        <w:t xml:space="preserve">（盖章）                                  （盖章）   </w:t>
      </w:r>
    </w:p>
    <w:p>
      <w:pPr>
        <w:spacing w:line="360" w:lineRule="auto"/>
        <w:rPr>
          <w:rFonts w:ascii="宋体" w:hAnsi="宋体"/>
          <w:sz w:val="24"/>
          <w:szCs w:val="24"/>
          <w:highlight w:val="none"/>
        </w:rPr>
      </w:pPr>
      <w:r>
        <w:rPr>
          <w:rFonts w:hint="eastAsia" w:ascii="宋体" w:hAnsi="宋体"/>
          <w:sz w:val="24"/>
          <w:szCs w:val="24"/>
          <w:highlight w:val="none"/>
        </w:rPr>
        <w:t>法人代表或授权代理人签字：                 法人代表或授权代理人签字：</w:t>
      </w:r>
    </w:p>
    <w:p>
      <w:pPr>
        <w:spacing w:line="360" w:lineRule="auto"/>
        <w:rPr>
          <w:rFonts w:ascii="宋体" w:hAnsi="宋体"/>
          <w:sz w:val="24"/>
          <w:szCs w:val="24"/>
          <w:highlight w:val="none"/>
        </w:rPr>
      </w:pPr>
      <w:r>
        <w:rPr>
          <w:rFonts w:hint="eastAsia" w:ascii="宋体" w:hAnsi="宋体"/>
          <w:sz w:val="24"/>
          <w:szCs w:val="24"/>
          <w:highlight w:val="none"/>
        </w:rPr>
        <w:t>开户银行：                                 开户银行：</w:t>
      </w:r>
    </w:p>
    <w:p>
      <w:pPr>
        <w:spacing w:line="360" w:lineRule="auto"/>
        <w:rPr>
          <w:rFonts w:ascii="宋体" w:hAnsi="宋体"/>
          <w:sz w:val="24"/>
          <w:szCs w:val="24"/>
          <w:highlight w:val="none"/>
        </w:rPr>
      </w:pPr>
      <w:r>
        <w:rPr>
          <w:rFonts w:hint="eastAsia" w:ascii="宋体" w:hAnsi="宋体"/>
          <w:sz w:val="24"/>
          <w:szCs w:val="24"/>
          <w:highlight w:val="none"/>
        </w:rPr>
        <w:t>帐号：                                     帐号：</w:t>
      </w:r>
    </w:p>
    <w:p>
      <w:pPr>
        <w:spacing w:line="360" w:lineRule="auto"/>
        <w:rPr>
          <w:rFonts w:ascii="宋体" w:hAnsi="宋体"/>
          <w:sz w:val="24"/>
          <w:szCs w:val="24"/>
          <w:highlight w:val="none"/>
        </w:rPr>
      </w:pPr>
      <w:r>
        <w:rPr>
          <w:rFonts w:hint="eastAsia" w:ascii="宋体" w:hAnsi="宋体"/>
          <w:sz w:val="24"/>
          <w:szCs w:val="24"/>
          <w:highlight w:val="none"/>
        </w:rPr>
        <w:t>日期：</w:t>
      </w:r>
      <w:r>
        <w:rPr>
          <w:rFonts w:hint="eastAsia" w:ascii="宋体" w:hAnsi="宋体"/>
          <w:sz w:val="24"/>
          <w:szCs w:val="24"/>
          <w:highlight w:val="none"/>
          <w:u w:val="single"/>
        </w:rPr>
        <w:t xml:space="preserve">     </w:t>
      </w:r>
      <w:r>
        <w:rPr>
          <w:rFonts w:hint="eastAsia" w:ascii="宋体" w:hAnsi="宋体"/>
          <w:sz w:val="24"/>
          <w:szCs w:val="24"/>
          <w:highlight w:val="none"/>
        </w:rPr>
        <w:t>年</w:t>
      </w:r>
      <w:r>
        <w:rPr>
          <w:rFonts w:hint="eastAsia" w:ascii="宋体" w:hAnsi="宋体"/>
          <w:sz w:val="24"/>
          <w:szCs w:val="24"/>
          <w:highlight w:val="none"/>
          <w:u w:val="single"/>
        </w:rPr>
        <w:t xml:space="preserve">    </w:t>
      </w:r>
      <w:r>
        <w:rPr>
          <w:rFonts w:hint="eastAsia" w:ascii="宋体" w:hAnsi="宋体"/>
          <w:sz w:val="24"/>
          <w:szCs w:val="24"/>
          <w:highlight w:val="none"/>
        </w:rPr>
        <w:t>月</w:t>
      </w:r>
      <w:r>
        <w:rPr>
          <w:rFonts w:hint="eastAsia" w:ascii="宋体" w:hAnsi="宋体"/>
          <w:sz w:val="24"/>
          <w:szCs w:val="24"/>
          <w:highlight w:val="none"/>
          <w:u w:val="single"/>
        </w:rPr>
        <w:t xml:space="preserve">    </w:t>
      </w:r>
      <w:r>
        <w:rPr>
          <w:rFonts w:hint="eastAsia" w:ascii="宋体" w:hAnsi="宋体"/>
          <w:sz w:val="24"/>
          <w:szCs w:val="24"/>
          <w:highlight w:val="none"/>
        </w:rPr>
        <w:t>日                  日期：</w:t>
      </w:r>
      <w:r>
        <w:rPr>
          <w:rFonts w:hint="eastAsia" w:ascii="宋体" w:hAnsi="宋体"/>
          <w:sz w:val="24"/>
          <w:szCs w:val="24"/>
          <w:highlight w:val="none"/>
          <w:u w:val="single"/>
        </w:rPr>
        <w:t xml:space="preserve">     </w:t>
      </w:r>
      <w:r>
        <w:rPr>
          <w:rFonts w:hint="eastAsia" w:ascii="宋体" w:hAnsi="宋体"/>
          <w:sz w:val="24"/>
          <w:szCs w:val="24"/>
          <w:highlight w:val="none"/>
        </w:rPr>
        <w:t>年</w:t>
      </w:r>
      <w:r>
        <w:rPr>
          <w:rFonts w:hint="eastAsia" w:ascii="宋体" w:hAnsi="宋体"/>
          <w:sz w:val="24"/>
          <w:szCs w:val="24"/>
          <w:highlight w:val="none"/>
          <w:u w:val="single"/>
        </w:rPr>
        <w:t xml:space="preserve">    </w:t>
      </w:r>
      <w:r>
        <w:rPr>
          <w:rFonts w:hint="eastAsia" w:ascii="宋体" w:hAnsi="宋体"/>
          <w:sz w:val="24"/>
          <w:szCs w:val="24"/>
          <w:highlight w:val="none"/>
        </w:rPr>
        <w:t>月</w:t>
      </w:r>
      <w:r>
        <w:rPr>
          <w:rFonts w:hint="eastAsia" w:ascii="宋体" w:hAnsi="宋体"/>
          <w:sz w:val="24"/>
          <w:szCs w:val="24"/>
          <w:highlight w:val="none"/>
          <w:u w:val="single"/>
        </w:rPr>
        <w:t xml:space="preserve">    </w:t>
      </w:r>
      <w:r>
        <w:rPr>
          <w:rFonts w:hint="eastAsia" w:ascii="宋体" w:hAnsi="宋体"/>
          <w:sz w:val="24"/>
          <w:szCs w:val="24"/>
          <w:highlight w:val="none"/>
        </w:rPr>
        <w:t>日</w:t>
      </w:r>
    </w:p>
    <w:p>
      <w:pPr>
        <w:adjustRightInd w:val="0"/>
        <w:snapToGrid w:val="0"/>
        <w:spacing w:line="360" w:lineRule="auto"/>
        <w:rPr>
          <w:rFonts w:ascii="黑体" w:eastAsia="黑体"/>
          <w:b/>
          <w:sz w:val="44"/>
          <w:szCs w:val="44"/>
          <w:highlight w:val="none"/>
        </w:rPr>
      </w:pPr>
      <w:r>
        <w:rPr>
          <w:rFonts w:hint="eastAsia"/>
          <w:spacing w:val="30"/>
          <w:highlight w:val="none"/>
        </w:rPr>
        <w:t xml:space="preserve">       </w:t>
      </w:r>
    </w:p>
    <w:p>
      <w:pPr>
        <w:pStyle w:val="2"/>
        <w:rPr>
          <w:rFonts w:hint="default" w:eastAsia="宋体"/>
          <w:highlight w:val="none"/>
          <w:lang w:val="en-US" w:eastAsia="zh-CN"/>
        </w:rPr>
      </w:pPr>
      <w:r>
        <w:rPr>
          <w:rFonts w:hint="eastAsia"/>
          <w:highlight w:val="none"/>
        </w:rPr>
        <w:br w:type="page"/>
      </w:r>
      <w:r>
        <w:rPr>
          <w:rFonts w:hint="eastAsia"/>
          <w:highlight w:val="none"/>
        </w:rPr>
        <w:t>附件</w:t>
      </w:r>
      <w:r>
        <w:rPr>
          <w:rFonts w:hint="eastAsia"/>
          <w:highlight w:val="none"/>
          <w:lang w:val="en-US" w:eastAsia="zh-CN"/>
        </w:rPr>
        <w:t>一：检测合同履约评价实施细则</w:t>
      </w:r>
    </w:p>
    <w:tbl>
      <w:tblPr>
        <w:tblStyle w:val="5"/>
        <w:tblW w:w="10206" w:type="dxa"/>
        <w:tblInd w:w="-34" w:type="dxa"/>
        <w:tblLayout w:type="fixed"/>
        <w:tblCellMar>
          <w:top w:w="0" w:type="dxa"/>
          <w:left w:w="108" w:type="dxa"/>
          <w:bottom w:w="0" w:type="dxa"/>
          <w:right w:w="108" w:type="dxa"/>
        </w:tblCellMar>
      </w:tblPr>
      <w:tblGrid>
        <w:gridCol w:w="9214"/>
        <w:gridCol w:w="992"/>
      </w:tblGrid>
      <w:tr>
        <w:tblPrEx>
          <w:tblCellMar>
            <w:top w:w="0" w:type="dxa"/>
            <w:left w:w="108" w:type="dxa"/>
            <w:bottom w:w="0" w:type="dxa"/>
            <w:right w:w="108" w:type="dxa"/>
          </w:tblCellMar>
        </w:tblPrEx>
        <w:trPr>
          <w:trHeight w:val="12243" w:hRule="atLeast"/>
        </w:trPr>
        <w:tc>
          <w:tcPr>
            <w:tcW w:w="9214" w:type="dxa"/>
            <w:tcBorders>
              <w:top w:val="nil"/>
              <w:left w:val="nil"/>
              <w:bottom w:val="nil"/>
              <w:right w:val="nil"/>
            </w:tcBorders>
            <w:noWrap/>
            <w:vAlign w:val="center"/>
          </w:tcPr>
          <w:tbl>
            <w:tblPr>
              <w:tblStyle w:val="5"/>
              <w:tblW w:w="89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1126"/>
              <w:gridCol w:w="806"/>
              <w:gridCol w:w="4362"/>
              <w:gridCol w:w="982"/>
              <w:gridCol w:w="1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8" w:type="dxa"/>
                  <w:noWrap w:val="0"/>
                  <w:vAlign w:val="center"/>
                </w:tcPr>
                <w:p>
                  <w:pPr>
                    <w:jc w:val="center"/>
                    <w:rPr>
                      <w:rFonts w:ascii="宋体" w:hAnsi="宋体" w:cs="宋体"/>
                      <w:b/>
                      <w:kern w:val="0"/>
                      <w:sz w:val="18"/>
                      <w:szCs w:val="18"/>
                      <w:highlight w:val="none"/>
                    </w:rPr>
                  </w:pPr>
                  <w:r>
                    <w:rPr>
                      <w:rFonts w:hint="eastAsia" w:ascii="宋体" w:hAnsi="宋体" w:cs="宋体"/>
                      <w:b/>
                      <w:kern w:val="0"/>
                      <w:sz w:val="18"/>
                      <w:szCs w:val="18"/>
                      <w:highlight w:val="none"/>
                    </w:rPr>
                    <w:t>序号</w:t>
                  </w:r>
                </w:p>
              </w:tc>
              <w:tc>
                <w:tcPr>
                  <w:tcW w:w="1126" w:type="dxa"/>
                  <w:noWrap w:val="0"/>
                  <w:vAlign w:val="center"/>
                </w:tcPr>
                <w:p>
                  <w:pPr>
                    <w:jc w:val="center"/>
                    <w:rPr>
                      <w:rFonts w:ascii="宋体" w:hAnsi="宋体" w:cs="宋体"/>
                      <w:b/>
                      <w:kern w:val="0"/>
                      <w:sz w:val="18"/>
                      <w:szCs w:val="18"/>
                      <w:highlight w:val="none"/>
                    </w:rPr>
                  </w:pPr>
                  <w:r>
                    <w:rPr>
                      <w:rFonts w:hint="eastAsia" w:ascii="宋体" w:hAnsi="宋体" w:cs="宋体"/>
                      <w:b/>
                      <w:kern w:val="0"/>
                      <w:sz w:val="18"/>
                      <w:szCs w:val="18"/>
                      <w:highlight w:val="none"/>
                    </w:rPr>
                    <w:t>分项内容</w:t>
                  </w:r>
                </w:p>
              </w:tc>
              <w:tc>
                <w:tcPr>
                  <w:tcW w:w="806" w:type="dxa"/>
                  <w:noWrap w:val="0"/>
                  <w:vAlign w:val="center"/>
                </w:tcPr>
                <w:p>
                  <w:pPr>
                    <w:jc w:val="center"/>
                    <w:rPr>
                      <w:rFonts w:ascii="宋体" w:hAnsi="宋体"/>
                      <w:b/>
                      <w:kern w:val="0"/>
                      <w:sz w:val="18"/>
                      <w:szCs w:val="18"/>
                      <w:highlight w:val="none"/>
                    </w:rPr>
                  </w:pPr>
                  <w:r>
                    <w:rPr>
                      <w:rFonts w:hint="eastAsia" w:ascii="宋体" w:hAnsi="宋体"/>
                      <w:b/>
                      <w:kern w:val="0"/>
                      <w:sz w:val="18"/>
                      <w:szCs w:val="18"/>
                      <w:highlight w:val="none"/>
                    </w:rPr>
                    <w:t>满分</w:t>
                  </w:r>
                </w:p>
                <w:p>
                  <w:pPr>
                    <w:jc w:val="center"/>
                    <w:rPr>
                      <w:rFonts w:ascii="宋体" w:hAnsi="宋体"/>
                      <w:b/>
                      <w:kern w:val="0"/>
                      <w:sz w:val="18"/>
                      <w:szCs w:val="18"/>
                      <w:highlight w:val="none"/>
                    </w:rPr>
                  </w:pPr>
                  <w:r>
                    <w:rPr>
                      <w:rFonts w:hint="eastAsia" w:ascii="宋体" w:hAnsi="宋体"/>
                      <w:b/>
                      <w:kern w:val="0"/>
                      <w:sz w:val="18"/>
                      <w:szCs w:val="18"/>
                      <w:highlight w:val="none"/>
                    </w:rPr>
                    <w:t>分值</w:t>
                  </w:r>
                </w:p>
              </w:tc>
              <w:tc>
                <w:tcPr>
                  <w:tcW w:w="4362" w:type="dxa"/>
                  <w:noWrap w:val="0"/>
                  <w:vAlign w:val="center"/>
                </w:tcPr>
                <w:p>
                  <w:pPr>
                    <w:jc w:val="center"/>
                    <w:rPr>
                      <w:rFonts w:ascii="宋体" w:hAnsi="宋体" w:cs="宋体"/>
                      <w:b/>
                      <w:kern w:val="0"/>
                      <w:sz w:val="18"/>
                      <w:szCs w:val="18"/>
                      <w:highlight w:val="none"/>
                    </w:rPr>
                  </w:pPr>
                  <w:r>
                    <w:rPr>
                      <w:rFonts w:hint="eastAsia" w:ascii="宋体" w:hAnsi="宋体" w:cs="宋体"/>
                      <w:b/>
                      <w:kern w:val="0"/>
                      <w:sz w:val="18"/>
                      <w:szCs w:val="18"/>
                      <w:highlight w:val="none"/>
                    </w:rPr>
                    <w:t>评价标准</w:t>
                  </w:r>
                </w:p>
              </w:tc>
              <w:tc>
                <w:tcPr>
                  <w:tcW w:w="982" w:type="dxa"/>
                  <w:noWrap w:val="0"/>
                  <w:vAlign w:val="center"/>
                </w:tcPr>
                <w:p>
                  <w:pPr>
                    <w:jc w:val="center"/>
                    <w:rPr>
                      <w:rFonts w:ascii="宋体" w:hAnsi="宋体" w:cs="宋体"/>
                      <w:b/>
                      <w:kern w:val="0"/>
                      <w:sz w:val="18"/>
                      <w:szCs w:val="18"/>
                      <w:highlight w:val="none"/>
                    </w:rPr>
                  </w:pPr>
                  <w:r>
                    <w:rPr>
                      <w:rFonts w:hint="eastAsia" w:ascii="宋体" w:hAnsi="宋体" w:cs="宋体"/>
                      <w:b/>
                      <w:kern w:val="0"/>
                      <w:sz w:val="18"/>
                      <w:szCs w:val="18"/>
                      <w:highlight w:val="none"/>
                    </w:rPr>
                    <w:t>得分</w:t>
                  </w:r>
                </w:p>
              </w:tc>
              <w:tc>
                <w:tcPr>
                  <w:tcW w:w="1014" w:type="dxa"/>
                  <w:noWrap w:val="0"/>
                  <w:vAlign w:val="center"/>
                </w:tcPr>
                <w:p>
                  <w:pPr>
                    <w:widowControl/>
                    <w:jc w:val="center"/>
                    <w:rPr>
                      <w:rFonts w:ascii="宋体" w:hAnsi="宋体" w:cs="宋体"/>
                      <w:b/>
                      <w:kern w:val="0"/>
                      <w:sz w:val="18"/>
                      <w:szCs w:val="18"/>
                      <w:highlight w:val="none"/>
                    </w:rPr>
                  </w:pPr>
                  <w:r>
                    <w:rPr>
                      <w:rFonts w:hint="eastAsia" w:ascii="宋体" w:hAnsi="宋体" w:cs="宋体"/>
                      <w:b/>
                      <w:kern w:val="0"/>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698" w:type="dxa"/>
                  <w:noWrap w:val="0"/>
                  <w:vAlign w:val="center"/>
                </w:tcPr>
                <w:p>
                  <w:pPr>
                    <w:jc w:val="center"/>
                    <w:rPr>
                      <w:rFonts w:ascii="宋体" w:hAnsi="宋体" w:cs="宋体"/>
                      <w:b/>
                      <w:kern w:val="0"/>
                      <w:sz w:val="18"/>
                      <w:szCs w:val="18"/>
                      <w:highlight w:val="none"/>
                    </w:rPr>
                  </w:pPr>
                  <w:r>
                    <w:rPr>
                      <w:rFonts w:hint="eastAsia" w:ascii="宋体" w:hAnsi="宋体" w:cs="宋体"/>
                      <w:b/>
                      <w:kern w:val="0"/>
                      <w:sz w:val="18"/>
                      <w:szCs w:val="18"/>
                      <w:highlight w:val="none"/>
                    </w:rPr>
                    <w:t>一</w:t>
                  </w:r>
                </w:p>
              </w:tc>
              <w:tc>
                <w:tcPr>
                  <w:tcW w:w="1126" w:type="dxa"/>
                  <w:noWrap w:val="0"/>
                  <w:vAlign w:val="center"/>
                </w:tcPr>
                <w:p>
                  <w:pPr>
                    <w:jc w:val="center"/>
                    <w:rPr>
                      <w:rFonts w:ascii="宋体" w:hAnsi="宋体" w:cs="宋体"/>
                      <w:b/>
                      <w:kern w:val="0"/>
                      <w:sz w:val="18"/>
                      <w:szCs w:val="18"/>
                      <w:highlight w:val="none"/>
                    </w:rPr>
                  </w:pPr>
                  <w:r>
                    <w:rPr>
                      <w:rFonts w:hint="eastAsia" w:ascii="宋体" w:hAnsi="宋体" w:cs="宋体"/>
                      <w:b/>
                      <w:kern w:val="0"/>
                      <w:sz w:val="18"/>
                      <w:szCs w:val="18"/>
                      <w:highlight w:val="none"/>
                    </w:rPr>
                    <w:t>人员配备</w:t>
                  </w:r>
                </w:p>
              </w:tc>
              <w:tc>
                <w:tcPr>
                  <w:tcW w:w="806" w:type="dxa"/>
                  <w:noWrap w:val="0"/>
                  <w:vAlign w:val="center"/>
                </w:tcPr>
                <w:p>
                  <w:pPr>
                    <w:jc w:val="center"/>
                    <w:rPr>
                      <w:rFonts w:ascii="宋体" w:hAnsi="宋体"/>
                      <w:b/>
                      <w:kern w:val="0"/>
                      <w:sz w:val="18"/>
                      <w:szCs w:val="18"/>
                      <w:highlight w:val="none"/>
                    </w:rPr>
                  </w:pPr>
                  <w:r>
                    <w:rPr>
                      <w:rFonts w:hint="eastAsia" w:ascii="宋体" w:hAnsi="宋体"/>
                      <w:b/>
                      <w:kern w:val="0"/>
                      <w:sz w:val="18"/>
                      <w:szCs w:val="18"/>
                      <w:highlight w:val="none"/>
                    </w:rPr>
                    <w:t>1</w:t>
                  </w:r>
                  <w:r>
                    <w:rPr>
                      <w:rFonts w:ascii="宋体" w:hAnsi="宋体"/>
                      <w:b/>
                      <w:kern w:val="0"/>
                      <w:sz w:val="18"/>
                      <w:szCs w:val="18"/>
                      <w:highlight w:val="none"/>
                    </w:rPr>
                    <w:t>5</w:t>
                  </w:r>
                </w:p>
              </w:tc>
              <w:tc>
                <w:tcPr>
                  <w:tcW w:w="4362" w:type="dxa"/>
                  <w:noWrap w:val="0"/>
                  <w:vAlign w:val="center"/>
                </w:tcPr>
                <w:p>
                  <w:pPr>
                    <w:jc w:val="center"/>
                    <w:rPr>
                      <w:rFonts w:ascii="宋体" w:hAnsi="宋体" w:cs="宋体"/>
                      <w:b/>
                      <w:kern w:val="0"/>
                      <w:szCs w:val="21"/>
                      <w:highlight w:val="none"/>
                    </w:rPr>
                  </w:pPr>
                </w:p>
              </w:tc>
              <w:tc>
                <w:tcPr>
                  <w:tcW w:w="982" w:type="dxa"/>
                  <w:noWrap w:val="0"/>
                  <w:vAlign w:val="center"/>
                </w:tcPr>
                <w:p>
                  <w:pPr>
                    <w:jc w:val="center"/>
                    <w:rPr>
                      <w:rFonts w:ascii="宋体" w:hAnsi="宋体" w:cs="宋体"/>
                      <w:b/>
                      <w:kern w:val="0"/>
                      <w:szCs w:val="21"/>
                      <w:highlight w:val="none"/>
                    </w:rPr>
                  </w:pPr>
                </w:p>
              </w:tc>
              <w:tc>
                <w:tcPr>
                  <w:tcW w:w="1014" w:type="dxa"/>
                  <w:noWrap w:val="0"/>
                  <w:vAlign w:val="center"/>
                </w:tcPr>
                <w:p>
                  <w:pPr>
                    <w:widowControl/>
                    <w:jc w:val="center"/>
                    <w:rPr>
                      <w:rFonts w:ascii="宋体" w:hAnsi="宋体" w:cs="宋体"/>
                      <w:b/>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8" w:hRule="atLeast"/>
              </w:trPr>
              <w:tc>
                <w:tcPr>
                  <w:tcW w:w="698" w:type="dxa"/>
                  <w:noWrap w:val="0"/>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1</w:t>
                  </w:r>
                </w:p>
              </w:tc>
              <w:tc>
                <w:tcPr>
                  <w:tcW w:w="1126" w:type="dxa"/>
                  <w:noWrap w:val="0"/>
                  <w:vAlign w:val="center"/>
                </w:tcPr>
                <w:p>
                  <w:pPr>
                    <w:widowControl/>
                    <w:jc w:val="left"/>
                    <w:rPr>
                      <w:rFonts w:hint="eastAsia" w:ascii="宋体" w:hAnsi="宋体" w:eastAsia="宋体" w:cs="宋体"/>
                      <w:kern w:val="0"/>
                      <w:sz w:val="18"/>
                      <w:szCs w:val="18"/>
                      <w:highlight w:val="none"/>
                      <w:lang w:val="en-US" w:eastAsia="zh-CN"/>
                    </w:rPr>
                  </w:pPr>
                </w:p>
                <w:p>
                  <w:pPr>
                    <w:widowControl/>
                    <w:jc w:val="left"/>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lang w:val="en-US" w:eastAsia="zh-CN"/>
                    </w:rPr>
                    <w:t>团队配置</w:t>
                  </w:r>
                </w:p>
                <w:p>
                  <w:pPr>
                    <w:widowControl/>
                    <w:jc w:val="left"/>
                    <w:rPr>
                      <w:rFonts w:ascii="宋体" w:hAnsi="宋体" w:cs="宋体"/>
                      <w:kern w:val="0"/>
                      <w:sz w:val="18"/>
                      <w:szCs w:val="18"/>
                      <w:highlight w:val="none"/>
                    </w:rPr>
                  </w:pPr>
                </w:p>
              </w:tc>
              <w:tc>
                <w:tcPr>
                  <w:tcW w:w="806" w:type="dxa"/>
                  <w:noWrap w:val="0"/>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10</w:t>
                  </w:r>
                </w:p>
              </w:tc>
              <w:tc>
                <w:tcPr>
                  <w:tcW w:w="4362" w:type="dxa"/>
                  <w:noWrap w:val="0"/>
                  <w:vAlign w:val="center"/>
                </w:tcPr>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100%：配备人员的数量、专业满足合同及招标文件的要求且能够及时到位，且全部人员稳定；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80%：配备人员的数量、专业满足合同及招标文件的要求且能够及时到位，且人员稳定数量占比在85%以上（含 85%）；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60%：配备人员的数量、专业满足合同及招标文件的要求 ，基本能够及时到位，且人员稳定数量占比在70%-85%之间 （不包含85%）；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30%：配备人员的数量、专业基本满足合同或招标文件的要求 ，但个别人员不能及时到位，或人员稳定数量占比在50%-70%之间（不包含70%）； </w:t>
                  </w:r>
                </w:p>
                <w:p>
                  <w:pPr>
                    <w:keepNext w:val="0"/>
                    <w:keepLines w:val="0"/>
                    <w:widowControl/>
                    <w:suppressLineNumbers w:val="0"/>
                    <w:jc w:val="left"/>
                    <w:rPr>
                      <w:rFonts w:ascii="宋体" w:hAnsi="宋体" w:cs="宋体"/>
                      <w:kern w:val="0"/>
                      <w:sz w:val="18"/>
                      <w:szCs w:val="18"/>
                      <w:highlight w:val="none"/>
                    </w:rPr>
                  </w:pPr>
                  <w:r>
                    <w:rPr>
                      <w:rFonts w:hint="eastAsia" w:ascii="宋体" w:hAnsi="宋体" w:eastAsia="宋体" w:cs="宋体"/>
                      <w:color w:val="000000"/>
                      <w:kern w:val="0"/>
                      <w:sz w:val="18"/>
                      <w:szCs w:val="18"/>
                      <w:highlight w:val="none"/>
                      <w:lang w:val="en-US" w:eastAsia="zh-CN" w:bidi="ar"/>
                    </w:rPr>
                    <w:t>0%：配备人员的数量、专业不满足合同及招标文件的要求，或大多数人员不能及时到位 ，或人员稳定数量占比低于50%。</w:t>
                  </w:r>
                </w:p>
              </w:tc>
              <w:tc>
                <w:tcPr>
                  <w:tcW w:w="982" w:type="dxa"/>
                  <w:noWrap w:val="0"/>
                  <w:vAlign w:val="center"/>
                </w:tcPr>
                <w:p>
                  <w:pPr>
                    <w:widowControl/>
                    <w:jc w:val="left"/>
                    <w:rPr>
                      <w:rFonts w:ascii="宋体" w:hAnsi="宋体" w:cs="宋体"/>
                      <w:kern w:val="0"/>
                      <w:sz w:val="18"/>
                      <w:szCs w:val="18"/>
                      <w:highlight w:val="none"/>
                    </w:rPr>
                  </w:pP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698" w:type="dxa"/>
                  <w:noWrap w:val="0"/>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2</w:t>
                  </w:r>
                </w:p>
              </w:tc>
              <w:tc>
                <w:tcPr>
                  <w:tcW w:w="1126" w:type="dxa"/>
                  <w:noWrap w:val="0"/>
                  <w:vAlign w:val="center"/>
                </w:tcPr>
                <w:p>
                  <w:pPr>
                    <w:widowControl/>
                    <w:jc w:val="left"/>
                    <w:rPr>
                      <w:rFonts w:hint="eastAsia" w:ascii="宋体" w:hAnsi="宋体" w:eastAsia="宋体" w:cs="宋体"/>
                      <w:kern w:val="0"/>
                      <w:sz w:val="18"/>
                      <w:szCs w:val="18"/>
                      <w:highlight w:val="none"/>
                      <w:lang w:val="en-US" w:eastAsia="zh-CN"/>
                    </w:rPr>
                  </w:pPr>
                  <w:r>
                    <w:rPr>
                      <w:rFonts w:hint="eastAsia" w:ascii="宋体" w:hAnsi="宋体" w:cs="宋体"/>
                      <w:kern w:val="0"/>
                      <w:sz w:val="18"/>
                      <w:szCs w:val="18"/>
                      <w:highlight w:val="none"/>
                    </w:rPr>
                    <w:t>项目负责人</w:t>
                  </w:r>
                  <w:r>
                    <w:rPr>
                      <w:rFonts w:hint="eastAsia" w:ascii="宋体" w:hAnsi="宋体" w:cs="宋体"/>
                      <w:kern w:val="0"/>
                      <w:sz w:val="18"/>
                      <w:szCs w:val="18"/>
                      <w:highlight w:val="none"/>
                      <w:lang w:val="en-US" w:eastAsia="zh-CN"/>
                    </w:rPr>
                    <w:t>要求</w:t>
                  </w:r>
                </w:p>
              </w:tc>
              <w:tc>
                <w:tcPr>
                  <w:tcW w:w="806" w:type="dxa"/>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5</w:t>
                  </w:r>
                </w:p>
              </w:tc>
              <w:tc>
                <w:tcPr>
                  <w:tcW w:w="4362" w:type="dxa"/>
                  <w:noWrap w:val="0"/>
                  <w:vAlign w:val="center"/>
                </w:tcPr>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100%：专业水平、组织协调及沟通表达能力优秀 ，责任心及服务意识强，能够及时发现并高效处理各类问题 ，与甲方、使用单位及业务主管部门等相关单位沟通顺畅 ；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80%：专业水平、组织协调及沟通表达能力良好 ，责任心及服务意识较强，能够及时发现并妥善处理各类问题 ，与甲方、使用单位及业务主管部门等相关单位沟通良好；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60%：专业水平、组织协调及沟通表达能力一般 ，责任心及服务意识一般，基本能够发现并妥善处理各类问题，基本能够与甲方、使用单位及业务主管部门等相关单位沟通 ；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30%：专业水平、组织协调及沟通表达能力不足，或责任心及服务意识不足，或基本能够发现问题但不能及时妥善处理，或与甲方、使用单位及业务主管部门等相关单位沟通不顺畅； </w:t>
                  </w:r>
                </w:p>
                <w:p>
                  <w:pPr>
                    <w:keepNext w:val="0"/>
                    <w:keepLines w:val="0"/>
                    <w:widowControl/>
                    <w:suppressLineNumbers w:val="0"/>
                    <w:jc w:val="left"/>
                    <w:rPr>
                      <w:rFonts w:ascii="宋体" w:hAnsi="宋体" w:cs="宋体"/>
                      <w:kern w:val="0"/>
                      <w:sz w:val="18"/>
                      <w:szCs w:val="18"/>
                      <w:highlight w:val="none"/>
                    </w:rPr>
                  </w:pPr>
                  <w:r>
                    <w:rPr>
                      <w:rFonts w:hint="eastAsia" w:ascii="宋体" w:hAnsi="宋体" w:eastAsia="宋体" w:cs="宋体"/>
                      <w:color w:val="000000"/>
                      <w:kern w:val="0"/>
                      <w:sz w:val="18"/>
                      <w:szCs w:val="18"/>
                      <w:highlight w:val="none"/>
                      <w:lang w:val="en-US" w:eastAsia="zh-CN" w:bidi="ar"/>
                    </w:rPr>
                    <w:t>0%：专业水平、组织协调及沟通表达能力差，或责任心及服务意识严重欠缺，或不能发现问题，或拒绝与甲方、使用单位及业务主管部门等相关单位进行沟通。</w:t>
                  </w:r>
                </w:p>
              </w:tc>
              <w:tc>
                <w:tcPr>
                  <w:tcW w:w="982" w:type="dxa"/>
                  <w:noWrap w:val="0"/>
                  <w:vAlign w:val="center"/>
                </w:tcPr>
                <w:p>
                  <w:pPr>
                    <w:widowControl/>
                    <w:jc w:val="left"/>
                    <w:rPr>
                      <w:rFonts w:ascii="宋体" w:hAnsi="宋体" w:cs="宋体"/>
                      <w:kern w:val="0"/>
                      <w:sz w:val="18"/>
                      <w:szCs w:val="18"/>
                      <w:highlight w:val="none"/>
                    </w:rPr>
                  </w:pP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698" w:type="dxa"/>
                  <w:noWrap w:val="0"/>
                  <w:vAlign w:val="center"/>
                </w:tcPr>
                <w:p>
                  <w:pPr>
                    <w:jc w:val="center"/>
                    <w:rPr>
                      <w:rFonts w:ascii="宋体" w:hAnsi="宋体" w:cs="宋体"/>
                      <w:b/>
                      <w:kern w:val="0"/>
                      <w:sz w:val="18"/>
                      <w:szCs w:val="18"/>
                      <w:highlight w:val="none"/>
                    </w:rPr>
                  </w:pPr>
                  <w:r>
                    <w:rPr>
                      <w:rFonts w:hint="eastAsia" w:ascii="宋体" w:hAnsi="宋体" w:cs="宋体"/>
                      <w:b/>
                      <w:kern w:val="0"/>
                      <w:sz w:val="18"/>
                      <w:szCs w:val="18"/>
                      <w:highlight w:val="none"/>
                    </w:rPr>
                    <w:t>二</w:t>
                  </w:r>
                </w:p>
              </w:tc>
              <w:tc>
                <w:tcPr>
                  <w:tcW w:w="1126" w:type="dxa"/>
                  <w:noWrap w:val="0"/>
                  <w:vAlign w:val="center"/>
                </w:tcPr>
                <w:p>
                  <w:pPr>
                    <w:jc w:val="left"/>
                    <w:rPr>
                      <w:rFonts w:ascii="宋体" w:hAnsi="宋体" w:cs="宋体"/>
                      <w:b/>
                      <w:kern w:val="0"/>
                      <w:sz w:val="18"/>
                      <w:szCs w:val="18"/>
                      <w:highlight w:val="none"/>
                    </w:rPr>
                  </w:pPr>
                  <w:r>
                    <w:rPr>
                      <w:rFonts w:hint="eastAsia" w:ascii="宋体" w:hAnsi="宋体" w:cs="宋体"/>
                      <w:b/>
                      <w:kern w:val="0"/>
                      <w:sz w:val="18"/>
                      <w:szCs w:val="18"/>
                      <w:highlight w:val="none"/>
                    </w:rPr>
                    <w:t>履约质量</w:t>
                  </w:r>
                </w:p>
              </w:tc>
              <w:tc>
                <w:tcPr>
                  <w:tcW w:w="806" w:type="dxa"/>
                  <w:noWrap w:val="0"/>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b/>
                      <w:bCs/>
                      <w:kern w:val="0"/>
                      <w:sz w:val="18"/>
                      <w:szCs w:val="18"/>
                      <w:highlight w:val="none"/>
                      <w:lang w:val="en-US" w:eastAsia="zh-CN"/>
                    </w:rPr>
                    <w:t>50</w:t>
                  </w:r>
                </w:p>
              </w:tc>
              <w:tc>
                <w:tcPr>
                  <w:tcW w:w="4362" w:type="dxa"/>
                  <w:noWrap w:val="0"/>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982" w:type="dxa"/>
                  <w:noWrap w:val="0"/>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2" w:hRule="atLeast"/>
              </w:trPr>
              <w:tc>
                <w:tcPr>
                  <w:tcW w:w="698" w:type="dxa"/>
                  <w:noWrap w:val="0"/>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3</w:t>
                  </w:r>
                </w:p>
              </w:tc>
              <w:tc>
                <w:tcPr>
                  <w:tcW w:w="1126" w:type="dxa"/>
                  <w:noWrap w:val="0"/>
                  <w:vAlign w:val="center"/>
                </w:tcPr>
                <w:p>
                  <w:pPr>
                    <w:widowControl/>
                    <w:jc w:val="left"/>
                    <w:rPr>
                      <w:rFonts w:hint="eastAsia" w:ascii="宋体" w:hAnsi="宋体" w:eastAsia="宋体" w:cs="宋体"/>
                      <w:kern w:val="0"/>
                      <w:sz w:val="18"/>
                      <w:szCs w:val="18"/>
                      <w:highlight w:val="none"/>
                      <w:lang w:val="en-US" w:eastAsia="zh-CN"/>
                    </w:rPr>
                  </w:pPr>
                  <w:r>
                    <w:rPr>
                      <w:rFonts w:hint="eastAsia" w:ascii="宋体" w:hAnsi="宋体" w:cs="宋体"/>
                      <w:kern w:val="0"/>
                      <w:sz w:val="18"/>
                      <w:szCs w:val="18"/>
                      <w:highlight w:val="none"/>
                    </w:rPr>
                    <w:t>检测方案</w:t>
                  </w:r>
                  <w:r>
                    <w:rPr>
                      <w:rFonts w:hint="eastAsia" w:ascii="宋体" w:hAnsi="宋体" w:cs="宋体"/>
                      <w:kern w:val="0"/>
                      <w:sz w:val="18"/>
                      <w:szCs w:val="18"/>
                      <w:highlight w:val="none"/>
                      <w:lang w:val="en-US" w:eastAsia="zh-CN"/>
                    </w:rPr>
                    <w:t>质量</w:t>
                  </w:r>
                </w:p>
              </w:tc>
              <w:tc>
                <w:tcPr>
                  <w:tcW w:w="806" w:type="dxa"/>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cs="宋体"/>
                      <w:kern w:val="0"/>
                      <w:sz w:val="18"/>
                      <w:szCs w:val="18"/>
                      <w:highlight w:val="none"/>
                    </w:rPr>
                    <w:t>1</w:t>
                  </w:r>
                  <w:r>
                    <w:rPr>
                      <w:rFonts w:hint="eastAsia" w:ascii="宋体" w:hAnsi="宋体" w:cs="宋体"/>
                      <w:kern w:val="0"/>
                      <w:sz w:val="18"/>
                      <w:szCs w:val="18"/>
                      <w:highlight w:val="none"/>
                      <w:lang w:val="en-US" w:eastAsia="zh-CN"/>
                    </w:rPr>
                    <w:t>0</w:t>
                  </w:r>
                </w:p>
              </w:tc>
              <w:tc>
                <w:tcPr>
                  <w:tcW w:w="4362" w:type="dxa"/>
                  <w:noWrap w:val="0"/>
                  <w:vAlign w:val="center"/>
                </w:tcPr>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100%：检测项目齐全、程序规范、测点计算准确，检测方案符合规范及合同要求且经济合理，方案提交时间快速。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80%：检测项目齐全、程序规范、测点计算较为准确，检测方案符合规范及合同要求且经济合理 ，方案提交时间较快；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60%：检测项目齐全、程序规范、测点计算基本准确，检测方案基本符合规范要求且经济合理 ，基本按要求提交方案；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30%：检测项目有缺失，或程序不规范，或测点计算不准确，或检测方案不符合规范要求或经济不合理 ，或方案提交滞后； </w:t>
                  </w:r>
                </w:p>
                <w:p>
                  <w:pPr>
                    <w:keepNext w:val="0"/>
                    <w:keepLines w:val="0"/>
                    <w:widowControl/>
                    <w:suppressLineNumbers w:val="0"/>
                    <w:jc w:val="left"/>
                    <w:rPr>
                      <w:rFonts w:ascii="宋体" w:hAnsi="宋体" w:cs="宋体"/>
                      <w:kern w:val="0"/>
                      <w:sz w:val="18"/>
                      <w:szCs w:val="18"/>
                      <w:highlight w:val="none"/>
                    </w:rPr>
                  </w:pPr>
                  <w:r>
                    <w:rPr>
                      <w:rFonts w:hint="eastAsia" w:ascii="宋体" w:hAnsi="宋体" w:eastAsia="宋体" w:cs="宋体"/>
                      <w:color w:val="000000"/>
                      <w:kern w:val="0"/>
                      <w:sz w:val="18"/>
                      <w:szCs w:val="18"/>
                      <w:highlight w:val="none"/>
                      <w:lang w:val="en-US" w:eastAsia="zh-CN" w:bidi="ar"/>
                    </w:rPr>
                    <w:t>0%：未按要求制定检测方案。</w:t>
                  </w:r>
                </w:p>
              </w:tc>
              <w:tc>
                <w:tcPr>
                  <w:tcW w:w="982" w:type="dxa"/>
                  <w:noWrap w:val="0"/>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trPr>
              <w:tc>
                <w:tcPr>
                  <w:tcW w:w="698" w:type="dxa"/>
                  <w:noWrap w:val="0"/>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4</w:t>
                  </w:r>
                </w:p>
              </w:tc>
              <w:tc>
                <w:tcPr>
                  <w:tcW w:w="1126" w:type="dxa"/>
                  <w:noWrap w:val="0"/>
                  <w:vAlign w:val="center"/>
                </w:tcPr>
                <w:p>
                  <w:pPr>
                    <w:widowControl/>
                    <w:jc w:val="left"/>
                    <w:rPr>
                      <w:rFonts w:hint="eastAsia"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工作</w:t>
                  </w:r>
                  <w:r>
                    <w:rPr>
                      <w:rFonts w:hint="eastAsia" w:ascii="宋体" w:hAnsi="宋体" w:cs="宋体"/>
                      <w:kern w:val="0"/>
                      <w:sz w:val="18"/>
                      <w:szCs w:val="18"/>
                      <w:highlight w:val="none"/>
                    </w:rPr>
                    <w:t>过程</w:t>
                  </w:r>
                  <w:r>
                    <w:rPr>
                      <w:rFonts w:hint="eastAsia" w:ascii="宋体" w:hAnsi="宋体" w:cs="宋体"/>
                      <w:kern w:val="0"/>
                      <w:sz w:val="18"/>
                      <w:szCs w:val="18"/>
                      <w:highlight w:val="none"/>
                      <w:lang w:val="en-US" w:eastAsia="zh-CN"/>
                    </w:rPr>
                    <w:t>质量</w:t>
                  </w:r>
                </w:p>
              </w:tc>
              <w:tc>
                <w:tcPr>
                  <w:tcW w:w="806" w:type="dxa"/>
                  <w:noWrap w:val="0"/>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1</w:t>
                  </w:r>
                  <w:r>
                    <w:rPr>
                      <w:rFonts w:ascii="宋体" w:hAnsi="宋体" w:cs="宋体"/>
                      <w:kern w:val="0"/>
                      <w:sz w:val="18"/>
                      <w:szCs w:val="18"/>
                      <w:highlight w:val="none"/>
                    </w:rPr>
                    <w:t>5</w:t>
                  </w:r>
                </w:p>
              </w:tc>
              <w:tc>
                <w:tcPr>
                  <w:tcW w:w="4362" w:type="dxa"/>
                  <w:noWrap w:val="0"/>
                  <w:vAlign w:val="center"/>
                </w:tcPr>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100%：严格按照国家相关法律法规、规范标准、技术导则开展工作，服务工作全面；阶段性工作结果都能第一时间反馈，并结合实际情况提出合理、可实施建议，过程中主动指导、配合现场施工；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80%：严格按照国家相关法律法规、规范标准、技术导则开展工作，服务工作较好，阶段性工作成果能尽快反馈 ；指导、配合现场施工；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60%：按照国家相关法律法规、规范标准、技术导则开展工作，服务工作合格，阶段性工作成果有反馈；基本配合现场施工；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30%：经督促整改后基本满足国家相关法律法规 、规范标准、技术导则等要求，服务工作较差，或阶段性工作成果反馈不及时； </w:t>
                  </w:r>
                </w:p>
                <w:p>
                  <w:pPr>
                    <w:keepNext w:val="0"/>
                    <w:keepLines w:val="0"/>
                    <w:widowControl/>
                    <w:suppressLineNumbers w:val="0"/>
                    <w:jc w:val="left"/>
                    <w:rPr>
                      <w:rFonts w:ascii="宋体" w:hAnsi="宋体" w:cs="宋体"/>
                      <w:kern w:val="0"/>
                      <w:sz w:val="18"/>
                      <w:szCs w:val="18"/>
                      <w:highlight w:val="none"/>
                    </w:rPr>
                  </w:pPr>
                  <w:r>
                    <w:rPr>
                      <w:rFonts w:hint="eastAsia" w:ascii="宋体" w:hAnsi="宋体" w:eastAsia="宋体" w:cs="宋体"/>
                      <w:color w:val="000000"/>
                      <w:kern w:val="0"/>
                      <w:sz w:val="18"/>
                      <w:szCs w:val="18"/>
                      <w:highlight w:val="none"/>
                      <w:lang w:val="en-US" w:eastAsia="zh-CN" w:bidi="ar"/>
                    </w:rPr>
                    <w:t>0%：不按照国家相关法律法规、规范标准、技术导则开展工作，服务工作不合格，或阶段性工作成果不反馈 。</w:t>
                  </w:r>
                  <w:r>
                    <w:rPr>
                      <w:rFonts w:hint="eastAsia" w:ascii="宋体" w:hAnsi="宋体" w:cs="宋体"/>
                      <w:kern w:val="0"/>
                      <w:sz w:val="18"/>
                      <w:szCs w:val="18"/>
                      <w:highlight w:val="none"/>
                    </w:rPr>
                    <w:t xml:space="preserve">                                                                  </w:t>
                  </w:r>
                </w:p>
              </w:tc>
              <w:tc>
                <w:tcPr>
                  <w:tcW w:w="982" w:type="dxa"/>
                  <w:noWrap w:val="0"/>
                  <w:vAlign w:val="center"/>
                </w:tcPr>
                <w:p>
                  <w:pPr>
                    <w:widowControl/>
                    <w:jc w:val="left"/>
                    <w:rPr>
                      <w:rFonts w:ascii="宋体" w:hAnsi="宋体" w:cs="宋体"/>
                      <w:kern w:val="0"/>
                      <w:sz w:val="18"/>
                      <w:szCs w:val="18"/>
                      <w:highlight w:val="none"/>
                    </w:rPr>
                  </w:pP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trPr>
              <w:tc>
                <w:tcPr>
                  <w:tcW w:w="698" w:type="dxa"/>
                  <w:noWrap w:val="0"/>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5</w:t>
                  </w:r>
                </w:p>
              </w:tc>
              <w:tc>
                <w:tcPr>
                  <w:tcW w:w="1126" w:type="dxa"/>
                  <w:noWrap w:val="0"/>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成果文件质量</w:t>
                  </w:r>
                </w:p>
              </w:tc>
              <w:tc>
                <w:tcPr>
                  <w:tcW w:w="806" w:type="dxa"/>
                  <w:noWrap w:val="0"/>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25</w:t>
                  </w:r>
                </w:p>
              </w:tc>
              <w:tc>
                <w:tcPr>
                  <w:tcW w:w="4362" w:type="dxa"/>
                  <w:noWrap w:val="0"/>
                  <w:vAlign w:val="center"/>
                </w:tcPr>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问题情形：①审批审核程序不正确；②签署不齐全；③结论不明确或存在错漏；④深度不满足有关技术标准规范要 求；⑤对甲方决策或项目造成不利影响 。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100%：没有出现以上情形的；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80%：出现以上任意1种情形的；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60%：出现以上任意2种情形的；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30%：出现以上任意3种情形的； </w:t>
                  </w:r>
                </w:p>
                <w:p>
                  <w:pPr>
                    <w:keepNext w:val="0"/>
                    <w:keepLines w:val="0"/>
                    <w:widowControl/>
                    <w:suppressLineNumbers w:val="0"/>
                    <w:jc w:val="left"/>
                    <w:rPr>
                      <w:rFonts w:ascii="宋体" w:hAnsi="宋体" w:cs="宋体"/>
                      <w:kern w:val="0"/>
                      <w:sz w:val="18"/>
                      <w:szCs w:val="18"/>
                      <w:highlight w:val="none"/>
                    </w:rPr>
                  </w:pPr>
                  <w:r>
                    <w:rPr>
                      <w:rFonts w:hint="eastAsia" w:ascii="宋体" w:hAnsi="宋体" w:eastAsia="宋体" w:cs="宋体"/>
                      <w:color w:val="000000"/>
                      <w:kern w:val="0"/>
                      <w:sz w:val="18"/>
                      <w:szCs w:val="18"/>
                      <w:highlight w:val="none"/>
                      <w:lang w:val="en-US" w:eastAsia="zh-CN" w:bidi="ar"/>
                    </w:rPr>
                    <w:t>0%：出现以上任意4种及以上情形的。</w:t>
                  </w:r>
                </w:p>
              </w:tc>
              <w:tc>
                <w:tcPr>
                  <w:tcW w:w="982" w:type="dxa"/>
                  <w:noWrap w:val="0"/>
                  <w:vAlign w:val="center"/>
                </w:tcPr>
                <w:p>
                  <w:pPr>
                    <w:widowControl/>
                    <w:jc w:val="left"/>
                    <w:rPr>
                      <w:rFonts w:ascii="宋体" w:hAnsi="宋体" w:cs="宋体"/>
                      <w:kern w:val="0"/>
                      <w:sz w:val="18"/>
                      <w:szCs w:val="18"/>
                      <w:highlight w:val="none"/>
                    </w:rPr>
                  </w:pP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698" w:type="dxa"/>
                  <w:noWrap w:val="0"/>
                  <w:vAlign w:val="center"/>
                </w:tcPr>
                <w:p>
                  <w:pPr>
                    <w:widowControl/>
                    <w:jc w:val="center"/>
                    <w:rPr>
                      <w:rFonts w:hint="eastAsia" w:ascii="宋体" w:hAnsi="宋体" w:eastAsia="宋体" w:cs="宋体"/>
                      <w:b/>
                      <w:kern w:val="0"/>
                      <w:sz w:val="18"/>
                      <w:szCs w:val="18"/>
                      <w:highlight w:val="none"/>
                    </w:rPr>
                  </w:pPr>
                  <w:r>
                    <w:rPr>
                      <w:rFonts w:hint="eastAsia" w:ascii="宋体" w:hAnsi="宋体" w:eastAsia="宋体" w:cs="宋体"/>
                      <w:b w:val="0"/>
                      <w:bCs/>
                      <w:kern w:val="0"/>
                      <w:sz w:val="18"/>
                      <w:szCs w:val="18"/>
                      <w:highlight w:val="none"/>
                    </w:rPr>
                    <w:t>三</w:t>
                  </w:r>
                </w:p>
              </w:tc>
              <w:tc>
                <w:tcPr>
                  <w:tcW w:w="1126" w:type="dxa"/>
                  <w:noWrap w:val="0"/>
                  <w:vAlign w:val="center"/>
                </w:tcPr>
                <w:p>
                  <w:pPr>
                    <w:widowControl/>
                    <w:jc w:val="left"/>
                    <w:rPr>
                      <w:rFonts w:hint="eastAsia" w:ascii="宋体" w:hAnsi="宋体" w:eastAsia="宋体" w:cs="宋体"/>
                      <w:b/>
                      <w:kern w:val="0"/>
                      <w:sz w:val="18"/>
                      <w:szCs w:val="18"/>
                      <w:highlight w:val="none"/>
                      <w:lang w:val="en-US" w:eastAsia="zh-CN"/>
                    </w:rPr>
                  </w:pPr>
                  <w:r>
                    <w:rPr>
                      <w:rFonts w:hint="eastAsia" w:ascii="宋体" w:hAnsi="宋体" w:eastAsia="宋体" w:cs="宋体"/>
                      <w:b/>
                      <w:kern w:val="0"/>
                      <w:sz w:val="18"/>
                      <w:szCs w:val="18"/>
                      <w:highlight w:val="none"/>
                    </w:rPr>
                    <w:t>履约</w:t>
                  </w:r>
                  <w:r>
                    <w:rPr>
                      <w:rFonts w:hint="eastAsia" w:ascii="宋体" w:hAnsi="宋体" w:eastAsia="宋体" w:cs="宋体"/>
                      <w:b/>
                      <w:kern w:val="0"/>
                      <w:sz w:val="18"/>
                      <w:szCs w:val="18"/>
                      <w:highlight w:val="none"/>
                      <w:lang w:val="en-US" w:eastAsia="zh-CN"/>
                    </w:rPr>
                    <w:t>进度</w:t>
                  </w:r>
                </w:p>
              </w:tc>
              <w:tc>
                <w:tcPr>
                  <w:tcW w:w="806" w:type="dxa"/>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b/>
                      <w:bCs/>
                      <w:kern w:val="0"/>
                      <w:sz w:val="18"/>
                      <w:szCs w:val="18"/>
                      <w:highlight w:val="none"/>
                    </w:rPr>
                    <w:t>1</w:t>
                  </w:r>
                  <w:r>
                    <w:rPr>
                      <w:rFonts w:hint="eastAsia" w:ascii="宋体" w:hAnsi="宋体" w:eastAsia="宋体" w:cs="宋体"/>
                      <w:b/>
                      <w:bCs/>
                      <w:kern w:val="0"/>
                      <w:sz w:val="18"/>
                      <w:szCs w:val="18"/>
                      <w:highlight w:val="none"/>
                      <w:lang w:val="en-US" w:eastAsia="zh-CN"/>
                    </w:rPr>
                    <w:t>5</w:t>
                  </w:r>
                </w:p>
              </w:tc>
              <w:tc>
                <w:tcPr>
                  <w:tcW w:w="4362" w:type="dxa"/>
                  <w:noWrap w:val="0"/>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982" w:type="dxa"/>
                  <w:noWrap w:val="0"/>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3" w:hRule="atLeast"/>
              </w:trPr>
              <w:tc>
                <w:tcPr>
                  <w:tcW w:w="698" w:type="dxa"/>
                  <w:vMerge w:val="restart"/>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6</w:t>
                  </w:r>
                </w:p>
              </w:tc>
              <w:tc>
                <w:tcPr>
                  <w:tcW w:w="1126" w:type="dxa"/>
                  <w:noWrap w:val="0"/>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工作时效性</w:t>
                  </w:r>
                </w:p>
              </w:tc>
              <w:tc>
                <w:tcPr>
                  <w:tcW w:w="806" w:type="dxa"/>
                  <w:vMerge w:val="restart"/>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cs="宋体"/>
                      <w:kern w:val="0"/>
                      <w:sz w:val="18"/>
                      <w:szCs w:val="18"/>
                      <w:highlight w:val="none"/>
                    </w:rPr>
                    <w:t>1</w:t>
                  </w:r>
                  <w:r>
                    <w:rPr>
                      <w:rFonts w:hint="eastAsia" w:ascii="宋体" w:hAnsi="宋体" w:cs="宋体"/>
                      <w:kern w:val="0"/>
                      <w:sz w:val="18"/>
                      <w:szCs w:val="18"/>
                      <w:highlight w:val="none"/>
                      <w:lang w:val="en-US" w:eastAsia="zh-CN"/>
                    </w:rPr>
                    <w:t>5</w:t>
                  </w:r>
                </w:p>
              </w:tc>
              <w:tc>
                <w:tcPr>
                  <w:tcW w:w="4362" w:type="dxa"/>
                  <w:noWrap w:val="0"/>
                  <w:vAlign w:val="center"/>
                </w:tcPr>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100%：能够及时地按照合同要求完成各阶段的工作，能够提前提供符合工作质量要求的成果文件或咨询服务 ；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80%：能够比较及时地按照合同要求完成各阶段的工作，能够按时提供符合工作质量要求的成果文件或咨询服务；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60%：能够基本及时地按照合同要求完成各阶段的工作，基本能按时提供符合工作质量要求的成果文件或咨询服务；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30%：不能及时按照合同要求完成各阶段的工作，或不能够按时提供符合工作质量要求的成果文件或咨询服务，或虽按时提交但不符合工作质量要求； </w:t>
                  </w:r>
                </w:p>
                <w:p>
                  <w:pPr>
                    <w:keepNext w:val="0"/>
                    <w:keepLines w:val="0"/>
                    <w:widowControl/>
                    <w:suppressLineNumbers w:val="0"/>
                    <w:jc w:val="left"/>
                    <w:rPr>
                      <w:rFonts w:ascii="宋体" w:hAnsi="宋体" w:cs="宋体"/>
                      <w:kern w:val="0"/>
                      <w:sz w:val="18"/>
                      <w:szCs w:val="18"/>
                      <w:highlight w:val="none"/>
                    </w:rPr>
                  </w:pPr>
                  <w:r>
                    <w:rPr>
                      <w:rFonts w:hint="eastAsia" w:ascii="宋体" w:hAnsi="宋体" w:eastAsia="宋体" w:cs="宋体"/>
                      <w:color w:val="000000"/>
                      <w:kern w:val="0"/>
                      <w:sz w:val="18"/>
                      <w:szCs w:val="18"/>
                      <w:highlight w:val="none"/>
                      <w:lang w:val="en-US" w:eastAsia="zh-CN" w:bidi="ar"/>
                    </w:rPr>
                    <w:t>0%：不按照合同要求完成各阶段的工作 ，或不提供成果文件或咨询服务，或经多次督促后仍未整改。</w:t>
                  </w:r>
                  <w:r>
                    <w:rPr>
                      <w:rFonts w:hint="eastAsia" w:ascii="宋体" w:hAnsi="宋体" w:cs="宋体"/>
                      <w:kern w:val="0"/>
                      <w:sz w:val="18"/>
                      <w:szCs w:val="18"/>
                      <w:highlight w:val="none"/>
                    </w:rPr>
                    <w:t xml:space="preserve">                                </w:t>
                  </w:r>
                </w:p>
              </w:tc>
              <w:tc>
                <w:tcPr>
                  <w:tcW w:w="982" w:type="dxa"/>
                  <w:noWrap w:val="0"/>
                  <w:vAlign w:val="center"/>
                </w:tcPr>
                <w:p>
                  <w:pPr>
                    <w:widowControl/>
                    <w:jc w:val="left"/>
                    <w:rPr>
                      <w:rFonts w:ascii="宋体" w:hAnsi="宋体" w:cs="宋体"/>
                      <w:kern w:val="0"/>
                      <w:sz w:val="18"/>
                      <w:szCs w:val="18"/>
                      <w:highlight w:val="none"/>
                    </w:rPr>
                  </w:pP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3" w:hRule="atLeast"/>
              </w:trPr>
              <w:tc>
                <w:tcPr>
                  <w:tcW w:w="698" w:type="dxa"/>
                  <w:vMerge w:val="continue"/>
                  <w:noWrap w:val="0"/>
                  <w:vAlign w:val="center"/>
                </w:tcPr>
                <w:p>
                  <w:pPr>
                    <w:widowControl/>
                    <w:jc w:val="center"/>
                    <w:rPr>
                      <w:rFonts w:hint="eastAsia" w:ascii="宋体" w:hAnsi="宋体" w:cs="宋体"/>
                      <w:kern w:val="0"/>
                      <w:sz w:val="18"/>
                      <w:szCs w:val="18"/>
                      <w:highlight w:val="none"/>
                      <w:lang w:val="en-US" w:eastAsia="zh-CN"/>
                    </w:rPr>
                  </w:pPr>
                </w:p>
              </w:tc>
              <w:tc>
                <w:tcPr>
                  <w:tcW w:w="1126" w:type="dxa"/>
                  <w:noWrap w:val="0"/>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结算办理</w:t>
                  </w:r>
                </w:p>
              </w:tc>
              <w:tc>
                <w:tcPr>
                  <w:tcW w:w="806" w:type="dxa"/>
                  <w:vMerge w:val="continue"/>
                  <w:noWrap w:val="0"/>
                  <w:vAlign w:val="center"/>
                </w:tcPr>
                <w:p>
                  <w:pPr>
                    <w:widowControl/>
                    <w:jc w:val="center"/>
                    <w:rPr>
                      <w:rFonts w:hint="eastAsia" w:ascii="宋体" w:hAnsi="宋体" w:cs="宋体"/>
                      <w:kern w:val="0"/>
                      <w:sz w:val="18"/>
                      <w:szCs w:val="18"/>
                      <w:highlight w:val="none"/>
                    </w:rPr>
                  </w:pPr>
                </w:p>
              </w:tc>
              <w:tc>
                <w:tcPr>
                  <w:tcW w:w="4362" w:type="dxa"/>
                  <w:noWrap w:val="0"/>
                  <w:vAlign w:val="center"/>
                </w:tcPr>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100%：在合同约定时限内提交合格的结算报告；结算资料完整有效；结算准确无误，不存在弄虚作假、高估冒算情况；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80%：在合同约定时限内提交结算报告，有少量错漏问题经审查后补正，较好地配合审核及评审工作；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60%：在合同约定时限内提交结算报告，有少量错漏问题经审查后补正，基本配合审核及评审工作；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30%：在合同约定时限内提交结算报告，有较多错漏问题经审查后补正，配合审核及评审工作不符合要求； </w:t>
                  </w:r>
                </w:p>
                <w:p>
                  <w:pPr>
                    <w:keepNext w:val="0"/>
                    <w:keepLines w:val="0"/>
                    <w:widowControl/>
                    <w:suppressLineNumbers w:val="0"/>
                    <w:jc w:val="left"/>
                    <w:rPr>
                      <w:rFonts w:hint="eastAsia" w:ascii="宋体" w:hAnsi="宋体" w:cs="宋体"/>
                      <w:kern w:val="0"/>
                      <w:sz w:val="18"/>
                      <w:szCs w:val="18"/>
                      <w:highlight w:val="none"/>
                    </w:rPr>
                  </w:pPr>
                  <w:r>
                    <w:rPr>
                      <w:rFonts w:hint="eastAsia" w:ascii="宋体" w:hAnsi="宋体" w:eastAsia="宋体" w:cs="宋体"/>
                      <w:color w:val="000000"/>
                      <w:kern w:val="0"/>
                      <w:sz w:val="18"/>
                      <w:szCs w:val="18"/>
                      <w:highlight w:val="none"/>
                      <w:lang w:val="en-US" w:eastAsia="zh-CN" w:bidi="ar"/>
                    </w:rPr>
                    <w:t>0%：未按合同约定时限提交结算报告，或不同意审核结果且不提供结算支撑依据。</w:t>
                  </w:r>
                </w:p>
              </w:tc>
              <w:tc>
                <w:tcPr>
                  <w:tcW w:w="982" w:type="dxa"/>
                  <w:noWrap w:val="0"/>
                  <w:vAlign w:val="center"/>
                </w:tcPr>
                <w:p>
                  <w:pPr>
                    <w:widowControl/>
                    <w:jc w:val="left"/>
                    <w:rPr>
                      <w:rFonts w:ascii="宋体" w:hAnsi="宋体" w:cs="宋体"/>
                      <w:kern w:val="0"/>
                      <w:sz w:val="18"/>
                      <w:szCs w:val="18"/>
                      <w:highlight w:val="none"/>
                    </w:rPr>
                  </w:pP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698" w:type="dxa"/>
                  <w:noWrap w:val="0"/>
                  <w:vAlign w:val="center"/>
                </w:tcPr>
                <w:p>
                  <w:pPr>
                    <w:widowControl/>
                    <w:jc w:val="center"/>
                    <w:rPr>
                      <w:rFonts w:hint="eastAsia" w:ascii="宋体" w:hAnsi="宋体" w:eastAsia="宋体" w:cs="宋体"/>
                      <w:b/>
                      <w:kern w:val="0"/>
                      <w:sz w:val="18"/>
                      <w:szCs w:val="18"/>
                      <w:highlight w:val="none"/>
                    </w:rPr>
                  </w:pPr>
                  <w:r>
                    <w:rPr>
                      <w:rFonts w:hint="eastAsia" w:ascii="宋体" w:hAnsi="宋体" w:eastAsia="宋体" w:cs="宋体"/>
                      <w:b/>
                      <w:kern w:val="0"/>
                      <w:sz w:val="18"/>
                      <w:szCs w:val="18"/>
                      <w:highlight w:val="none"/>
                    </w:rPr>
                    <w:t>四</w:t>
                  </w:r>
                </w:p>
              </w:tc>
              <w:tc>
                <w:tcPr>
                  <w:tcW w:w="1126" w:type="dxa"/>
                  <w:noWrap w:val="0"/>
                  <w:vAlign w:val="center"/>
                </w:tcPr>
                <w:p>
                  <w:pPr>
                    <w:widowControl/>
                    <w:jc w:val="left"/>
                    <w:rPr>
                      <w:rFonts w:hint="eastAsia" w:ascii="宋体" w:hAnsi="宋体" w:eastAsia="宋体" w:cs="宋体"/>
                      <w:b/>
                      <w:kern w:val="0"/>
                      <w:sz w:val="18"/>
                      <w:szCs w:val="18"/>
                      <w:highlight w:val="none"/>
                      <w:lang w:val="en-US" w:eastAsia="zh-CN"/>
                    </w:rPr>
                  </w:pPr>
                  <w:r>
                    <w:rPr>
                      <w:rFonts w:hint="eastAsia" w:ascii="宋体" w:hAnsi="宋体" w:eastAsia="宋体" w:cs="宋体"/>
                      <w:b/>
                      <w:kern w:val="0"/>
                      <w:sz w:val="18"/>
                      <w:szCs w:val="18"/>
                      <w:highlight w:val="none"/>
                    </w:rPr>
                    <w:t>配合</w:t>
                  </w:r>
                  <w:r>
                    <w:rPr>
                      <w:rFonts w:hint="eastAsia" w:ascii="宋体" w:hAnsi="宋体" w:eastAsia="宋体" w:cs="宋体"/>
                      <w:b/>
                      <w:kern w:val="0"/>
                      <w:sz w:val="18"/>
                      <w:szCs w:val="18"/>
                      <w:highlight w:val="none"/>
                      <w:lang w:val="en-US" w:eastAsia="zh-CN"/>
                    </w:rPr>
                    <w:t>与协调</w:t>
                  </w:r>
                </w:p>
              </w:tc>
              <w:tc>
                <w:tcPr>
                  <w:tcW w:w="806" w:type="dxa"/>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eastAsia="宋体" w:cs="宋体"/>
                      <w:b/>
                      <w:bCs/>
                      <w:kern w:val="0"/>
                      <w:sz w:val="18"/>
                      <w:szCs w:val="18"/>
                      <w:highlight w:val="none"/>
                      <w:lang w:val="en-US" w:eastAsia="zh-CN"/>
                    </w:rPr>
                    <w:t>20</w:t>
                  </w:r>
                </w:p>
              </w:tc>
              <w:tc>
                <w:tcPr>
                  <w:tcW w:w="4362" w:type="dxa"/>
                  <w:noWrap w:val="0"/>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982" w:type="dxa"/>
                  <w:noWrap w:val="0"/>
                  <w:vAlign w:val="center"/>
                </w:tcPr>
                <w:p>
                  <w:pPr>
                    <w:widowControl/>
                    <w:jc w:val="left"/>
                    <w:rPr>
                      <w:rFonts w:ascii="宋体" w:hAnsi="宋体" w:cs="宋体"/>
                      <w:kern w:val="0"/>
                      <w:sz w:val="18"/>
                      <w:szCs w:val="18"/>
                      <w:highlight w:val="none"/>
                    </w:rPr>
                  </w:pP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98" w:type="dxa"/>
                  <w:noWrap w:val="0"/>
                  <w:vAlign w:val="center"/>
                </w:tcPr>
                <w:p>
                  <w:pPr>
                    <w:widowControl/>
                    <w:jc w:val="center"/>
                    <w:rPr>
                      <w:rFonts w:hint="eastAsia"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7</w:t>
                  </w:r>
                </w:p>
              </w:tc>
              <w:tc>
                <w:tcPr>
                  <w:tcW w:w="1126" w:type="dxa"/>
                  <w:noWrap w:val="0"/>
                  <w:vAlign w:val="center"/>
                </w:tcPr>
                <w:p>
                  <w:pPr>
                    <w:widowControl/>
                    <w:jc w:val="left"/>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配合与协调</w:t>
                  </w:r>
                </w:p>
              </w:tc>
              <w:tc>
                <w:tcPr>
                  <w:tcW w:w="806" w:type="dxa"/>
                  <w:noWrap w:val="0"/>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20</w:t>
                  </w:r>
                </w:p>
              </w:tc>
              <w:tc>
                <w:tcPr>
                  <w:tcW w:w="4362" w:type="dxa"/>
                  <w:noWrap w:val="0"/>
                  <w:vAlign w:val="center"/>
                </w:tcPr>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100%：能够积极主动地配合各方工作 ，善于沟通协调，能够妥善处理各项问题，积极参加相关会议；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80%：能够配合各方工作，通过沟通与协调，能够较好地解决工作中各项问题 ，按要求参加相关会议；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60%：基本能够配合各方工作，基本能够解决工作中各项问题 ，基本按要求参加相关会议； </w:t>
                  </w:r>
                </w:p>
                <w:p>
                  <w:pPr>
                    <w:keepNext w:val="0"/>
                    <w:keepLines w:val="0"/>
                    <w:widowControl/>
                    <w:suppressLineNumbers w:val="0"/>
                    <w:jc w:val="left"/>
                    <w:rPr>
                      <w:sz w:val="18"/>
                      <w:szCs w:val="18"/>
                      <w:highlight w:val="none"/>
                    </w:rPr>
                  </w:pPr>
                  <w:r>
                    <w:rPr>
                      <w:rFonts w:hint="eastAsia" w:ascii="宋体" w:hAnsi="宋体" w:eastAsia="宋体" w:cs="宋体"/>
                      <w:color w:val="000000"/>
                      <w:kern w:val="0"/>
                      <w:sz w:val="18"/>
                      <w:szCs w:val="18"/>
                      <w:highlight w:val="none"/>
                      <w:lang w:val="en-US" w:eastAsia="zh-CN" w:bidi="ar"/>
                    </w:rPr>
                    <w:t xml:space="preserve">30%：配合各方工作不到位，或未能有效解决部分问题 ，或不及时参加相关会议； </w:t>
                  </w:r>
                </w:p>
                <w:p>
                  <w:pPr>
                    <w:keepNext w:val="0"/>
                    <w:keepLines w:val="0"/>
                    <w:widowControl/>
                    <w:suppressLineNumbers w:val="0"/>
                    <w:jc w:val="left"/>
                    <w:rPr>
                      <w:rFonts w:ascii="宋体" w:hAnsi="宋体" w:cs="宋体"/>
                      <w:kern w:val="0"/>
                      <w:sz w:val="18"/>
                      <w:szCs w:val="18"/>
                      <w:highlight w:val="none"/>
                    </w:rPr>
                  </w:pPr>
                  <w:r>
                    <w:rPr>
                      <w:rFonts w:hint="eastAsia" w:ascii="宋体" w:hAnsi="宋体" w:eastAsia="宋体" w:cs="宋体"/>
                      <w:color w:val="000000"/>
                      <w:kern w:val="0"/>
                      <w:sz w:val="18"/>
                      <w:szCs w:val="18"/>
                      <w:highlight w:val="none"/>
                      <w:lang w:val="en-US" w:eastAsia="zh-CN" w:bidi="ar"/>
                    </w:rPr>
                    <w:t>0%：不配合各方工作，或难以沟通，或不能解决各项问题，或不按要求参加会议。</w:t>
                  </w:r>
                </w:p>
              </w:tc>
              <w:tc>
                <w:tcPr>
                  <w:tcW w:w="982" w:type="dxa"/>
                  <w:noWrap w:val="0"/>
                  <w:vAlign w:val="center"/>
                </w:tcPr>
                <w:p>
                  <w:pPr>
                    <w:widowControl/>
                    <w:jc w:val="left"/>
                    <w:rPr>
                      <w:rFonts w:ascii="宋体" w:hAnsi="宋体" w:cs="宋体"/>
                      <w:kern w:val="0"/>
                      <w:sz w:val="18"/>
                      <w:szCs w:val="18"/>
                      <w:highlight w:val="none"/>
                    </w:rPr>
                  </w:pPr>
                </w:p>
              </w:tc>
              <w:tc>
                <w:tcPr>
                  <w:tcW w:w="1014" w:type="dxa"/>
                  <w:noWrap w:val="0"/>
                  <w:vAlign w:val="top"/>
                </w:tcPr>
                <w:p>
                  <w:pPr>
                    <w:widowControl/>
                    <w:jc w:val="left"/>
                    <w:rPr>
                      <w:rFonts w:ascii="宋体" w:hAnsi="宋体" w:cs="宋体"/>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698" w:type="dxa"/>
                  <w:noWrap w:val="0"/>
                  <w:vAlign w:val="center"/>
                </w:tcPr>
                <w:p>
                  <w:pPr>
                    <w:widowControl/>
                    <w:jc w:val="center"/>
                    <w:rPr>
                      <w:kern w:val="0"/>
                      <w:sz w:val="24"/>
                      <w:highlight w:val="none"/>
                    </w:rPr>
                  </w:pPr>
                </w:p>
              </w:tc>
              <w:tc>
                <w:tcPr>
                  <w:tcW w:w="1126" w:type="dxa"/>
                  <w:noWrap w:val="0"/>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xml:space="preserve"> </w:t>
                  </w:r>
                  <w:r>
                    <w:rPr>
                      <w:rFonts w:hint="eastAsia" w:ascii="宋体" w:hAnsi="宋体" w:cs="宋体"/>
                      <w:kern w:val="0"/>
                      <w:sz w:val="18"/>
                      <w:szCs w:val="18"/>
                      <w:highlight w:val="none"/>
                    </w:rPr>
                    <w:t>合  计</w:t>
                  </w:r>
                </w:p>
              </w:tc>
              <w:tc>
                <w:tcPr>
                  <w:tcW w:w="806" w:type="dxa"/>
                  <w:noWrap w:val="0"/>
                  <w:vAlign w:val="center"/>
                </w:tcPr>
                <w:p>
                  <w:pPr>
                    <w:widowControl/>
                    <w:jc w:val="center"/>
                    <w:rPr>
                      <w:rFonts w:ascii="黑体" w:hAnsi="宋体" w:eastAsia="黑体" w:cs="宋体"/>
                      <w:kern w:val="0"/>
                      <w:sz w:val="24"/>
                      <w:highlight w:val="none"/>
                    </w:rPr>
                  </w:pPr>
                  <w:r>
                    <w:rPr>
                      <w:rFonts w:hint="eastAsia" w:ascii="宋体" w:hAnsi="宋体" w:cs="宋体"/>
                      <w:kern w:val="0"/>
                      <w:sz w:val="18"/>
                      <w:szCs w:val="18"/>
                      <w:highlight w:val="none"/>
                    </w:rPr>
                    <w:t>100</w:t>
                  </w:r>
                </w:p>
              </w:tc>
              <w:tc>
                <w:tcPr>
                  <w:tcW w:w="4362" w:type="dxa"/>
                  <w:noWrap w:val="0"/>
                  <w:vAlign w:val="center"/>
                </w:tcPr>
                <w:p>
                  <w:pPr>
                    <w:widowControl/>
                    <w:jc w:val="left"/>
                    <w:rPr>
                      <w:rFonts w:ascii="黑体" w:hAnsi="宋体" w:eastAsia="黑体" w:cs="宋体"/>
                      <w:kern w:val="0"/>
                      <w:sz w:val="24"/>
                      <w:highlight w:val="none"/>
                    </w:rPr>
                  </w:pPr>
                </w:p>
              </w:tc>
              <w:tc>
                <w:tcPr>
                  <w:tcW w:w="982" w:type="dxa"/>
                  <w:noWrap w:val="0"/>
                  <w:vAlign w:val="center"/>
                </w:tcPr>
                <w:p>
                  <w:pPr>
                    <w:widowControl/>
                    <w:jc w:val="left"/>
                    <w:rPr>
                      <w:rFonts w:ascii="黑体" w:hAnsi="宋体" w:eastAsia="黑体" w:cs="宋体"/>
                      <w:kern w:val="0"/>
                      <w:sz w:val="24"/>
                      <w:highlight w:val="none"/>
                    </w:rPr>
                  </w:pPr>
                </w:p>
              </w:tc>
              <w:tc>
                <w:tcPr>
                  <w:tcW w:w="1014" w:type="dxa"/>
                  <w:noWrap w:val="0"/>
                  <w:vAlign w:val="top"/>
                </w:tcPr>
                <w:p>
                  <w:pPr>
                    <w:widowControl/>
                    <w:jc w:val="left"/>
                    <w:rPr>
                      <w:rFonts w:ascii="黑体" w:hAnsi="宋体" w:eastAsia="黑体" w:cs="宋体"/>
                      <w:kern w:val="0"/>
                      <w:sz w:val="24"/>
                      <w:highlight w:val="none"/>
                    </w:rPr>
                  </w:pPr>
                </w:p>
              </w:tc>
            </w:tr>
          </w:tbl>
          <w:p>
            <w:pPr>
              <w:widowControl/>
              <w:jc w:val="left"/>
              <w:rPr>
                <w:rFonts w:ascii="宋体" w:hAnsi="宋体" w:cs="宋体"/>
                <w:kern w:val="0"/>
                <w:sz w:val="18"/>
                <w:szCs w:val="18"/>
                <w:highlight w:val="none"/>
              </w:rPr>
            </w:pPr>
          </w:p>
        </w:tc>
        <w:tc>
          <w:tcPr>
            <w:tcW w:w="992" w:type="dxa"/>
            <w:tcBorders>
              <w:top w:val="nil"/>
              <w:left w:val="nil"/>
              <w:bottom w:val="nil"/>
              <w:right w:val="nil"/>
            </w:tcBorders>
            <w:noWrap w:val="0"/>
            <w:vAlign w:val="top"/>
          </w:tcPr>
          <w:p>
            <w:pPr>
              <w:widowControl/>
              <w:jc w:val="left"/>
              <w:rPr>
                <w:rFonts w:ascii="宋体" w:hAnsi="宋体" w:cs="宋体"/>
                <w:kern w:val="0"/>
                <w:szCs w:val="21"/>
                <w:highlight w:val="none"/>
              </w:rPr>
            </w:pPr>
          </w:p>
        </w:tc>
      </w:tr>
    </w:tbl>
    <w:p>
      <w:pPr>
        <w:rPr>
          <w:rFonts w:ascii="仿宋_GB2312" w:hAnsi="宋体" w:eastAsia="仿宋_GB2312" w:cs="宋体"/>
          <w:kern w:val="0"/>
          <w:sz w:val="18"/>
          <w:szCs w:val="18"/>
          <w:highlight w:val="none"/>
        </w:rPr>
      </w:pPr>
      <w:r>
        <w:rPr>
          <w:rFonts w:hint="eastAsia" w:ascii="仿宋_GB2312" w:eastAsia="仿宋_GB2312"/>
          <w:sz w:val="24"/>
          <w:highlight w:val="none"/>
        </w:rPr>
        <w:t>履约评价小组：                                     时间：</w:t>
      </w:r>
    </w:p>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备注：履约评价评分采用百分制，综合考评结果分为优秀（评分≥90分）、良好（80≤评分&lt;90分）、</w:t>
      </w:r>
      <w:r>
        <w:rPr>
          <w:rFonts w:hint="eastAsia" w:ascii="宋体" w:hAnsi="宋体" w:cs="宋体"/>
          <w:kern w:val="0"/>
          <w:sz w:val="18"/>
          <w:szCs w:val="18"/>
          <w:highlight w:val="none"/>
          <w:lang w:val="en-US" w:eastAsia="zh-CN"/>
        </w:rPr>
        <w:t>中等（7</w:t>
      </w:r>
      <w:r>
        <w:rPr>
          <w:rFonts w:hint="eastAsia" w:ascii="宋体" w:hAnsi="宋体" w:cs="宋体"/>
          <w:kern w:val="0"/>
          <w:sz w:val="18"/>
          <w:szCs w:val="18"/>
          <w:highlight w:val="none"/>
        </w:rPr>
        <w:t>0≤评分&lt;</w:t>
      </w:r>
      <w:r>
        <w:rPr>
          <w:rFonts w:hint="eastAsia" w:ascii="宋体" w:hAnsi="宋体" w:cs="宋体"/>
          <w:kern w:val="0"/>
          <w:sz w:val="18"/>
          <w:szCs w:val="18"/>
          <w:highlight w:val="none"/>
          <w:lang w:val="en-US" w:eastAsia="zh-CN"/>
        </w:rPr>
        <w:t>8</w:t>
      </w:r>
      <w:r>
        <w:rPr>
          <w:rFonts w:hint="eastAsia" w:ascii="宋体" w:hAnsi="宋体" w:cs="宋体"/>
          <w:kern w:val="0"/>
          <w:sz w:val="18"/>
          <w:szCs w:val="18"/>
          <w:highlight w:val="none"/>
        </w:rPr>
        <w:t>0分</w:t>
      </w:r>
      <w:r>
        <w:rPr>
          <w:rFonts w:hint="eastAsia" w:ascii="宋体" w:hAnsi="宋体" w:cs="宋体"/>
          <w:kern w:val="0"/>
          <w:sz w:val="18"/>
          <w:szCs w:val="18"/>
          <w:highlight w:val="none"/>
          <w:lang w:val="en-US" w:eastAsia="zh-CN"/>
        </w:rPr>
        <w:t>）、</w:t>
      </w:r>
      <w:r>
        <w:rPr>
          <w:rFonts w:hint="eastAsia" w:ascii="宋体" w:hAnsi="宋体" w:cs="宋体"/>
          <w:kern w:val="0"/>
          <w:sz w:val="18"/>
          <w:szCs w:val="18"/>
          <w:highlight w:val="none"/>
        </w:rPr>
        <w:t>合格（60≤评分&lt;</w:t>
      </w:r>
      <w:r>
        <w:rPr>
          <w:rFonts w:hint="eastAsia" w:ascii="宋体" w:hAnsi="宋体" w:cs="宋体"/>
          <w:kern w:val="0"/>
          <w:sz w:val="18"/>
          <w:szCs w:val="18"/>
          <w:highlight w:val="none"/>
          <w:lang w:val="en-US" w:eastAsia="zh-CN"/>
        </w:rPr>
        <w:t>7</w:t>
      </w:r>
      <w:r>
        <w:rPr>
          <w:rFonts w:hint="eastAsia" w:ascii="宋体" w:hAnsi="宋体" w:cs="宋体"/>
          <w:kern w:val="0"/>
          <w:sz w:val="18"/>
          <w:szCs w:val="18"/>
          <w:highlight w:val="none"/>
        </w:rPr>
        <w:t>0分）、不合格(评分&lt;60分)</w:t>
      </w:r>
      <w:r>
        <w:rPr>
          <w:rFonts w:hint="eastAsia" w:ascii="宋体" w:hAnsi="宋体" w:cs="宋体"/>
          <w:kern w:val="0"/>
          <w:sz w:val="18"/>
          <w:szCs w:val="18"/>
          <w:highlight w:val="none"/>
          <w:lang w:val="en-US" w:eastAsia="zh-CN"/>
        </w:rPr>
        <w:t>5</w:t>
      </w:r>
      <w:r>
        <w:rPr>
          <w:rFonts w:hint="eastAsia" w:ascii="宋体" w:hAnsi="宋体" w:cs="宋体"/>
          <w:kern w:val="0"/>
          <w:sz w:val="18"/>
          <w:szCs w:val="18"/>
          <w:highlight w:val="none"/>
        </w:rPr>
        <w:t>个等级。</w:t>
      </w:r>
    </w:p>
    <w:p>
      <w:pPr>
        <w:spacing w:line="360" w:lineRule="auto"/>
        <w:rPr>
          <w:rFonts w:hint="eastAsia" w:ascii="仿宋_GB2312" w:eastAsia="仿宋_GB2312"/>
          <w:sz w:val="18"/>
          <w:szCs w:val="18"/>
          <w:highlight w:val="none"/>
        </w:rPr>
      </w:pPr>
    </w:p>
    <w:p>
      <w:pPr>
        <w:rPr>
          <w:highlight w:val="none"/>
        </w:rPr>
      </w:pPr>
    </w:p>
    <w:sectPr>
      <w:footerReference r:id="rId3" w:type="default"/>
      <w:footerReference r:id="rId4" w:type="even"/>
      <w:pgSz w:w="11906" w:h="16838"/>
      <w:pgMar w:top="1440" w:right="1418" w:bottom="1440"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 w:val="clear" w:pos="4140"/>
        <w:tab w:val="clear" w:pos="8300"/>
      </w:tabs>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tabs>
        <w:tab w:val="center" w:pos="4153"/>
        <w:tab w:val="right" w:pos="8306"/>
        <w:tab w:val="clear" w:pos="4140"/>
        <w:tab w:val="clear" w:pos="8300"/>
      </w:tabs>
      <w:rPr>
        <w:rStyle w:val="7"/>
      </w:rPr>
    </w:pPr>
    <w:r>
      <w:rPr>
        <w:rStyle w:val="7"/>
      </w:rPr>
      <w:fldChar w:fldCharType="begin"/>
    </w:r>
    <w:r>
      <w:rPr>
        <w:rStyle w:val="7"/>
      </w:rPr>
      <w:instrText xml:space="preserve">PAGE  </w:instrText>
    </w:r>
    <w:r>
      <w:rPr>
        <w:rStyle w:val="7"/>
      </w:rPr>
      <w:fldChar w:fldCharType="end"/>
    </w:r>
  </w:p>
  <w:p>
    <w:pPr>
      <w:pStyle w:val="3"/>
      <w:tabs>
        <w:tab w:val="center" w:pos="4153"/>
        <w:tab w:val="right" w:pos="8306"/>
        <w:tab w:val="clear" w:pos="4140"/>
        <w:tab w:val="clear" w:pos="8300"/>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DI0ZWExNGZkY2ZjZDQxYzU1Njg1MzI3M2Q1YWQifQ=="/>
  </w:docVars>
  <w:rsids>
    <w:rsidRoot w:val="5F1F7799"/>
    <w:rsid w:val="006B4F71"/>
    <w:rsid w:val="0159126E"/>
    <w:rsid w:val="03EC63C9"/>
    <w:rsid w:val="121C431D"/>
    <w:rsid w:val="1A82318C"/>
    <w:rsid w:val="1B707488"/>
    <w:rsid w:val="2D0143E4"/>
    <w:rsid w:val="377D6D5D"/>
    <w:rsid w:val="3AD273C0"/>
    <w:rsid w:val="4FD73056"/>
    <w:rsid w:val="54F63F7F"/>
    <w:rsid w:val="5DED7EE9"/>
    <w:rsid w:val="5F1F7799"/>
    <w:rsid w:val="68692862"/>
    <w:rsid w:val="6C3B3A43"/>
    <w:rsid w:val="765E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rFonts w:ascii="Times New Roman" w:hAnsi="Times New Roman" w:eastAsia="宋体" w:cs="Times New Roman"/>
      <w:sz w:val="28"/>
    </w:rPr>
  </w:style>
  <w:style w:type="paragraph" w:styleId="3">
    <w:name w:val="footer"/>
    <w:basedOn w:val="1"/>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paragraph" w:styleId="4">
    <w:name w:val="toc 1"/>
    <w:basedOn w:val="1"/>
    <w:next w:val="1"/>
    <w:unhideWhenUsed/>
    <w:qFormat/>
    <w:uiPriority w:val="39"/>
    <w:pPr>
      <w:spacing w:before="120" w:after="120"/>
      <w:jc w:val="left"/>
    </w:pPr>
    <w:rPr>
      <w:rFonts w:ascii="Calibri" w:hAnsi="Calibri" w:cs="Calibri"/>
      <w:b/>
      <w:bCs/>
      <w:caps/>
      <w:sz w:val="20"/>
      <w:szCs w:val="20"/>
    </w:rPr>
  </w:style>
  <w:style w:type="character" w:styleId="7">
    <w:name w:val="page number"/>
    <w:qFormat/>
    <w:uiPriority w:val="0"/>
    <w:rPr>
      <w:rFonts w:ascii="Times New Roman" w:hAnsi="Times New Roman" w:eastAsia="宋体" w:cs="Times New Roman"/>
    </w:rPr>
  </w:style>
  <w:style w:type="paragraph" w:styleId="8">
    <w:name w:val="List Paragraph"/>
    <w:basedOn w:val="1"/>
    <w:autoRedefine/>
    <w:qFormat/>
    <w:uiPriority w:val="0"/>
    <w:pPr>
      <w:ind w:firstLine="420" w:firstLineChars="200"/>
      <w:jc w:val="left"/>
    </w:pPr>
    <w:rPr>
      <w:rFonts w:ascii="Times New Roman" w:hAnsi="Times New Roman" w:eastAsia="PMingLiU" w:cs="Times New Roman"/>
      <w:sz w:val="24"/>
      <w:lang w:eastAsia="zh-TW"/>
    </w:rPr>
  </w:style>
  <w:style w:type="paragraph" w:customStyle="1" w:styleId="9">
    <w:name w:val="样式 样式 正文缩进 + 首行缩进:  2 字符 + 首行缩进:  2 字符"/>
    <w:basedOn w:val="1"/>
    <w:autoRedefine/>
    <w:qFormat/>
    <w:uiPriority w:val="0"/>
    <w:pPr>
      <w:adjustRightInd w:val="0"/>
      <w:ind w:firstLine="200"/>
      <w:textAlignment w:val="baseline"/>
    </w:pPr>
    <w:rPr>
      <w:rFonts w:ascii="Times New Roman" w:hAnsi="Times New Roman" w:eastAsia="宋体" w:cs="宋体"/>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2024-01-17T01:30:00Z</dcterms:created>
  <dc:creator>贺小鸿</dc:creator>
  <cp:lastModifiedBy>贺小鸿</cp:lastModifiedBy>
  <dcterms:modified xsi:type="dcterms:W3CDTF">2024-01-18T01:38:48Z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00095AE154664B59BAF1961F0164BDEC_11</vt:lpwstr>
  </property>
</Properties>
</file>