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仿宋" w:hAnsi="仿宋"/>
          <w:b/>
          <w:color w:val="auto"/>
          <w:sz w:val="32"/>
          <w:szCs w:val="32"/>
          <w:highlight w:val="none"/>
        </w:rPr>
      </w:pPr>
      <w:r>
        <w:rPr>
          <w:rFonts w:hint="eastAsia" w:ascii="仿宋" w:hAnsi="仿宋"/>
          <w:color w:val="auto"/>
          <w:sz w:val="28"/>
          <w:szCs w:val="28"/>
          <w:highlight w:val="none"/>
        </w:rPr>
        <w:t>附</w:t>
      </w:r>
      <w:r>
        <w:rPr>
          <w:rFonts w:hint="eastAsia" w:ascii="等线" w:hAnsi="等线" w:eastAsia="等线"/>
          <w:color w:val="auto"/>
          <w:sz w:val="28"/>
          <w:szCs w:val="28"/>
          <w:highlight w:val="none"/>
        </w:rPr>
        <w:t>件</w:t>
      </w:r>
      <w:r>
        <w:rPr>
          <w:rFonts w:ascii="仿宋" w:hAnsi="仿宋" w:eastAsia="等线"/>
          <w:color w:val="auto"/>
          <w:sz w:val="28"/>
          <w:szCs w:val="28"/>
          <w:highlight w:val="none"/>
        </w:rPr>
        <w:t>1</w:t>
      </w:r>
      <w:r>
        <w:rPr>
          <w:rFonts w:hint="eastAsia" w:ascii="仿宋" w:hAnsi="仿宋"/>
          <w:color w:val="auto"/>
          <w:sz w:val="28"/>
          <w:szCs w:val="28"/>
          <w:highlight w:val="none"/>
        </w:rPr>
        <w:t>：</w:t>
      </w:r>
    </w:p>
    <w:p>
      <w:pPr>
        <w:jc w:val="center"/>
        <w:rPr>
          <w:rFonts w:ascii="仿宋" w:hAnsi="仿宋"/>
          <w:b/>
          <w:color w:val="auto"/>
          <w:sz w:val="32"/>
          <w:szCs w:val="32"/>
          <w:highlight w:val="none"/>
        </w:rPr>
      </w:pPr>
      <w:r>
        <w:rPr>
          <w:rFonts w:hint="eastAsia" w:ascii="仿宋" w:hAnsi="仿宋"/>
          <w:b/>
          <w:color w:val="auto"/>
          <w:sz w:val="32"/>
          <w:szCs w:val="32"/>
          <w:highlight w:val="none"/>
        </w:rPr>
        <w:t>投标报价书</w:t>
      </w:r>
    </w:p>
    <w:tbl>
      <w:tblPr>
        <w:tblStyle w:val="4"/>
        <w:tblW w:w="9357"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
        <w:gridCol w:w="5103"/>
        <w:gridCol w:w="155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vAlign w:val="center"/>
          </w:tcPr>
          <w:p>
            <w:pPr>
              <w:jc w:val="center"/>
              <w:rPr>
                <w:rFonts w:ascii="仿宋" w:hAnsi="仿宋"/>
                <w:b/>
                <w:color w:val="auto"/>
                <w:highlight w:val="none"/>
              </w:rPr>
            </w:pPr>
            <w:r>
              <w:rPr>
                <w:rFonts w:hint="eastAsia" w:ascii="仿宋" w:hAnsi="仿宋"/>
                <w:b/>
                <w:color w:val="auto"/>
                <w:highlight w:val="none"/>
              </w:rPr>
              <w:t>编号</w:t>
            </w:r>
          </w:p>
        </w:tc>
        <w:tc>
          <w:tcPr>
            <w:tcW w:w="5103" w:type="dxa"/>
            <w:vAlign w:val="center"/>
          </w:tcPr>
          <w:p>
            <w:pPr>
              <w:jc w:val="center"/>
              <w:rPr>
                <w:rFonts w:ascii="仿宋" w:hAnsi="仿宋"/>
                <w:b/>
                <w:color w:val="auto"/>
                <w:highlight w:val="none"/>
              </w:rPr>
            </w:pPr>
            <w:r>
              <w:rPr>
                <w:rFonts w:hint="eastAsia" w:ascii="仿宋" w:hAnsi="仿宋"/>
                <w:b/>
                <w:color w:val="auto"/>
                <w:highlight w:val="none"/>
              </w:rPr>
              <w:t>工程名称</w:t>
            </w:r>
          </w:p>
        </w:tc>
        <w:tc>
          <w:tcPr>
            <w:tcW w:w="1559" w:type="dxa"/>
            <w:tcBorders>
              <w:right w:val="single" w:color="auto" w:sz="4" w:space="0"/>
            </w:tcBorders>
            <w:vAlign w:val="center"/>
          </w:tcPr>
          <w:p>
            <w:pPr>
              <w:jc w:val="center"/>
              <w:rPr>
                <w:rFonts w:ascii="仿宋" w:hAnsi="仿宋"/>
                <w:b/>
                <w:color w:val="auto"/>
                <w:highlight w:val="none"/>
              </w:rPr>
            </w:pPr>
            <w:r>
              <w:rPr>
                <w:rFonts w:hint="eastAsia" w:ascii="仿宋" w:hAnsi="仿宋"/>
                <w:b/>
                <w:color w:val="auto"/>
                <w:highlight w:val="none"/>
              </w:rPr>
              <w:t>投标上限价（万元）</w:t>
            </w:r>
          </w:p>
        </w:tc>
        <w:tc>
          <w:tcPr>
            <w:tcW w:w="1843" w:type="dxa"/>
            <w:tcBorders>
              <w:left w:val="single" w:color="auto" w:sz="4" w:space="0"/>
            </w:tcBorders>
            <w:vAlign w:val="center"/>
          </w:tcPr>
          <w:p>
            <w:pPr>
              <w:jc w:val="center"/>
              <w:rPr>
                <w:rFonts w:ascii="仿宋" w:hAnsi="仿宋"/>
                <w:b/>
                <w:color w:val="auto"/>
                <w:highlight w:val="none"/>
              </w:rPr>
            </w:pPr>
            <w:r>
              <w:rPr>
                <w:rFonts w:hint="eastAsia" w:ascii="仿宋" w:hAnsi="仿宋"/>
                <w:b/>
                <w:color w:val="auto"/>
                <w:highlight w:val="none"/>
              </w:rPr>
              <w:t>投标报价（万元）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852" w:type="dxa"/>
            <w:vAlign w:val="center"/>
          </w:tcPr>
          <w:p>
            <w:pPr>
              <w:jc w:val="center"/>
              <w:rPr>
                <w:rFonts w:ascii="仿宋" w:hAnsi="仿宋"/>
                <w:color w:val="auto"/>
                <w:highlight w:val="none"/>
              </w:rPr>
            </w:pPr>
            <w:r>
              <w:rPr>
                <w:rFonts w:hint="eastAsia" w:ascii="仿宋" w:hAnsi="仿宋"/>
                <w:color w:val="auto"/>
                <w:highlight w:val="none"/>
              </w:rPr>
              <w:t>1</w:t>
            </w:r>
          </w:p>
        </w:tc>
        <w:tc>
          <w:tcPr>
            <w:tcW w:w="5103" w:type="dxa"/>
            <w:vAlign w:val="center"/>
          </w:tcPr>
          <w:p>
            <w:pPr>
              <w:adjustRightInd w:val="0"/>
              <w:snapToGrid w:val="0"/>
              <w:spacing w:line="360" w:lineRule="auto"/>
              <w:rPr>
                <w:rFonts w:ascii="仿宋" w:hAnsi="仿宋"/>
                <w:color w:val="auto"/>
                <w:szCs w:val="21"/>
                <w:highlight w:val="none"/>
              </w:rPr>
            </w:pPr>
            <w:r>
              <w:rPr>
                <w:rFonts w:hint="eastAsia" w:ascii="仿宋" w:hAnsi="仿宋"/>
                <w:color w:val="auto"/>
                <w:sz w:val="24"/>
                <w:highlight w:val="none"/>
                <w:lang w:eastAsia="zh-CN"/>
              </w:rPr>
              <w:t>深圳歌剧院项目</w:t>
            </w:r>
            <w:r>
              <w:rPr>
                <w:rFonts w:hint="eastAsia" w:ascii="仿宋" w:hAnsi="仿宋"/>
                <w:color w:val="auto"/>
                <w:sz w:val="24"/>
                <w:highlight w:val="none"/>
              </w:rPr>
              <w:t>水土保持监测</w:t>
            </w:r>
          </w:p>
        </w:tc>
        <w:tc>
          <w:tcPr>
            <w:tcW w:w="1559" w:type="dxa"/>
            <w:tcBorders>
              <w:right w:val="single" w:color="auto" w:sz="4" w:space="0"/>
            </w:tcBorders>
            <w:vAlign w:val="center"/>
          </w:tcPr>
          <w:p>
            <w:pPr>
              <w:adjustRightInd w:val="0"/>
              <w:snapToGrid w:val="0"/>
              <w:spacing w:line="360" w:lineRule="auto"/>
              <w:jc w:val="center"/>
              <w:rPr>
                <w:rFonts w:hint="default" w:ascii="仿宋" w:hAnsi="仿宋"/>
                <w:color w:val="auto"/>
                <w:sz w:val="24"/>
                <w:highlight w:val="none"/>
                <w:lang w:val="en-US"/>
              </w:rPr>
            </w:pPr>
            <w:r>
              <w:rPr>
                <w:rFonts w:hint="eastAsia" w:ascii="仿宋" w:hAnsi="仿宋"/>
                <w:color w:val="auto"/>
                <w:sz w:val="24"/>
                <w:highlight w:val="none"/>
                <w:lang w:val="en-US" w:eastAsia="zh-CN"/>
              </w:rPr>
              <w:t>34.65</w:t>
            </w:r>
          </w:p>
        </w:tc>
        <w:tc>
          <w:tcPr>
            <w:tcW w:w="1843" w:type="dxa"/>
            <w:tcBorders>
              <w:left w:val="single" w:color="auto" w:sz="4" w:space="0"/>
            </w:tcBorders>
            <w:vAlign w:val="center"/>
          </w:tcPr>
          <w:p>
            <w:pPr>
              <w:adjustRightInd w:val="0"/>
              <w:snapToGrid w:val="0"/>
              <w:spacing w:line="360" w:lineRule="auto"/>
              <w:jc w:val="center"/>
              <w:rPr>
                <w:rFonts w:ascii="仿宋" w:hAnsi="仿宋"/>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7" w:type="dxa"/>
            <w:gridSpan w:val="4"/>
          </w:tcPr>
          <w:p>
            <w:pPr>
              <w:adjustRightInd w:val="0"/>
              <w:snapToGrid w:val="0"/>
              <w:spacing w:line="360" w:lineRule="auto"/>
              <w:rPr>
                <w:rFonts w:ascii="仿宋" w:hAnsi="仿宋"/>
                <w:b/>
                <w:color w:val="auto"/>
                <w:sz w:val="24"/>
                <w:highlight w:val="none"/>
              </w:rPr>
            </w:pPr>
            <w:r>
              <w:rPr>
                <w:rFonts w:hint="eastAsia" w:ascii="仿宋" w:hAnsi="仿宋"/>
                <w:b/>
                <w:color w:val="auto"/>
                <w:sz w:val="24"/>
                <w:highlight w:val="none"/>
              </w:rPr>
              <w:t xml:space="preserve">本次服务具体要求： </w:t>
            </w:r>
          </w:p>
          <w:p>
            <w:pPr>
              <w:pStyle w:val="6"/>
              <w:adjustRightInd w:val="0"/>
              <w:snapToGrid w:val="0"/>
              <w:spacing w:line="360" w:lineRule="auto"/>
              <w:ind w:left="420" w:firstLine="0" w:firstLineChars="0"/>
              <w:rPr>
                <w:rFonts w:ascii="仿宋" w:hAnsi="仿宋" w:eastAsia="宋体"/>
                <w:bCs/>
                <w:color w:val="auto"/>
                <w:highlight w:val="none"/>
                <w:lang w:eastAsia="zh-CN"/>
              </w:rPr>
            </w:pPr>
            <w:r>
              <w:rPr>
                <w:rFonts w:hint="eastAsia" w:ascii="仿宋" w:hAnsi="仿宋" w:eastAsia="宋体"/>
                <w:bCs/>
                <w:color w:val="auto"/>
                <w:highlight w:val="none"/>
                <w:lang w:eastAsia="zh-CN"/>
              </w:rPr>
              <w:t>一、水土保持监测内容</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1、水土流失监测：包括施工期水土流失动态监测和水土流失危害监测。</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2、水土保持工程的监测：包括水土保持工程措施和植物措施的种类、数量、质量监测。</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3、水土流失防治效益监测：包括实施水土保持措施后的水土流失控制和景观影响度改善效果监测。</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4、其他监测内容按水利部及水务主管部门相关规定执行。</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5、每次监测完成后出具相应的水土保持监测报告。</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val="en-US" w:eastAsia="zh-CN"/>
              </w:rPr>
              <w:t>二</w:t>
            </w:r>
            <w:r>
              <w:rPr>
                <w:rFonts w:hint="eastAsia" w:ascii="仿宋" w:hAnsi="仿宋" w:eastAsia="宋体"/>
                <w:bCs/>
                <w:color w:val="auto"/>
                <w:highlight w:val="none"/>
                <w:lang w:eastAsia="zh-CN"/>
              </w:rPr>
              <w:t>、投标人职责</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1、按照相关法律法规以及水务主管部门批复文件的要求编制本项目水土保持监测方案，并按方案开展监测工作。</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2、承担并完成合同期内本项目水土保持监测</w:t>
            </w:r>
            <w:r>
              <w:rPr>
                <w:rFonts w:hint="eastAsia" w:ascii="仿宋" w:hAnsi="仿宋" w:eastAsia="宋体"/>
                <w:bCs/>
                <w:color w:val="auto"/>
                <w:highlight w:val="none"/>
                <w:lang w:val="en-US" w:eastAsia="zh-CN"/>
              </w:rPr>
              <w:t>工作</w:t>
            </w:r>
            <w:r>
              <w:rPr>
                <w:rFonts w:hint="eastAsia" w:ascii="仿宋" w:hAnsi="仿宋" w:eastAsia="宋体"/>
                <w:bCs/>
                <w:color w:val="auto"/>
                <w:highlight w:val="none"/>
                <w:lang w:eastAsia="zh-CN"/>
              </w:rPr>
              <w:t>。</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3、本项目水土保持监测时段分为施工期和自然恢复期。</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w:t>
            </w:r>
            <w:r>
              <w:rPr>
                <w:rFonts w:ascii="仿宋" w:hAnsi="仿宋" w:eastAsia="宋体"/>
                <w:bCs/>
                <w:color w:val="auto"/>
                <w:highlight w:val="none"/>
                <w:lang w:eastAsia="zh-CN"/>
              </w:rPr>
              <w:t xml:space="preserve">1）施工期监测： </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①施工过程中，扰动地表面积、水土保持工程措施拦挡效果每月监测</w:t>
            </w:r>
            <w:r>
              <w:rPr>
                <w:rFonts w:ascii="仿宋" w:hAnsi="仿宋" w:eastAsia="宋体"/>
                <w:bCs/>
                <w:color w:val="auto"/>
                <w:highlight w:val="none"/>
                <w:lang w:eastAsia="zh-CN"/>
              </w:rPr>
              <w:t>1次；主体工程建设进度、水土流失影响因子、水土保持植物措施生长情况等每3个月监测记录1次；</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②正在使用的土方转运场，正在实施的水土保持措施建设情况等至少每</w:t>
            </w:r>
            <w:r>
              <w:rPr>
                <w:rFonts w:ascii="仿宋" w:hAnsi="仿宋" w:eastAsia="宋体"/>
                <w:bCs/>
                <w:color w:val="auto"/>
                <w:highlight w:val="none"/>
                <w:lang w:eastAsia="zh-CN"/>
              </w:rPr>
              <w:t>10天监测记录1次；</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③遇暴雨、大风等情况时，根据项目要求及时加测；</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④水土流失灾害事件发生后</w:t>
            </w:r>
            <w:r>
              <w:rPr>
                <w:rFonts w:ascii="仿宋" w:hAnsi="仿宋" w:eastAsia="宋体"/>
                <w:bCs/>
                <w:color w:val="auto"/>
                <w:highlight w:val="none"/>
                <w:lang w:eastAsia="zh-CN"/>
              </w:rPr>
              <w:t>1周内完成监测；</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⑤巡查监测次数一年</w:t>
            </w:r>
            <w:r>
              <w:rPr>
                <w:rFonts w:ascii="仿宋" w:hAnsi="仿宋" w:eastAsia="宋体"/>
                <w:bCs/>
                <w:color w:val="auto"/>
                <w:highlight w:val="none"/>
                <w:lang w:eastAsia="zh-CN"/>
              </w:rPr>
              <w:t>3次以上，巡查时间安排在汛期、降雨高峰期增加巡查2到3次；</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⑥定位监测在监测点布设后监测期内每年汛前</w:t>
            </w:r>
            <w:r>
              <w:rPr>
                <w:rFonts w:ascii="仿宋" w:hAnsi="仿宋" w:eastAsia="宋体"/>
                <w:bCs/>
                <w:color w:val="auto"/>
                <w:highlight w:val="none"/>
                <w:lang w:eastAsia="zh-CN"/>
              </w:rPr>
              <w:t>2次，汛期过后1次，汛期每月监测一次，降雨高峰期相应增加监测次数，每年监测频次控制在8～10次。</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w:t>
            </w:r>
            <w:r>
              <w:rPr>
                <w:rFonts w:ascii="仿宋" w:hAnsi="仿宋" w:eastAsia="宋体"/>
                <w:bCs/>
                <w:color w:val="auto"/>
                <w:highlight w:val="none"/>
                <w:lang w:eastAsia="zh-CN"/>
              </w:rPr>
              <w:t>2）自然恢复期监测：施工完工后植被自然恢复期每半年监测1次，共2次。投标人根据水务主管部门规定，按汛期、非汛期向招标人提交水土保持月报、季报，该报告得到招标人认可后，投标人负责将其提交水务主管部门。</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val="en-US" w:eastAsia="zh-CN"/>
              </w:rPr>
              <w:t>4</w:t>
            </w:r>
            <w:r>
              <w:rPr>
                <w:rFonts w:ascii="仿宋" w:hAnsi="仿宋" w:eastAsia="宋体"/>
                <w:bCs/>
                <w:color w:val="auto"/>
                <w:highlight w:val="none"/>
                <w:lang w:eastAsia="zh-CN"/>
              </w:rPr>
              <w:t>、由投标人委派的专项水土保持监测人员必须尽职尽责，认真履行职责。在整个监测过程中，投标人若发现问题或隐患，应及时通知招标人，并提出整改意见。</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val="en-US" w:eastAsia="zh-CN"/>
              </w:rPr>
              <w:t>5</w:t>
            </w:r>
            <w:r>
              <w:rPr>
                <w:rFonts w:ascii="仿宋" w:hAnsi="仿宋" w:eastAsia="宋体"/>
                <w:bCs/>
                <w:color w:val="auto"/>
                <w:highlight w:val="none"/>
                <w:lang w:eastAsia="zh-CN"/>
              </w:rPr>
              <w:t>、自签订合同日起5个工作日进场及收取编制监测方案的资料，10个工作日出监测方案，并交付招标人及水务主管部门。</w:t>
            </w:r>
          </w:p>
          <w:p>
            <w:pPr>
              <w:adjustRightInd w:val="0"/>
              <w:snapToGrid w:val="0"/>
              <w:spacing w:line="360" w:lineRule="auto"/>
              <w:rPr>
                <w:rFonts w:ascii="仿宋" w:hAnsi="仿宋"/>
                <w:b/>
                <w:color w:val="auto"/>
                <w:sz w:val="24"/>
                <w:highlight w:val="none"/>
              </w:rPr>
            </w:pPr>
            <w:r>
              <w:rPr>
                <w:rFonts w:hint="eastAsia" w:ascii="仿宋" w:hAnsi="仿宋"/>
                <w:b/>
                <w:color w:val="auto"/>
                <w:sz w:val="24"/>
                <w:highlight w:val="none"/>
              </w:rPr>
              <w:t>工期：</w:t>
            </w:r>
          </w:p>
          <w:p>
            <w:pPr>
              <w:pStyle w:val="6"/>
              <w:numPr>
                <w:ilvl w:val="0"/>
                <w:numId w:val="0"/>
              </w:numPr>
              <w:spacing w:line="360" w:lineRule="auto"/>
              <w:ind w:firstLine="480" w:firstLineChars="200"/>
              <w:rPr>
                <w:rFonts w:ascii="仿宋" w:hAnsi="仿宋" w:eastAsia="宋体"/>
                <w:bCs/>
                <w:color w:val="auto"/>
                <w:highlight w:val="none"/>
                <w:lang w:eastAsia="zh-CN"/>
              </w:rPr>
            </w:pPr>
            <w:r>
              <w:rPr>
                <w:rFonts w:ascii="仿宋" w:hAnsi="仿宋" w:eastAsia="宋体"/>
                <w:bCs/>
                <w:color w:val="auto"/>
                <w:highlight w:val="none"/>
                <w:lang w:eastAsia="zh-CN"/>
              </w:rPr>
              <w:t>1、建设期监测时段为</w:t>
            </w:r>
            <w:r>
              <w:rPr>
                <w:rFonts w:ascii="仿宋" w:hAnsi="仿宋" w:eastAsia="宋体"/>
                <w:bCs/>
                <w:color w:val="auto"/>
                <w:highlight w:val="none"/>
              </w:rPr>
              <w:t>合同签订起至工程完成水土保持验收工作。</w:t>
            </w:r>
            <w:r>
              <w:rPr>
                <w:rFonts w:hint="eastAsia" w:ascii="仿宋" w:hAnsi="仿宋" w:eastAsia="宋体"/>
                <w:bCs/>
                <w:color w:val="auto"/>
                <w:highlight w:val="none"/>
                <w:lang w:eastAsia="zh-CN"/>
              </w:rPr>
              <w:t>（以实际竣工验收时间为准）</w:t>
            </w:r>
          </w:p>
          <w:p>
            <w:pPr>
              <w:pStyle w:val="6"/>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2、自然恢复期监测为工程完工后1年。（从实际竣工验收通过后1年）</w:t>
            </w:r>
          </w:p>
          <w:p>
            <w:pPr>
              <w:pStyle w:val="6"/>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3、以上时间仅为预估工期，实际工期根据项目实际建设时间相应调整。</w:t>
            </w:r>
          </w:p>
          <w:p>
            <w:pPr>
              <w:adjustRightInd w:val="0"/>
              <w:snapToGrid w:val="0"/>
              <w:spacing w:line="360" w:lineRule="auto"/>
              <w:rPr>
                <w:rFonts w:ascii="仿宋" w:hAnsi="仿宋"/>
                <w:b/>
                <w:color w:val="auto"/>
                <w:sz w:val="24"/>
                <w:highlight w:val="none"/>
              </w:rPr>
            </w:pPr>
            <w:r>
              <w:rPr>
                <w:rFonts w:hint="eastAsia" w:ascii="仿宋" w:hAnsi="仿宋"/>
                <w:b/>
                <w:color w:val="auto"/>
                <w:sz w:val="24"/>
                <w:highlight w:val="none"/>
              </w:rPr>
              <w:t>计价原则及结算方式</w:t>
            </w:r>
          </w:p>
          <w:p>
            <w:pPr>
              <w:pStyle w:val="6"/>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本合同价格为总价包干，该合同价为投标人完成本合同工作内容所需的全部费用，包括但不限于：人工费、材料费、管理费、住宿费、差旅费、保险费、资料费、杂费、税金等，以及为实现合同目的所需的全部费用。</w:t>
            </w:r>
          </w:p>
          <w:p>
            <w:pPr>
              <w:pStyle w:val="3"/>
              <w:widowControl/>
              <w:spacing w:beforeAutospacing="0" w:afterAutospacing="0" w:line="360" w:lineRule="auto"/>
              <w:ind w:firstLine="475"/>
              <w:rPr>
                <w:rFonts w:ascii="仿宋" w:hAnsi="仿宋"/>
                <w:color w:val="auto"/>
                <w:highlight w:val="none"/>
              </w:rPr>
            </w:pPr>
            <w:r>
              <w:rPr>
                <w:rFonts w:hint="eastAsia" w:ascii="仿宋" w:hAnsi="仿宋"/>
                <w:bCs/>
                <w:color w:val="auto"/>
                <w:kern w:val="2"/>
                <w:highlight w:val="none"/>
              </w:rPr>
              <w:t>由于水务主管部门要求，调整</w:t>
            </w:r>
            <w:r>
              <w:rPr>
                <w:rFonts w:hint="eastAsia" w:ascii="仿宋" w:hAnsi="仿宋"/>
                <w:bCs/>
                <w:color w:val="auto"/>
                <w:kern w:val="2"/>
                <w:highlight w:val="none"/>
                <w:lang w:val="en-US" w:eastAsia="zh-CN"/>
              </w:rPr>
              <w:t>监测</w:t>
            </w:r>
            <w:r>
              <w:rPr>
                <w:rFonts w:hint="eastAsia" w:ascii="仿宋" w:hAnsi="仿宋"/>
                <w:bCs/>
                <w:color w:val="auto"/>
                <w:kern w:val="2"/>
                <w:highlight w:val="none"/>
              </w:rPr>
              <w:t>内容或频次，投标人按调整要求执行，不调整合同价款。如相关法律法规要求高于本次招标的实施要求，投标人应按高标准执行，造成</w:t>
            </w:r>
            <w:r>
              <w:rPr>
                <w:rFonts w:hint="eastAsia" w:ascii="仿宋" w:hAnsi="仿宋"/>
                <w:bCs/>
                <w:color w:val="auto"/>
                <w:kern w:val="2"/>
                <w:highlight w:val="none"/>
                <w:lang w:val="en-US" w:eastAsia="zh-CN"/>
              </w:rPr>
              <w:t>监测</w:t>
            </w:r>
            <w:r>
              <w:rPr>
                <w:rFonts w:hint="eastAsia" w:ascii="仿宋" w:hAnsi="仿宋"/>
                <w:bCs/>
                <w:color w:val="auto"/>
                <w:kern w:val="2"/>
                <w:highlight w:val="none"/>
              </w:rPr>
              <w:t>内容、频次或点数的调整，结算时不予调整，投标报价时应充分考虑此情况。</w:t>
            </w:r>
          </w:p>
          <w:p>
            <w:pPr>
              <w:adjustRightInd w:val="0"/>
              <w:snapToGrid w:val="0"/>
              <w:spacing w:line="360" w:lineRule="auto"/>
              <w:ind w:firstLine="480" w:firstLineChars="200"/>
              <w:rPr>
                <w:rFonts w:ascii="仿宋" w:hAnsi="仿宋"/>
                <w:color w:val="auto"/>
                <w:sz w:val="24"/>
                <w:highlight w:val="none"/>
              </w:rPr>
            </w:pPr>
            <w:r>
              <w:rPr>
                <w:rFonts w:hint="eastAsia" w:ascii="仿宋" w:hAnsi="仿宋"/>
                <w:color w:val="auto"/>
                <w:sz w:val="24"/>
                <w:highlight w:val="none"/>
              </w:rPr>
              <w:t>最终结算价格以《深圳市财政预算和投资评审中心评审报告》的评审结论为准。本工程采用小型简易工程，服务类限额不得超过100万元。</w:t>
            </w:r>
          </w:p>
          <w:p>
            <w:pPr>
              <w:adjustRightInd w:val="0"/>
              <w:snapToGrid w:val="0"/>
              <w:spacing w:line="360" w:lineRule="auto"/>
              <w:rPr>
                <w:rFonts w:ascii="仿宋" w:hAnsi="仿宋"/>
                <w:b/>
                <w:color w:val="auto"/>
                <w:sz w:val="24"/>
                <w:highlight w:val="none"/>
              </w:rPr>
            </w:pPr>
            <w:r>
              <w:rPr>
                <w:rFonts w:hint="eastAsia" w:ascii="仿宋" w:hAnsi="仿宋"/>
                <w:b/>
                <w:color w:val="auto"/>
                <w:sz w:val="24"/>
                <w:highlight w:val="none"/>
              </w:rPr>
              <w:t xml:space="preserve">投标文件组成： </w:t>
            </w:r>
          </w:p>
          <w:p>
            <w:pPr>
              <w:pStyle w:val="6"/>
              <w:adjustRightInd w:val="0"/>
              <w:snapToGrid w:val="0"/>
              <w:spacing w:line="360" w:lineRule="auto"/>
              <w:ind w:firstLine="480"/>
              <w:rPr>
                <w:rFonts w:ascii="仿宋" w:hAnsi="仿宋" w:eastAsia="宋体"/>
                <w:color w:val="auto"/>
                <w:highlight w:val="none"/>
                <w:lang w:eastAsia="zh-CN"/>
              </w:rPr>
            </w:pPr>
            <w:r>
              <w:rPr>
                <w:rFonts w:hint="eastAsia" w:ascii="仿宋" w:hAnsi="仿宋" w:eastAsia="宋体"/>
                <w:color w:val="auto"/>
                <w:highlight w:val="none"/>
                <w:lang w:eastAsia="zh-CN"/>
              </w:rPr>
              <w:t>1、投标报价书（按招标人提供的附件一表格，签名加盖公章）；</w:t>
            </w:r>
          </w:p>
          <w:p>
            <w:pPr>
              <w:pStyle w:val="6"/>
              <w:adjustRightInd w:val="0"/>
              <w:snapToGrid w:val="0"/>
              <w:spacing w:line="360" w:lineRule="auto"/>
              <w:ind w:firstLine="480"/>
              <w:rPr>
                <w:rFonts w:ascii="仿宋" w:hAnsi="仿宋" w:eastAsia="宋体"/>
                <w:color w:val="auto"/>
                <w:highlight w:val="none"/>
                <w:lang w:eastAsia="zh-CN"/>
              </w:rPr>
            </w:pPr>
            <w:r>
              <w:rPr>
                <w:rFonts w:hint="eastAsia" w:ascii="仿宋" w:hAnsi="仿宋" w:eastAsia="宋体"/>
                <w:color w:val="auto"/>
                <w:highlight w:val="none"/>
                <w:lang w:eastAsia="zh-CN"/>
              </w:rPr>
              <w:t>2、营业执照（复印件加盖公章）</w:t>
            </w:r>
          </w:p>
          <w:p>
            <w:pPr>
              <w:adjustRightInd w:val="0"/>
              <w:snapToGrid w:val="0"/>
              <w:spacing w:line="360" w:lineRule="auto"/>
              <w:ind w:firstLine="480" w:firstLineChars="200"/>
              <w:rPr>
                <w:rFonts w:ascii="仿宋" w:hAnsi="仿宋"/>
                <w:color w:val="auto"/>
                <w:sz w:val="24"/>
                <w:highlight w:val="none"/>
              </w:rPr>
            </w:pPr>
            <w:r>
              <w:rPr>
                <w:rFonts w:hint="eastAsia" w:ascii="仿宋" w:hAnsi="仿宋"/>
                <w:color w:val="auto"/>
                <w:sz w:val="24"/>
                <w:highlight w:val="none"/>
              </w:rPr>
              <w:t>3、法定代表人证明书及法定代表人授权委托书（原件，需签名加盖公章），法定代表人及法定代表人授权委托人身份证复印件（加盖公章）</w:t>
            </w:r>
          </w:p>
          <w:p>
            <w:pPr>
              <w:adjustRightInd w:val="0"/>
              <w:snapToGrid w:val="0"/>
              <w:spacing w:line="360" w:lineRule="auto"/>
              <w:ind w:firstLine="480" w:firstLineChars="200"/>
              <w:rPr>
                <w:rFonts w:ascii="仿宋" w:hAnsi="仿宋"/>
                <w:color w:val="auto"/>
                <w:sz w:val="24"/>
                <w:highlight w:val="none"/>
              </w:rPr>
            </w:pPr>
            <w:r>
              <w:rPr>
                <w:rFonts w:hint="eastAsia" w:ascii="仿宋" w:hAnsi="仿宋"/>
                <w:bCs/>
                <w:color w:val="auto"/>
                <w:sz w:val="24"/>
                <w:highlight w:val="none"/>
              </w:rPr>
              <w:t>4、</w:t>
            </w:r>
            <w:r>
              <w:rPr>
                <w:rFonts w:hint="eastAsia" w:ascii="宋体" w:hAnsi="宋体" w:cs="宋体"/>
                <w:color w:val="auto"/>
                <w:sz w:val="24"/>
                <w:highlight w:val="none"/>
              </w:rPr>
              <w:t>1项近三年（即20</w:t>
            </w:r>
            <w:r>
              <w:rPr>
                <w:rFonts w:hint="eastAsia" w:ascii="宋体" w:hAnsi="宋体" w:cs="宋体"/>
                <w:color w:val="auto"/>
                <w:sz w:val="24"/>
                <w:highlight w:val="none"/>
                <w:lang w:val="en-US" w:eastAsia="zh-CN"/>
              </w:rPr>
              <w:t>21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月1日至发布公告之日，以合同签订时间为准）的水土保持监测项目的业绩证明材料（复印件加盖公章），证明材料为合同文件及水土保持监测报告，需体现水土保持监测报告编制单位。</w:t>
            </w:r>
          </w:p>
          <w:p>
            <w:pPr>
              <w:numPr>
                <w:ilvl w:val="0"/>
                <w:numId w:val="1"/>
              </w:numPr>
              <w:adjustRightInd w:val="0"/>
              <w:snapToGrid w:val="0"/>
              <w:spacing w:line="360" w:lineRule="auto"/>
              <w:ind w:firstLine="480" w:firstLineChars="200"/>
              <w:rPr>
                <w:rFonts w:hint="eastAsia" w:ascii="仿宋" w:hAnsi="仿宋"/>
                <w:color w:val="auto"/>
                <w:sz w:val="24"/>
                <w:highlight w:val="none"/>
              </w:rPr>
            </w:pPr>
            <w:r>
              <w:rPr>
                <w:rFonts w:hint="eastAsia" w:ascii="仿宋" w:hAnsi="仿宋"/>
                <w:color w:val="auto"/>
                <w:sz w:val="24"/>
                <w:highlight w:val="none"/>
              </w:rPr>
              <w:t>水土保持监测水平评价证书（复印件加盖公章）。</w:t>
            </w:r>
          </w:p>
          <w:p>
            <w:pPr>
              <w:numPr>
                <w:ilvl w:val="0"/>
                <w:numId w:val="1"/>
              </w:numPr>
              <w:adjustRightInd w:val="0"/>
              <w:snapToGrid w:val="0"/>
              <w:spacing w:line="360" w:lineRule="auto"/>
              <w:ind w:firstLine="480" w:firstLineChars="200"/>
              <w:rPr>
                <w:rFonts w:hint="eastAsia" w:ascii="仿宋" w:hAnsi="仿宋"/>
                <w:color w:val="auto"/>
                <w:sz w:val="24"/>
                <w:highlight w:val="none"/>
              </w:rPr>
            </w:pPr>
            <w:r>
              <w:rPr>
                <w:rFonts w:hint="eastAsia" w:ascii="仿宋" w:hAnsi="仿宋"/>
                <w:color w:val="auto"/>
                <w:sz w:val="24"/>
                <w:highlight w:val="none"/>
                <w:lang w:val="en-US" w:eastAsia="zh-CN"/>
              </w:rPr>
              <w:t>项目负责人职称证书，本单位近3个月的社保缴纳证明（复印件加盖公章）。</w:t>
            </w:r>
          </w:p>
          <w:p>
            <w:pPr>
              <w:pStyle w:val="6"/>
              <w:adjustRightInd w:val="0"/>
              <w:snapToGrid w:val="0"/>
              <w:spacing w:line="360" w:lineRule="auto"/>
              <w:ind w:firstLine="0" w:firstLineChars="0"/>
              <w:rPr>
                <w:rFonts w:ascii="仿宋" w:hAnsi="仿宋" w:eastAsia="宋体"/>
                <w:b/>
                <w:color w:val="auto"/>
                <w:highlight w:val="none"/>
                <w:lang w:eastAsia="zh-CN"/>
              </w:rPr>
            </w:pPr>
            <w:r>
              <w:rPr>
                <w:rFonts w:hint="eastAsia" w:ascii="仿宋" w:hAnsi="仿宋" w:eastAsia="宋体"/>
                <w:b/>
                <w:color w:val="auto"/>
                <w:highlight w:val="none"/>
                <w:lang w:eastAsia="zh-CN"/>
              </w:rPr>
              <w:t>其他说明：</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1、本次招标不需编制技术标。</w:t>
            </w:r>
          </w:p>
          <w:p>
            <w:pPr>
              <w:pStyle w:val="6"/>
              <w:adjustRightInd w:val="0"/>
              <w:snapToGrid w:val="0"/>
              <w:spacing w:line="360" w:lineRule="auto"/>
              <w:ind w:firstLine="480"/>
              <w:rPr>
                <w:rFonts w:ascii="仿宋" w:hAnsi="仿宋" w:eastAsia="宋体"/>
                <w:bCs/>
                <w:color w:val="auto"/>
                <w:highlight w:val="none"/>
                <w:lang w:eastAsia="zh-CN"/>
              </w:rPr>
            </w:pPr>
            <w:r>
              <w:rPr>
                <w:rFonts w:ascii="仿宋" w:hAnsi="仿宋" w:eastAsia="宋体"/>
                <w:bCs/>
                <w:color w:val="auto"/>
                <w:highlight w:val="none"/>
                <w:lang w:eastAsia="zh-CN"/>
              </w:rPr>
              <w:t>2</w:t>
            </w:r>
            <w:r>
              <w:rPr>
                <w:rFonts w:hint="eastAsia" w:ascii="仿宋" w:hAnsi="仿宋" w:eastAsia="宋体"/>
                <w:bCs/>
                <w:color w:val="auto"/>
                <w:highlight w:val="none"/>
                <w:lang w:eastAsia="zh-CN"/>
              </w:rPr>
              <w:t>、投标人员投标时需携带本人身份证至截标现场递交投标资料同时提交法定代表人证明和法定代表人授权委托书，否则不予受理。</w:t>
            </w:r>
          </w:p>
          <w:p>
            <w:pPr>
              <w:pStyle w:val="6"/>
              <w:adjustRightInd w:val="0"/>
              <w:snapToGrid w:val="0"/>
              <w:spacing w:line="360" w:lineRule="auto"/>
              <w:ind w:firstLine="480"/>
              <w:rPr>
                <w:rFonts w:ascii="仿宋" w:hAnsi="仿宋" w:eastAsia="宋体"/>
                <w:bCs/>
                <w:color w:val="auto"/>
                <w:highlight w:val="none"/>
                <w:lang w:eastAsia="zh-CN"/>
              </w:rPr>
            </w:pPr>
            <w:r>
              <w:rPr>
                <w:rFonts w:ascii="仿宋" w:hAnsi="仿宋" w:eastAsia="宋体"/>
                <w:bCs/>
                <w:color w:val="auto"/>
                <w:highlight w:val="none"/>
                <w:lang w:eastAsia="zh-CN"/>
              </w:rPr>
              <w:t>3</w:t>
            </w:r>
            <w:r>
              <w:rPr>
                <w:rFonts w:hint="eastAsia" w:ascii="仿宋" w:hAnsi="仿宋" w:eastAsia="宋体"/>
                <w:bCs/>
                <w:color w:val="auto"/>
                <w:highlight w:val="none"/>
                <w:lang w:eastAsia="zh-CN"/>
              </w:rPr>
              <w:t>、投标文件的内容及格式</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1）投标文件应打印或复印，并装订成册，并加盖投标人企业及企业法定代表人印章和法定代表人授权代理人的签字，签字用不褪色笔（钢笔、原珠笔）书写；</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2）投标文件各项内容的填写不得任意修改。如有修改之处应加盖法定代表人或其代理人的印鉴；</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3）投标文件必须密封，封口上加盖法定代表人或代理人的印鉴。</w:t>
            </w:r>
          </w:p>
          <w:p>
            <w:pPr>
              <w:pStyle w:val="6"/>
              <w:adjustRightInd w:val="0"/>
              <w:snapToGrid w:val="0"/>
              <w:spacing w:line="360" w:lineRule="auto"/>
              <w:ind w:firstLine="480"/>
              <w:rPr>
                <w:rFonts w:ascii="仿宋" w:hAnsi="仿宋" w:eastAsia="宋体"/>
                <w:bCs/>
                <w:color w:val="auto"/>
                <w:highlight w:val="none"/>
                <w:lang w:eastAsia="zh-CN"/>
              </w:rPr>
            </w:pPr>
            <w:r>
              <w:rPr>
                <w:rFonts w:ascii="仿宋" w:hAnsi="仿宋" w:eastAsia="宋体"/>
                <w:bCs/>
                <w:color w:val="auto"/>
                <w:highlight w:val="none"/>
                <w:lang w:eastAsia="zh-CN"/>
              </w:rPr>
              <w:t>4</w:t>
            </w:r>
            <w:r>
              <w:rPr>
                <w:rFonts w:hint="eastAsia" w:ascii="仿宋" w:hAnsi="仿宋" w:eastAsia="宋体"/>
                <w:bCs/>
                <w:color w:val="auto"/>
                <w:highlight w:val="none"/>
                <w:lang w:eastAsia="zh-CN"/>
              </w:rPr>
              <w:t>、投标文件的装订、密封和标记</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1）投标文件的装订要求：投标文件均使用A4纸打印，并使用文件袋，在封口粘贴处加盖密封企业公章。</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2）投标人根据本招标公告的要求，详细编写投标文件，</w:t>
            </w:r>
            <w:r>
              <w:rPr>
                <w:rFonts w:hint="eastAsia" w:ascii="宋体" w:hAnsi="宋体" w:eastAsia="宋体"/>
                <w:color w:val="auto"/>
                <w:highlight w:val="none"/>
              </w:rPr>
              <w:t>一式</w:t>
            </w:r>
            <w:r>
              <w:rPr>
                <w:rFonts w:hint="eastAsia" w:ascii="宋体" w:hAnsi="宋体" w:eastAsia="宋体"/>
                <w:color w:val="auto"/>
                <w:highlight w:val="none"/>
                <w:lang w:eastAsia="zh-CN"/>
              </w:rPr>
              <w:t>三</w:t>
            </w:r>
            <w:r>
              <w:rPr>
                <w:rFonts w:hint="eastAsia" w:ascii="宋体" w:hAnsi="宋体" w:eastAsia="宋体"/>
                <w:color w:val="auto"/>
                <w:highlight w:val="none"/>
              </w:rPr>
              <w:t>份（</w:t>
            </w:r>
            <w:r>
              <w:rPr>
                <w:rFonts w:hint="eastAsia" w:ascii="宋体" w:hAnsi="宋体" w:eastAsia="宋体"/>
                <w:color w:val="auto"/>
                <w:highlight w:val="none"/>
                <w:lang w:eastAsia="zh-CN"/>
              </w:rPr>
              <w:t>两</w:t>
            </w:r>
            <w:r>
              <w:rPr>
                <w:rFonts w:hint="eastAsia" w:ascii="宋体" w:hAnsi="宋体" w:eastAsia="宋体"/>
                <w:color w:val="auto"/>
                <w:highlight w:val="none"/>
              </w:rPr>
              <w:t>正</w:t>
            </w:r>
            <w:r>
              <w:rPr>
                <w:rFonts w:hint="eastAsia" w:ascii="宋体" w:hAnsi="宋体" w:eastAsia="宋体"/>
                <w:color w:val="auto"/>
                <w:highlight w:val="none"/>
                <w:lang w:eastAsia="zh-CN"/>
              </w:rPr>
              <w:t>本、</w:t>
            </w:r>
            <w:r>
              <w:rPr>
                <w:rFonts w:hint="eastAsia" w:ascii="宋体" w:hAnsi="宋体" w:eastAsia="宋体"/>
                <w:color w:val="auto"/>
                <w:highlight w:val="none"/>
              </w:rPr>
              <w:t>一副</w:t>
            </w:r>
            <w:r>
              <w:rPr>
                <w:rFonts w:hint="eastAsia" w:ascii="宋体" w:hAnsi="宋体" w:eastAsia="宋体"/>
                <w:color w:val="auto"/>
                <w:highlight w:val="none"/>
                <w:lang w:eastAsia="zh-CN"/>
              </w:rPr>
              <w:t>本</w:t>
            </w:r>
            <w:r>
              <w:rPr>
                <w:rFonts w:hint="eastAsia" w:ascii="宋体" w:hAnsi="宋体" w:eastAsia="宋体"/>
                <w:color w:val="auto"/>
                <w:highlight w:val="none"/>
              </w:rPr>
              <w:t>）</w:t>
            </w:r>
            <w:r>
              <w:rPr>
                <w:rFonts w:hint="eastAsia" w:ascii="宋体" w:hAnsi="宋体" w:eastAsia="宋体"/>
                <w:color w:val="auto"/>
                <w:highlight w:val="none"/>
                <w:lang w:eastAsia="zh-CN"/>
              </w:rPr>
              <w:t>，</w:t>
            </w:r>
            <w:r>
              <w:rPr>
                <w:rFonts w:hint="eastAsia" w:ascii="仿宋" w:hAnsi="仿宋" w:eastAsia="宋体"/>
                <w:bCs/>
                <w:color w:val="auto"/>
                <w:highlight w:val="none"/>
                <w:lang w:eastAsia="zh-CN"/>
              </w:rPr>
              <w:t>按正副本分别单独装订成册，并在文件右上角处清楚地表明“正本”、“副本”。正本、副本须分别密封在一个封袋内，并在封袋上清楚地表明“正本”、“副本”。当正本、副本不一致时，以纸质正本为准。</w:t>
            </w:r>
          </w:p>
          <w:p>
            <w:pPr>
              <w:pStyle w:val="6"/>
              <w:adjustRightInd w:val="0"/>
              <w:snapToGrid w:val="0"/>
              <w:spacing w:line="360" w:lineRule="auto"/>
              <w:ind w:firstLine="480"/>
              <w:rPr>
                <w:rFonts w:ascii="仿宋" w:hAnsi="仿宋" w:eastAsia="宋体"/>
                <w:bCs/>
                <w:color w:val="auto"/>
                <w:highlight w:val="none"/>
                <w:lang w:eastAsia="zh-CN"/>
              </w:rPr>
            </w:pPr>
            <w:r>
              <w:rPr>
                <w:rFonts w:hint="eastAsia" w:ascii="仿宋" w:hAnsi="仿宋" w:eastAsia="宋体"/>
                <w:bCs/>
                <w:color w:val="auto"/>
                <w:highlight w:val="none"/>
                <w:lang w:eastAsia="zh-CN"/>
              </w:rPr>
              <w:t>3）在投标文件密封袋上均应写明投标人名称，并注明下列识别标志：</w:t>
            </w:r>
          </w:p>
          <w:p>
            <w:pPr>
              <w:pStyle w:val="6"/>
              <w:adjustRightInd w:val="0"/>
              <w:snapToGrid w:val="0"/>
              <w:spacing w:line="360" w:lineRule="auto"/>
              <w:ind w:firstLine="0" w:firstLineChars="0"/>
              <w:rPr>
                <w:rFonts w:ascii="仿宋" w:hAnsi="仿宋" w:eastAsia="宋体"/>
                <w:b/>
                <w:color w:val="auto"/>
                <w:highlight w:val="none"/>
                <w:lang w:eastAsia="zh-CN"/>
              </w:rPr>
            </w:pPr>
            <w:r>
              <w:rPr>
                <w:rFonts w:hint="eastAsia" w:ascii="仿宋" w:hAnsi="仿宋" w:eastAsia="宋体"/>
                <w:b/>
                <w:color w:val="auto"/>
                <w:highlight w:val="none"/>
                <w:lang w:eastAsia="zh-CN"/>
              </w:rPr>
              <w:t>“工程名称：深圳歌剧院项目水土保持监测 202</w:t>
            </w:r>
            <w:r>
              <w:rPr>
                <w:rFonts w:hint="eastAsia" w:ascii="仿宋" w:hAnsi="仿宋" w:eastAsia="宋体"/>
                <w:b/>
                <w:color w:val="auto"/>
                <w:highlight w:val="none"/>
                <w:lang w:val="en-US" w:eastAsia="zh-CN"/>
              </w:rPr>
              <w:t>3</w:t>
            </w:r>
            <w:r>
              <w:rPr>
                <w:rFonts w:hint="eastAsia" w:ascii="仿宋" w:hAnsi="仿宋" w:eastAsia="宋体"/>
                <w:b/>
                <w:color w:val="auto"/>
                <w:highlight w:val="none"/>
                <w:lang w:eastAsia="zh-CN"/>
              </w:rPr>
              <w:t xml:space="preserve">年 </w:t>
            </w:r>
            <w:r>
              <w:rPr>
                <w:rFonts w:ascii="仿宋" w:hAnsi="仿宋" w:eastAsia="宋体"/>
                <w:b/>
                <w:color w:val="auto"/>
                <w:highlight w:val="none"/>
                <w:lang w:eastAsia="zh-CN"/>
              </w:rPr>
              <w:t xml:space="preserve"> </w:t>
            </w:r>
            <w:r>
              <w:rPr>
                <w:rFonts w:hint="eastAsia" w:ascii="仿宋" w:hAnsi="仿宋" w:eastAsia="宋体"/>
                <w:b/>
                <w:color w:val="auto"/>
                <w:highlight w:val="none"/>
                <w:lang w:eastAsia="zh-CN"/>
              </w:rPr>
              <w:t xml:space="preserve">月 </w:t>
            </w:r>
            <w:r>
              <w:rPr>
                <w:rFonts w:ascii="仿宋" w:hAnsi="仿宋" w:eastAsia="宋体"/>
                <w:b/>
                <w:color w:val="auto"/>
                <w:highlight w:val="none"/>
                <w:lang w:eastAsia="zh-CN"/>
              </w:rPr>
              <w:t xml:space="preserve"> </w:t>
            </w:r>
            <w:r>
              <w:rPr>
                <w:rFonts w:hint="eastAsia" w:ascii="仿宋" w:hAnsi="仿宋" w:eastAsia="宋体"/>
                <w:b/>
                <w:color w:val="auto"/>
                <w:highlight w:val="none"/>
                <w:lang w:eastAsia="zh-CN"/>
              </w:rPr>
              <w:t xml:space="preserve">日上午 </w:t>
            </w:r>
            <w:r>
              <w:rPr>
                <w:rFonts w:ascii="仿宋" w:hAnsi="仿宋" w:eastAsia="宋体"/>
                <w:b/>
                <w:color w:val="auto"/>
                <w:highlight w:val="none"/>
                <w:lang w:eastAsia="zh-CN"/>
              </w:rPr>
              <w:t xml:space="preserve"> </w:t>
            </w:r>
            <w:r>
              <w:rPr>
                <w:rFonts w:hint="eastAsia" w:ascii="仿宋" w:hAnsi="仿宋" w:eastAsia="宋体"/>
                <w:b/>
                <w:color w:val="auto"/>
                <w:highlight w:val="none"/>
                <w:lang w:eastAsia="zh-CN"/>
              </w:rPr>
              <w:t>分开标，此时间以前不得开封”</w:t>
            </w:r>
          </w:p>
          <w:p>
            <w:pPr>
              <w:pStyle w:val="3"/>
              <w:widowControl/>
              <w:spacing w:beforeAutospacing="0" w:afterAutospacing="0" w:line="360" w:lineRule="auto"/>
              <w:ind w:firstLine="480" w:firstLineChars="200"/>
              <w:rPr>
                <w:rFonts w:ascii="仿宋" w:hAnsi="仿宋"/>
                <w:bCs/>
                <w:color w:val="auto"/>
                <w:kern w:val="2"/>
                <w:highlight w:val="none"/>
              </w:rPr>
            </w:pPr>
            <w:r>
              <w:rPr>
                <w:rFonts w:hint="eastAsia" w:ascii="仿宋" w:hAnsi="仿宋"/>
                <w:bCs/>
                <w:color w:val="auto"/>
                <w:kern w:val="2"/>
                <w:highlight w:val="none"/>
              </w:rPr>
              <w:t>5、</w:t>
            </w:r>
            <w:r>
              <w:rPr>
                <w:rFonts w:ascii="仿宋" w:hAnsi="仿宋"/>
                <w:bCs/>
                <w:color w:val="auto"/>
                <w:kern w:val="2"/>
                <w:highlight w:val="none"/>
              </w:rPr>
              <w:t>未在规定时间及地点递交投标文件的投标人，投标将被拒绝。</w:t>
            </w:r>
          </w:p>
          <w:p>
            <w:pPr>
              <w:pStyle w:val="3"/>
              <w:widowControl/>
              <w:spacing w:beforeAutospacing="0" w:afterAutospacing="0" w:line="360" w:lineRule="auto"/>
              <w:rPr>
                <w:rFonts w:ascii="仿宋" w:hAnsi="仿宋"/>
                <w:bCs/>
                <w:color w:val="auto"/>
                <w:highlight w:val="none"/>
              </w:rPr>
            </w:pPr>
            <w:r>
              <w:rPr>
                <w:rFonts w:ascii="仿宋" w:hAnsi="仿宋"/>
                <w:bCs/>
                <w:color w:val="auto"/>
                <w:kern w:val="2"/>
                <w:highlight w:val="none"/>
              </w:rPr>
              <w:t>　　</w:t>
            </w:r>
          </w:p>
        </w:tc>
      </w:tr>
    </w:tbl>
    <w:p>
      <w:pPr>
        <w:rPr>
          <w:rFonts w:ascii="仿宋" w:hAnsi="仿宋"/>
          <w:color w:val="auto"/>
          <w:sz w:val="28"/>
          <w:szCs w:val="32"/>
          <w:highlight w:val="none"/>
        </w:rPr>
      </w:pPr>
      <w:r>
        <w:rPr>
          <w:rFonts w:hint="eastAsia" w:ascii="仿宋" w:hAnsi="仿宋"/>
          <w:color w:val="auto"/>
          <w:sz w:val="28"/>
          <w:szCs w:val="28"/>
          <w:highlight w:val="none"/>
        </w:rPr>
        <w:t>投标人法定代表签名：              投标单位（署名并盖章）：</w:t>
      </w:r>
    </w:p>
    <w:p>
      <w:pPr>
        <w:rPr>
          <w:rFonts w:hint="eastAsia" w:ascii="仿宋" w:hAnsi="仿宋"/>
          <w:color w:val="auto"/>
          <w:sz w:val="28"/>
          <w:szCs w:val="32"/>
          <w:highlight w:val="none"/>
        </w:rPr>
      </w:pPr>
      <w:r>
        <w:rPr>
          <w:rFonts w:hint="eastAsia" w:ascii="仿宋" w:hAnsi="仿宋"/>
          <w:color w:val="auto"/>
          <w:sz w:val="28"/>
          <w:szCs w:val="32"/>
          <w:highlight w:val="none"/>
        </w:rPr>
        <w:br w:type="page"/>
      </w:r>
    </w:p>
    <w:p>
      <w:pPr>
        <w:rPr>
          <w:rFonts w:hint="eastAsia" w:ascii="仿宋" w:hAnsi="仿宋"/>
          <w:color w:val="auto"/>
          <w:sz w:val="28"/>
          <w:szCs w:val="32"/>
          <w:highlight w:val="none"/>
        </w:rPr>
      </w:pPr>
      <w:bookmarkStart w:id="2" w:name="_GoBack"/>
      <w:bookmarkEnd w:id="2"/>
    </w:p>
    <w:p>
      <w:pPr>
        <w:rPr>
          <w:rFonts w:ascii="仿宋" w:hAnsi="仿宋"/>
          <w:color w:val="auto"/>
          <w:sz w:val="28"/>
          <w:szCs w:val="32"/>
          <w:highlight w:val="none"/>
        </w:rPr>
      </w:pPr>
      <w:r>
        <w:rPr>
          <w:rFonts w:hint="eastAsia" w:ascii="仿宋" w:hAnsi="仿宋"/>
          <w:color w:val="auto"/>
          <w:sz w:val="28"/>
          <w:szCs w:val="32"/>
          <w:highlight w:val="none"/>
        </w:rPr>
        <w:t>附件</w:t>
      </w:r>
      <w:r>
        <w:rPr>
          <w:rFonts w:ascii="仿宋" w:hAnsi="仿宋"/>
          <w:color w:val="auto"/>
          <w:sz w:val="28"/>
          <w:szCs w:val="32"/>
          <w:highlight w:val="none"/>
        </w:rPr>
        <w:t>2</w:t>
      </w:r>
      <w:r>
        <w:rPr>
          <w:rFonts w:hint="eastAsia" w:ascii="仿宋" w:hAnsi="仿宋"/>
          <w:color w:val="auto"/>
          <w:sz w:val="28"/>
          <w:szCs w:val="32"/>
          <w:highlight w:val="none"/>
        </w:rPr>
        <w:t>：水土保持监测合同格式</w:t>
      </w:r>
    </w:p>
    <w:p>
      <w:pPr>
        <w:spacing w:line="360" w:lineRule="auto"/>
        <w:ind w:right="1739" w:firstLine="560"/>
        <w:jc w:val="right"/>
        <w:rPr>
          <w:rFonts w:ascii="仿宋_GB2312" w:eastAsia="仿宋_GB2312"/>
          <w:color w:val="auto"/>
          <w:sz w:val="32"/>
          <w:highlight w:val="none"/>
        </w:rPr>
      </w:pPr>
      <w:r>
        <w:rPr>
          <w:rFonts w:hint="eastAsia" w:ascii="仿宋_GB2312" w:eastAsia="仿宋_GB2312"/>
          <w:color w:val="auto"/>
          <w:sz w:val="32"/>
          <w:highlight w:val="none"/>
        </w:rPr>
        <w:t>合同编号：</w:t>
      </w:r>
    </w:p>
    <w:p>
      <w:pPr>
        <w:spacing w:line="360" w:lineRule="auto"/>
        <w:ind w:right="139" w:firstLine="560"/>
        <w:jc w:val="right"/>
        <w:rPr>
          <w:rFonts w:ascii="宋体" w:hAnsi="宋体"/>
          <w:color w:val="auto"/>
          <w:sz w:val="28"/>
          <w:szCs w:val="28"/>
          <w:highlight w:val="none"/>
        </w:rPr>
      </w:pPr>
      <w:r>
        <w:rPr>
          <w:color w:val="auto"/>
          <w:highlight w:val="none"/>
        </w:rPr>
        <w:drawing>
          <wp:anchor distT="0" distB="0" distL="114300" distR="114300" simplePos="0" relativeHeight="251659264" behindDoc="0" locked="0" layoutInCell="1" allowOverlap="1">
            <wp:simplePos x="0" y="0"/>
            <wp:positionH relativeFrom="column">
              <wp:posOffset>-10795</wp:posOffset>
            </wp:positionH>
            <wp:positionV relativeFrom="paragraph">
              <wp:posOffset>-143510</wp:posOffset>
            </wp:positionV>
            <wp:extent cx="1068070" cy="1278255"/>
            <wp:effectExtent l="0" t="0" r="17780" b="17145"/>
            <wp:wrapNone/>
            <wp:docPr id="1" name="图片 1" descr="说明: 工务署VI-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工务署VI-标志"/>
                    <pic:cNvPicPr>
                      <a:picLocks noChangeAspect="1"/>
                    </pic:cNvPicPr>
                  </pic:nvPicPr>
                  <pic:blipFill>
                    <a:blip r:embed="rId4"/>
                    <a:stretch>
                      <a:fillRect/>
                    </a:stretch>
                  </pic:blipFill>
                  <pic:spPr>
                    <a:xfrm>
                      <a:off x="0" y="0"/>
                      <a:ext cx="1068070" cy="1278255"/>
                    </a:xfrm>
                    <a:prstGeom prst="rect">
                      <a:avLst/>
                    </a:prstGeom>
                    <a:noFill/>
                    <a:ln>
                      <a:noFill/>
                    </a:ln>
                  </pic:spPr>
                </pic:pic>
              </a:graphicData>
            </a:graphic>
          </wp:anchor>
        </w:drawing>
      </w:r>
    </w:p>
    <w:p>
      <w:pPr>
        <w:spacing w:line="560" w:lineRule="exact"/>
        <w:ind w:firstLine="560"/>
        <w:jc w:val="center"/>
        <w:rPr>
          <w:rFonts w:ascii="宋体" w:hAnsi="宋体"/>
          <w:color w:val="auto"/>
          <w:sz w:val="28"/>
          <w:szCs w:val="28"/>
          <w:highlight w:val="none"/>
        </w:rPr>
      </w:pPr>
      <w:r>
        <w:rPr>
          <w:rFonts w:hint="eastAsia" w:ascii="宋体" w:hAnsi="宋体"/>
          <w:color w:val="auto"/>
          <w:sz w:val="28"/>
          <w:szCs w:val="28"/>
          <w:highlight w:val="none"/>
        </w:rPr>
        <w:t xml:space="preserve">  </w:t>
      </w:r>
    </w:p>
    <w:p>
      <w:pPr>
        <w:pStyle w:val="7"/>
        <w:ind w:left="0" w:leftChars="0" w:firstLine="0" w:firstLineChars="0"/>
        <w:rPr>
          <w:rFonts w:ascii="宋体" w:hAnsi="宋体"/>
          <w:b/>
          <w:color w:val="auto"/>
          <w:spacing w:val="40"/>
          <w:sz w:val="52"/>
          <w:szCs w:val="52"/>
          <w:highlight w:val="none"/>
        </w:rPr>
      </w:pPr>
    </w:p>
    <w:p>
      <w:pPr>
        <w:adjustRightInd w:val="0"/>
        <w:snapToGrid w:val="0"/>
        <w:spacing w:after="100" w:line="560" w:lineRule="exact"/>
        <w:ind w:firstLine="1204"/>
        <w:jc w:val="center"/>
        <w:rPr>
          <w:rFonts w:ascii="宋体" w:hAnsi="宋体"/>
          <w:b/>
          <w:color w:val="auto"/>
          <w:spacing w:val="40"/>
          <w:sz w:val="52"/>
          <w:szCs w:val="52"/>
          <w:highlight w:val="none"/>
        </w:rPr>
      </w:pPr>
    </w:p>
    <w:p>
      <w:pPr>
        <w:adjustRightInd w:val="0"/>
        <w:snapToGrid w:val="0"/>
        <w:spacing w:after="100" w:line="560" w:lineRule="exact"/>
        <w:ind w:firstLine="722"/>
        <w:jc w:val="center"/>
        <w:rPr>
          <w:rFonts w:ascii="宋体" w:hAnsi="宋体"/>
          <w:b/>
          <w:color w:val="auto"/>
          <w:spacing w:val="40"/>
          <w:sz w:val="28"/>
          <w:szCs w:val="28"/>
          <w:highlight w:val="none"/>
        </w:rPr>
      </w:pPr>
    </w:p>
    <w:p>
      <w:pPr>
        <w:adjustRightInd w:val="0"/>
        <w:snapToGrid w:val="0"/>
        <w:spacing w:after="100" w:line="360" w:lineRule="auto"/>
        <w:jc w:val="center"/>
        <w:rPr>
          <w:rFonts w:ascii="宋体" w:hAnsi="宋体"/>
          <w:b/>
          <w:color w:val="auto"/>
          <w:sz w:val="44"/>
          <w:szCs w:val="44"/>
          <w:highlight w:val="none"/>
        </w:rPr>
      </w:pPr>
      <w:r>
        <w:rPr>
          <w:rFonts w:hint="eastAsia" w:ascii="宋体" w:hAnsi="宋体"/>
          <w:b/>
          <w:color w:val="auto"/>
          <w:sz w:val="44"/>
          <w:szCs w:val="44"/>
          <w:highlight w:val="none"/>
        </w:rPr>
        <w:t>深圳市建筑工务署工程管理中心</w:t>
      </w:r>
    </w:p>
    <w:p>
      <w:pPr>
        <w:adjustRightInd w:val="0"/>
        <w:snapToGrid w:val="0"/>
        <w:spacing w:after="100"/>
        <w:jc w:val="center"/>
        <w:rPr>
          <w:rFonts w:ascii="宋体" w:hAnsi="宋体"/>
          <w:b/>
          <w:color w:val="auto"/>
          <w:sz w:val="32"/>
          <w:szCs w:val="44"/>
          <w:highlight w:val="none"/>
        </w:rPr>
      </w:pPr>
      <w:r>
        <w:rPr>
          <w:rFonts w:hint="eastAsia" w:ascii="宋体" w:hAnsi="宋体"/>
          <w:b/>
          <w:color w:val="auto"/>
          <w:sz w:val="44"/>
          <w:szCs w:val="44"/>
          <w:highlight w:val="none"/>
        </w:rPr>
        <w:t>合同协议书</w:t>
      </w:r>
    </w:p>
    <w:p>
      <w:pPr>
        <w:adjustRightInd w:val="0"/>
        <w:snapToGrid w:val="0"/>
        <w:spacing w:after="100"/>
        <w:rPr>
          <w:rFonts w:ascii="宋体" w:hAnsi="宋体"/>
          <w:b/>
          <w:color w:val="auto"/>
          <w:sz w:val="32"/>
          <w:szCs w:val="32"/>
          <w:highlight w:val="none"/>
        </w:rPr>
      </w:pPr>
      <w:r>
        <w:rPr>
          <w:rFonts w:hint="eastAsia" w:ascii="宋体" w:hAnsi="宋体"/>
          <w:b/>
          <w:color w:val="auto"/>
          <w:sz w:val="32"/>
          <w:szCs w:val="32"/>
          <w:highlight w:val="none"/>
        </w:rPr>
        <w:t xml:space="preserve">   </w:t>
      </w:r>
    </w:p>
    <w:p>
      <w:pPr>
        <w:spacing w:line="560" w:lineRule="exact"/>
        <w:ind w:firstLine="560"/>
        <w:rPr>
          <w:rFonts w:ascii="宋体" w:hAnsi="宋体"/>
          <w:color w:val="auto"/>
          <w:sz w:val="28"/>
          <w:szCs w:val="28"/>
          <w:highlight w:val="none"/>
        </w:rPr>
      </w:pPr>
    </w:p>
    <w:p>
      <w:pPr>
        <w:pStyle w:val="7"/>
        <w:rPr>
          <w:color w:val="auto"/>
          <w:highlight w:val="none"/>
        </w:rPr>
      </w:pPr>
    </w:p>
    <w:p>
      <w:pPr>
        <w:spacing w:line="560" w:lineRule="exact"/>
        <w:rPr>
          <w:rFonts w:ascii="宋体" w:hAnsi="宋体"/>
          <w:color w:val="auto"/>
          <w:sz w:val="28"/>
          <w:szCs w:val="28"/>
          <w:highlight w:val="none"/>
        </w:rPr>
      </w:pPr>
    </w:p>
    <w:p>
      <w:pPr>
        <w:spacing w:line="360" w:lineRule="auto"/>
        <w:ind w:left="2557" w:leftChars="300" w:hanging="1927" w:hangingChars="600"/>
        <w:rPr>
          <w:rFonts w:ascii="宋体" w:hAnsi="宋体"/>
          <w:b/>
          <w:color w:val="auto"/>
          <w:sz w:val="32"/>
          <w:szCs w:val="32"/>
          <w:highlight w:val="none"/>
          <w:u w:val="single"/>
        </w:rPr>
      </w:pPr>
      <w:r>
        <w:rPr>
          <w:rFonts w:hint="eastAsia" w:ascii="宋体" w:hAnsi="宋体"/>
          <w:b/>
          <w:color w:val="auto"/>
          <w:sz w:val="32"/>
          <w:szCs w:val="32"/>
          <w:highlight w:val="none"/>
        </w:rPr>
        <w:t>项目名称：</w:t>
      </w:r>
      <w:r>
        <w:rPr>
          <w:rFonts w:hint="eastAsia" w:ascii="宋体" w:hAnsi="宋体"/>
          <w:b/>
          <w:color w:val="auto"/>
          <w:sz w:val="32"/>
          <w:szCs w:val="32"/>
          <w:highlight w:val="none"/>
          <w:u w:val="single"/>
          <w:lang w:eastAsia="zh-CN"/>
        </w:rPr>
        <w:t>深圳歌剧院</w:t>
      </w:r>
      <w:r>
        <w:rPr>
          <w:rFonts w:hint="eastAsia" w:ascii="宋体" w:hAnsi="宋体"/>
          <w:b/>
          <w:color w:val="auto"/>
          <w:sz w:val="32"/>
          <w:szCs w:val="32"/>
          <w:highlight w:val="none"/>
          <w:u w:val="single"/>
        </w:rPr>
        <w:t xml:space="preserve">    </w:t>
      </w:r>
    </w:p>
    <w:p>
      <w:pPr>
        <w:spacing w:line="360" w:lineRule="auto"/>
        <w:ind w:left="2106" w:leftChars="304" w:hanging="1468" w:hangingChars="457"/>
        <w:rPr>
          <w:rFonts w:ascii="宋体" w:hAnsi="宋体"/>
          <w:b/>
          <w:color w:val="auto"/>
          <w:sz w:val="32"/>
          <w:szCs w:val="32"/>
          <w:highlight w:val="none"/>
          <w:u w:val="single"/>
        </w:rPr>
      </w:pPr>
      <w:r>
        <w:rPr>
          <w:rFonts w:hint="eastAsia" w:ascii="宋体" w:hAnsi="宋体"/>
          <w:b/>
          <w:color w:val="auto"/>
          <w:sz w:val="32"/>
          <w:szCs w:val="32"/>
          <w:highlight w:val="none"/>
        </w:rPr>
        <w:t>合同名称：</w:t>
      </w:r>
      <w:r>
        <w:rPr>
          <w:rFonts w:hint="eastAsia" w:ascii="宋体" w:hAnsi="宋体"/>
          <w:b/>
          <w:color w:val="auto"/>
          <w:sz w:val="32"/>
          <w:szCs w:val="32"/>
          <w:highlight w:val="none"/>
          <w:u w:val="single"/>
          <w:lang w:eastAsia="zh-CN"/>
        </w:rPr>
        <w:t>深圳歌剧院项目</w:t>
      </w:r>
      <w:r>
        <w:rPr>
          <w:rFonts w:hint="eastAsia" w:ascii="宋体" w:hAnsi="宋体"/>
          <w:b/>
          <w:color w:val="auto"/>
          <w:sz w:val="32"/>
          <w:szCs w:val="32"/>
          <w:highlight w:val="none"/>
          <w:u w:val="single"/>
        </w:rPr>
        <w:t>水土保持监测合同</w:t>
      </w:r>
    </w:p>
    <w:p>
      <w:pPr>
        <w:spacing w:line="360" w:lineRule="auto"/>
        <w:ind w:right="-199" w:rightChars="-95"/>
        <w:rPr>
          <w:rFonts w:ascii="宋体" w:hAnsi="宋体"/>
          <w:b/>
          <w:color w:val="auto"/>
          <w:sz w:val="32"/>
          <w:szCs w:val="32"/>
          <w:highlight w:val="none"/>
          <w:u w:val="single"/>
        </w:rPr>
      </w:pPr>
      <w:r>
        <w:rPr>
          <w:rFonts w:ascii="宋体" w:hAnsi="宋体"/>
          <w:b/>
          <w:color w:val="auto"/>
          <w:sz w:val="32"/>
          <w:szCs w:val="32"/>
          <w:highlight w:val="none"/>
        </w:rPr>
        <w:t xml:space="preserve"> </w:t>
      </w:r>
      <w:r>
        <w:rPr>
          <w:rFonts w:hint="eastAsia" w:ascii="宋体" w:hAnsi="宋体"/>
          <w:b/>
          <w:color w:val="auto"/>
          <w:sz w:val="32"/>
          <w:szCs w:val="32"/>
          <w:highlight w:val="none"/>
        </w:rPr>
        <w:t xml:space="preserve">   发 包 人：</w:t>
      </w:r>
      <w:r>
        <w:rPr>
          <w:rFonts w:hint="eastAsia" w:ascii="宋体" w:hAnsi="宋体"/>
          <w:b/>
          <w:color w:val="auto"/>
          <w:sz w:val="32"/>
          <w:szCs w:val="32"/>
          <w:highlight w:val="none"/>
          <w:u w:val="single"/>
        </w:rPr>
        <w:t xml:space="preserve">深圳市建筑工务署工程管理中心      </w:t>
      </w:r>
    </w:p>
    <w:p>
      <w:pPr>
        <w:spacing w:line="360" w:lineRule="auto"/>
        <w:ind w:firstLine="643"/>
        <w:rPr>
          <w:rFonts w:ascii="宋体" w:hAnsi="宋体"/>
          <w:b/>
          <w:color w:val="auto"/>
          <w:sz w:val="32"/>
          <w:szCs w:val="32"/>
          <w:highlight w:val="none"/>
        </w:rPr>
      </w:pPr>
      <w:r>
        <w:rPr>
          <w:rFonts w:hint="eastAsia" w:ascii="宋体" w:hAnsi="宋体"/>
          <w:b/>
          <w:color w:val="auto"/>
          <w:sz w:val="32"/>
          <w:szCs w:val="32"/>
          <w:highlight w:val="none"/>
        </w:rPr>
        <w:t>承 包 人：</w:t>
      </w:r>
      <w:r>
        <w:rPr>
          <w:rFonts w:hint="eastAsia" w:ascii="宋体" w:hAnsi="宋体"/>
          <w:b/>
          <w:color w:val="auto"/>
          <w:sz w:val="32"/>
          <w:szCs w:val="32"/>
          <w:highlight w:val="none"/>
          <w:u w:val="single"/>
        </w:rPr>
        <w:t xml:space="preserve"> </w:t>
      </w:r>
      <w:r>
        <w:rPr>
          <w:rFonts w:ascii="宋体" w:hAnsi="宋体"/>
          <w:b/>
          <w:color w:val="auto"/>
          <w:sz w:val="32"/>
          <w:szCs w:val="32"/>
          <w:highlight w:val="none"/>
          <w:u w:val="single"/>
        </w:rPr>
        <w:t xml:space="preserve">      </w:t>
      </w:r>
      <w:r>
        <w:rPr>
          <w:rFonts w:hint="eastAsia" w:ascii="宋体" w:hAnsi="宋体"/>
          <w:b/>
          <w:color w:val="auto"/>
          <w:sz w:val="32"/>
          <w:szCs w:val="32"/>
          <w:highlight w:val="none"/>
          <w:u w:val="single"/>
        </w:rPr>
        <w:t xml:space="preserve">                           </w:t>
      </w:r>
    </w:p>
    <w:p>
      <w:pPr>
        <w:widowControl/>
        <w:spacing w:before="156" w:beforeLines="50" w:line="360" w:lineRule="auto"/>
        <w:ind w:firstLine="642" w:firstLineChars="200"/>
        <w:jc w:val="left"/>
        <w:rPr>
          <w:rFonts w:ascii="宋体" w:hAnsi="宋体"/>
          <w:b/>
          <w:color w:val="auto"/>
          <w:sz w:val="32"/>
          <w:szCs w:val="32"/>
          <w:highlight w:val="none"/>
        </w:rPr>
        <w:sectPr>
          <w:pgSz w:w="11906" w:h="16838"/>
          <w:pgMar w:top="1440" w:right="1800" w:bottom="1440" w:left="1800" w:header="851" w:footer="992" w:gutter="0"/>
          <w:pgNumType w:start="1"/>
          <w:cols w:space="720" w:num="1"/>
          <w:docGrid w:type="lines" w:linePitch="312" w:charSpace="0"/>
        </w:sectPr>
      </w:pPr>
      <w:r>
        <w:rPr>
          <w:rFonts w:hint="eastAsia" w:ascii="宋体" w:hAnsi="宋体"/>
          <w:b/>
          <w:color w:val="auto"/>
          <w:sz w:val="32"/>
          <w:szCs w:val="32"/>
          <w:highlight w:val="none"/>
        </w:rPr>
        <w:t>日    期：</w:t>
      </w:r>
      <w:r>
        <w:rPr>
          <w:rFonts w:hint="eastAsia" w:ascii="宋体" w:hAnsi="宋体"/>
          <w:b/>
          <w:color w:val="auto"/>
          <w:sz w:val="32"/>
          <w:szCs w:val="32"/>
          <w:highlight w:val="none"/>
          <w:u w:val="single"/>
        </w:rPr>
        <w:t xml:space="preserve"> 二0二</w:t>
      </w:r>
      <w:r>
        <w:rPr>
          <w:rFonts w:hint="eastAsia" w:ascii="宋体" w:hAnsi="宋体"/>
          <w:b/>
          <w:color w:val="auto"/>
          <w:sz w:val="32"/>
          <w:szCs w:val="32"/>
          <w:highlight w:val="none"/>
          <w:u w:val="single"/>
          <w:lang w:val="en-US" w:eastAsia="zh-CN"/>
        </w:rPr>
        <w:t>四</w:t>
      </w:r>
      <w:r>
        <w:rPr>
          <w:rFonts w:hint="eastAsia" w:ascii="宋体" w:hAnsi="宋体"/>
          <w:b/>
          <w:color w:val="auto"/>
          <w:sz w:val="32"/>
          <w:szCs w:val="32"/>
          <w:highlight w:val="none"/>
          <w:u w:val="single"/>
        </w:rPr>
        <w:t>年</w:t>
      </w:r>
      <w:r>
        <w:rPr>
          <w:rFonts w:hint="eastAsia" w:ascii="宋体" w:hAnsi="宋体"/>
          <w:b/>
          <w:color w:val="auto"/>
          <w:sz w:val="32"/>
          <w:szCs w:val="32"/>
          <w:highlight w:val="none"/>
          <w:u w:val="single"/>
          <w:lang w:val="en-US" w:eastAsia="zh-CN"/>
        </w:rPr>
        <w:t>一</w:t>
      </w:r>
      <w:r>
        <w:rPr>
          <w:rFonts w:hint="eastAsia" w:ascii="宋体" w:hAnsi="宋体"/>
          <w:b/>
          <w:color w:val="auto"/>
          <w:sz w:val="32"/>
          <w:szCs w:val="32"/>
          <w:highlight w:val="none"/>
          <w:u w:val="single"/>
        </w:rPr>
        <w:t xml:space="preserve">月                  </w:t>
      </w: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lang w:eastAsia="zh-CN"/>
        </w:rPr>
        <w:t>深圳歌剧院项目</w:t>
      </w:r>
      <w:r>
        <w:rPr>
          <w:rFonts w:ascii="宋体" w:hAnsi="宋体"/>
          <w:color w:val="auto"/>
          <w:sz w:val="36"/>
          <w:szCs w:val="36"/>
          <w:highlight w:val="none"/>
        </w:rPr>
        <w:t>水土保持监测</w:t>
      </w:r>
      <w:r>
        <w:rPr>
          <w:rFonts w:hint="eastAsia" w:ascii="宋体" w:hAnsi="宋体"/>
          <w:color w:val="auto"/>
          <w:sz w:val="36"/>
          <w:szCs w:val="36"/>
          <w:highlight w:val="none"/>
        </w:rPr>
        <w:t>合同</w:t>
      </w:r>
    </w:p>
    <w:p>
      <w:pPr>
        <w:spacing w:line="360" w:lineRule="auto"/>
        <w:ind w:left="636" w:leftChars="303"/>
        <w:rPr>
          <w:rFonts w:ascii="宋体" w:hAnsi="宋体"/>
          <w:color w:val="auto"/>
          <w:sz w:val="28"/>
          <w:szCs w:val="28"/>
          <w:highlight w:val="none"/>
        </w:rPr>
      </w:pPr>
      <w:r>
        <w:rPr>
          <w:rFonts w:hint="eastAsia" w:ascii="宋体" w:hAnsi="宋体"/>
          <w:b/>
          <w:color w:val="auto"/>
          <w:sz w:val="24"/>
          <w:highlight w:val="none"/>
        </w:rPr>
        <w:t>发包人</w:t>
      </w:r>
      <w:r>
        <w:rPr>
          <w:rFonts w:ascii="宋体" w:hAnsi="宋体"/>
          <w:b/>
          <w:color w:val="auto"/>
          <w:sz w:val="24"/>
          <w:highlight w:val="none"/>
        </w:rPr>
        <w:t>（甲方）：</w:t>
      </w:r>
      <w:r>
        <w:rPr>
          <w:rFonts w:hint="eastAsia" w:ascii="宋体" w:hAnsi="宋体"/>
          <w:color w:val="auto"/>
          <w:sz w:val="28"/>
          <w:szCs w:val="28"/>
          <w:highlight w:val="none"/>
          <w:u w:val="single"/>
        </w:rPr>
        <w:t>深圳市建筑工务署工程管理中心</w:t>
      </w:r>
    </w:p>
    <w:p>
      <w:pPr>
        <w:spacing w:line="600" w:lineRule="exact"/>
        <w:ind w:left="636" w:leftChars="303"/>
        <w:rPr>
          <w:rFonts w:ascii="宋体" w:hAnsi="宋体"/>
          <w:color w:val="auto"/>
          <w:sz w:val="28"/>
          <w:szCs w:val="28"/>
          <w:highlight w:val="none"/>
        </w:rPr>
      </w:pPr>
      <w:r>
        <w:rPr>
          <w:rFonts w:hint="eastAsia" w:ascii="宋体" w:hAnsi="宋体"/>
          <w:b/>
          <w:color w:val="auto"/>
          <w:sz w:val="24"/>
          <w:highlight w:val="none"/>
        </w:rPr>
        <w:t>承包人</w:t>
      </w:r>
      <w:r>
        <w:rPr>
          <w:rFonts w:ascii="宋体" w:hAnsi="宋体"/>
          <w:b/>
          <w:color w:val="auto"/>
          <w:sz w:val="24"/>
          <w:highlight w:val="none"/>
        </w:rPr>
        <w:t>（乙方）：</w:t>
      </w:r>
      <w:r>
        <w:rPr>
          <w:rFonts w:hint="eastAsia" w:ascii="宋体" w:hAnsi="宋体"/>
          <w:b/>
          <w:color w:val="auto"/>
          <w:sz w:val="24"/>
          <w:highlight w:val="none"/>
          <w:u w:val="single"/>
        </w:rPr>
        <w:t xml:space="preserve"> </w:t>
      </w:r>
      <w:r>
        <w:rPr>
          <w:rFonts w:ascii="宋体" w:hAnsi="宋体"/>
          <w:b/>
          <w:color w:val="auto"/>
          <w:sz w:val="24"/>
          <w:highlight w:val="none"/>
          <w:u w:val="single"/>
        </w:rPr>
        <w:t xml:space="preserve">                                   </w:t>
      </w:r>
      <w:r>
        <w:rPr>
          <w:rFonts w:hint="eastAsia" w:ascii="宋体" w:hAnsi="宋体"/>
          <w:color w:val="auto"/>
          <w:sz w:val="28"/>
          <w:szCs w:val="28"/>
          <w:highlight w:val="none"/>
          <w:u w:val="single"/>
        </w:rPr>
        <w:t xml:space="preserve"> </w:t>
      </w:r>
    </w:p>
    <w:p>
      <w:pPr>
        <w:spacing w:line="480" w:lineRule="exact"/>
        <w:rPr>
          <w:rFonts w:ascii="宋体" w:hAnsi="宋体"/>
          <w:color w:val="auto"/>
          <w:sz w:val="28"/>
          <w:szCs w:val="28"/>
          <w:highlight w:val="none"/>
        </w:rPr>
      </w:pP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根据《中华人民共和国民法典》、深圳市水务局</w:t>
      </w:r>
      <w:r>
        <w:rPr>
          <w:rFonts w:ascii="宋体" w:hAnsi="宋体"/>
          <w:color w:val="auto"/>
          <w:kern w:val="28"/>
          <w:sz w:val="28"/>
          <w:szCs w:val="28"/>
          <w:highlight w:val="none"/>
        </w:rPr>
        <w:t>《关于规范生产建设项目水土保持设施验收工作的通知》（</w:t>
      </w:r>
      <w:r>
        <w:rPr>
          <w:rFonts w:hint="eastAsia" w:ascii="宋体" w:hAnsi="宋体"/>
          <w:color w:val="auto"/>
          <w:kern w:val="28"/>
          <w:sz w:val="28"/>
          <w:szCs w:val="28"/>
          <w:highlight w:val="none"/>
        </w:rPr>
        <w:t>深水保〔2019〕617号文</w:t>
      </w:r>
      <w:r>
        <w:rPr>
          <w:rFonts w:ascii="宋体" w:hAnsi="宋体"/>
          <w:color w:val="auto"/>
          <w:kern w:val="28"/>
          <w:sz w:val="28"/>
          <w:szCs w:val="28"/>
          <w:highlight w:val="none"/>
        </w:rPr>
        <w:t>）</w:t>
      </w:r>
      <w:r>
        <w:rPr>
          <w:rFonts w:hint="eastAsia" w:ascii="宋体" w:hAnsi="宋体"/>
          <w:color w:val="auto"/>
          <w:sz w:val="28"/>
          <w:szCs w:val="28"/>
          <w:highlight w:val="none"/>
        </w:rPr>
        <w:t>以及其他有关法律、法规，遵循平等、自愿、公平和诚实信用的原则，甲、乙双方就本工程水土保持监测事宜协商一致，订立本合同，内容如下：</w:t>
      </w:r>
    </w:p>
    <w:p>
      <w:pPr>
        <w:spacing w:line="480" w:lineRule="exact"/>
        <w:ind w:firstLine="602" w:firstLineChars="200"/>
        <w:jc w:val="left"/>
        <w:rPr>
          <w:rFonts w:ascii="宋体" w:hAnsi="宋体"/>
          <w:b/>
          <w:color w:val="auto"/>
          <w:sz w:val="30"/>
          <w:szCs w:val="30"/>
          <w:highlight w:val="none"/>
        </w:rPr>
      </w:pPr>
      <w:r>
        <w:rPr>
          <w:rFonts w:hint="eastAsia" w:ascii="宋体" w:hAnsi="宋体"/>
          <w:b/>
          <w:color w:val="auto"/>
          <w:sz w:val="30"/>
          <w:szCs w:val="30"/>
          <w:highlight w:val="none"/>
        </w:rPr>
        <w:t>一、工程概况</w:t>
      </w:r>
    </w:p>
    <w:p>
      <w:pPr>
        <w:spacing w:line="480" w:lineRule="exact"/>
        <w:ind w:left="2090" w:leftChars="302" w:hanging="1456" w:hangingChars="520"/>
        <w:rPr>
          <w:rFonts w:ascii="宋体" w:hAnsi="宋体"/>
          <w:color w:val="auto"/>
          <w:sz w:val="28"/>
          <w:szCs w:val="28"/>
          <w:highlight w:val="none"/>
          <w:u w:val="single"/>
        </w:rPr>
      </w:pPr>
      <w:r>
        <w:rPr>
          <w:rFonts w:hint="eastAsia" w:ascii="宋体" w:hAnsi="宋体"/>
          <w:color w:val="auto"/>
          <w:sz w:val="28"/>
          <w:szCs w:val="28"/>
          <w:highlight w:val="none"/>
        </w:rPr>
        <w:t>工程名称：</w:t>
      </w:r>
      <w:r>
        <w:rPr>
          <w:rFonts w:hint="eastAsia" w:ascii="宋体" w:hAnsi="宋体"/>
          <w:color w:val="auto"/>
          <w:sz w:val="28"/>
          <w:szCs w:val="28"/>
          <w:highlight w:val="none"/>
          <w:u w:val="single"/>
          <w:lang w:eastAsia="zh-CN"/>
        </w:rPr>
        <w:t>深圳歌剧院项目</w:t>
      </w:r>
      <w:r>
        <w:rPr>
          <w:rFonts w:hint="eastAsia" w:ascii="宋体" w:hAnsi="宋体"/>
          <w:color w:val="auto"/>
          <w:sz w:val="28"/>
          <w:szCs w:val="28"/>
          <w:highlight w:val="none"/>
          <w:u w:val="single"/>
        </w:rPr>
        <w:t>水土保持监测</w:t>
      </w:r>
    </w:p>
    <w:p>
      <w:pPr>
        <w:keepNext w:val="0"/>
        <w:keepLines w:val="0"/>
        <w:widowControl/>
        <w:suppressLineNumbers w:val="0"/>
        <w:ind w:firstLine="560" w:firstLineChars="200"/>
        <w:jc w:val="left"/>
        <w:rPr>
          <w:rFonts w:hint="default" w:ascii="宋体" w:hAnsi="宋体"/>
          <w:color w:val="auto"/>
          <w:sz w:val="28"/>
          <w:szCs w:val="28"/>
          <w:highlight w:val="none"/>
          <w:u w:val="single"/>
          <w:lang w:val="en-US"/>
        </w:rPr>
      </w:pPr>
      <w:r>
        <w:rPr>
          <w:rFonts w:hint="eastAsia" w:ascii="宋体" w:hAnsi="宋体"/>
          <w:color w:val="auto"/>
          <w:sz w:val="28"/>
          <w:szCs w:val="28"/>
          <w:highlight w:val="none"/>
        </w:rPr>
        <w:t>工程地点：</w:t>
      </w:r>
      <w:r>
        <w:rPr>
          <w:rFonts w:hint="eastAsia" w:ascii="宋体" w:hAnsi="宋体"/>
          <w:color w:val="auto"/>
          <w:sz w:val="28"/>
          <w:szCs w:val="28"/>
          <w:highlight w:val="none"/>
          <w:u w:val="single"/>
          <w:lang w:val="en-US" w:eastAsia="zh-CN"/>
        </w:rPr>
        <w:t>深圳市南山区东角头地块</w:t>
      </w:r>
    </w:p>
    <w:p>
      <w:pPr>
        <w:spacing w:line="480" w:lineRule="exact"/>
        <w:ind w:left="636" w:leftChars="303"/>
        <w:rPr>
          <w:rFonts w:ascii="宋体" w:hAnsi="宋体"/>
          <w:color w:val="auto"/>
          <w:sz w:val="28"/>
          <w:szCs w:val="28"/>
          <w:highlight w:val="none"/>
          <w:u w:val="single"/>
        </w:rPr>
      </w:pPr>
      <w:r>
        <w:rPr>
          <w:rFonts w:hint="eastAsia" w:ascii="宋体" w:hAnsi="宋体"/>
          <w:color w:val="auto"/>
          <w:sz w:val="28"/>
          <w:szCs w:val="28"/>
          <w:highlight w:val="none"/>
        </w:rPr>
        <w:t>工程规模：</w:t>
      </w:r>
      <w:r>
        <w:rPr>
          <w:rFonts w:hint="eastAsia" w:ascii="宋体" w:hAnsi="宋体" w:eastAsia="宋体"/>
          <w:color w:val="auto"/>
          <w:sz w:val="28"/>
          <w:szCs w:val="28"/>
          <w:highlight w:val="none"/>
          <w:u w:val="single"/>
          <w:lang w:val="en-US" w:eastAsia="zh-CN"/>
        </w:rPr>
        <w:t>本项目概算批复总投资约</w:t>
      </w:r>
      <w:r>
        <w:rPr>
          <w:rFonts w:hint="eastAsia" w:ascii="宋体" w:hAnsi="宋体"/>
          <w:color w:val="auto"/>
          <w:sz w:val="28"/>
          <w:szCs w:val="28"/>
          <w:highlight w:val="none"/>
          <w:u w:val="single"/>
          <w:lang w:val="en-US" w:eastAsia="zh-CN"/>
        </w:rPr>
        <w:t>555177</w:t>
      </w:r>
      <w:r>
        <w:rPr>
          <w:rFonts w:hint="eastAsia" w:ascii="宋体" w:hAnsi="宋体" w:eastAsia="宋体"/>
          <w:color w:val="auto"/>
          <w:sz w:val="28"/>
          <w:szCs w:val="28"/>
          <w:highlight w:val="none"/>
          <w:u w:val="single"/>
          <w:lang w:val="en-US" w:eastAsia="zh-CN"/>
        </w:rPr>
        <w:t>万元，总建筑面积</w:t>
      </w:r>
      <w:r>
        <w:rPr>
          <w:rFonts w:hint="eastAsia" w:ascii="宋体" w:hAnsi="宋体"/>
          <w:color w:val="auto"/>
          <w:sz w:val="28"/>
          <w:szCs w:val="28"/>
          <w:highlight w:val="none"/>
          <w:u w:val="single"/>
          <w:lang w:val="en-US" w:eastAsia="zh-CN"/>
        </w:rPr>
        <w:t>211503</w:t>
      </w:r>
      <w:r>
        <w:rPr>
          <w:rFonts w:hint="eastAsia" w:ascii="宋体" w:hAnsi="宋体" w:eastAsia="宋体"/>
          <w:color w:val="auto"/>
          <w:sz w:val="28"/>
          <w:szCs w:val="28"/>
          <w:highlight w:val="none"/>
          <w:u w:val="single"/>
          <w:lang w:val="en-US" w:eastAsia="zh-CN"/>
        </w:rPr>
        <w:t>㎡</w:t>
      </w:r>
      <w:r>
        <w:rPr>
          <w:rFonts w:hint="eastAsia" w:ascii="宋体" w:hAnsi="宋体"/>
          <w:color w:val="auto"/>
          <w:sz w:val="28"/>
          <w:szCs w:val="28"/>
          <w:highlight w:val="none"/>
          <w:u w:val="single"/>
          <w:lang w:val="en-US" w:eastAsia="zh-CN"/>
        </w:rPr>
        <w:t>。</w:t>
      </w:r>
    </w:p>
    <w:p>
      <w:pPr>
        <w:spacing w:line="480" w:lineRule="exact"/>
        <w:ind w:firstLine="602" w:firstLineChars="200"/>
        <w:jc w:val="left"/>
        <w:rPr>
          <w:rFonts w:ascii="宋体" w:hAnsi="宋体"/>
          <w:b/>
          <w:color w:val="auto"/>
          <w:sz w:val="30"/>
          <w:szCs w:val="30"/>
          <w:highlight w:val="none"/>
        </w:rPr>
      </w:pPr>
      <w:r>
        <w:rPr>
          <w:rFonts w:ascii="宋体" w:hAnsi="宋体"/>
          <w:b/>
          <w:color w:val="auto"/>
          <w:sz w:val="30"/>
          <w:szCs w:val="30"/>
          <w:highlight w:val="none"/>
        </w:rPr>
        <w:t>二、</w:t>
      </w:r>
      <w:r>
        <w:rPr>
          <w:rFonts w:hint="eastAsia" w:ascii="宋体" w:hAnsi="宋体"/>
          <w:b/>
          <w:color w:val="auto"/>
          <w:sz w:val="30"/>
          <w:szCs w:val="30"/>
          <w:highlight w:val="none"/>
        </w:rPr>
        <w:t>工作</w:t>
      </w:r>
      <w:r>
        <w:rPr>
          <w:rFonts w:ascii="宋体" w:hAnsi="宋体"/>
          <w:b/>
          <w:color w:val="auto"/>
          <w:sz w:val="30"/>
          <w:szCs w:val="30"/>
          <w:highlight w:val="none"/>
        </w:rPr>
        <w:t>内容</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1、水土保持监测时间：合同签订起至工程完成水土保持验收工作。</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2、水土保持监测内容</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（1）水土流失监测：包括施工期水土流失动态监测和水土流失危害监测。</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（2）水土保持工程的监测：包括水土保持工程措施和植物措施的种类、数量、质量监测。</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（3）水土流失防治效益监测：包括实施水土保持措施后的水土流失控制和景观影响度改善效果监测。</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（4）其他监测内容按水利部及水务主管部门相关规定执行。</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（5）每次监测完成后出具相应的水土保持监测报告。</w:t>
      </w:r>
    </w:p>
    <w:p>
      <w:pPr>
        <w:spacing w:line="480" w:lineRule="exact"/>
        <w:ind w:firstLine="602" w:firstLineChars="200"/>
        <w:jc w:val="left"/>
        <w:rPr>
          <w:rFonts w:ascii="宋体" w:hAnsi="宋体"/>
          <w:b/>
          <w:color w:val="auto"/>
          <w:sz w:val="30"/>
          <w:szCs w:val="30"/>
          <w:highlight w:val="none"/>
        </w:rPr>
      </w:pPr>
      <w:r>
        <w:rPr>
          <w:rFonts w:hint="eastAsia" w:ascii="宋体" w:hAnsi="宋体"/>
          <w:b/>
          <w:color w:val="auto"/>
          <w:sz w:val="30"/>
          <w:szCs w:val="30"/>
          <w:highlight w:val="none"/>
        </w:rPr>
        <w:t>三</w:t>
      </w:r>
      <w:r>
        <w:rPr>
          <w:rFonts w:ascii="宋体" w:hAnsi="宋体"/>
          <w:b/>
          <w:color w:val="auto"/>
          <w:sz w:val="30"/>
          <w:szCs w:val="30"/>
          <w:highlight w:val="none"/>
        </w:rPr>
        <w:t>、甲方职责</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1、甲方委托乙方承担</w:t>
      </w:r>
      <w:r>
        <w:rPr>
          <w:rFonts w:hint="eastAsia" w:ascii="宋体" w:hAnsi="宋体"/>
          <w:color w:val="auto"/>
          <w:sz w:val="28"/>
          <w:szCs w:val="28"/>
          <w:highlight w:val="none"/>
          <w:u w:val="single"/>
          <w:lang w:eastAsia="zh-CN"/>
        </w:rPr>
        <w:t>深圳歌剧院项目</w:t>
      </w:r>
      <w:r>
        <w:rPr>
          <w:rFonts w:hint="eastAsia" w:ascii="宋体" w:hAnsi="宋体"/>
          <w:color w:val="auto"/>
          <w:sz w:val="28"/>
          <w:szCs w:val="28"/>
          <w:highlight w:val="none"/>
        </w:rPr>
        <w:t>的水土保持监测工作，</w:t>
      </w:r>
      <w:r>
        <w:rPr>
          <w:rFonts w:ascii="宋体" w:hAnsi="宋体"/>
          <w:color w:val="auto"/>
          <w:sz w:val="28"/>
          <w:szCs w:val="28"/>
          <w:highlight w:val="none"/>
        </w:rPr>
        <w:t>对乙方的工作实行监督。</w:t>
      </w:r>
    </w:p>
    <w:p>
      <w:pPr>
        <w:spacing w:line="480" w:lineRule="exact"/>
        <w:ind w:firstLine="560" w:firstLineChars="200"/>
        <w:jc w:val="left"/>
        <w:rPr>
          <w:rFonts w:ascii="宋体" w:hAnsi="宋体"/>
          <w:color w:val="auto"/>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rPr>
        <w:t>、</w:t>
      </w:r>
      <w:r>
        <w:rPr>
          <w:rFonts w:ascii="宋体" w:hAnsi="宋体"/>
          <w:color w:val="auto"/>
          <w:sz w:val="28"/>
          <w:szCs w:val="28"/>
          <w:highlight w:val="none"/>
        </w:rPr>
        <w:t>甲乙双方相互支持配合，以保证水土保持监测</w:t>
      </w:r>
      <w:r>
        <w:rPr>
          <w:rFonts w:hint="eastAsia" w:ascii="宋体" w:hAnsi="宋体"/>
          <w:color w:val="auto"/>
          <w:sz w:val="28"/>
          <w:szCs w:val="28"/>
          <w:highlight w:val="none"/>
        </w:rPr>
        <w:t>工作</w:t>
      </w:r>
      <w:r>
        <w:rPr>
          <w:rFonts w:ascii="宋体" w:hAnsi="宋体"/>
          <w:color w:val="auto"/>
          <w:sz w:val="28"/>
          <w:szCs w:val="28"/>
          <w:highlight w:val="none"/>
        </w:rPr>
        <w:t>的顺利进行。甲方应帮助乙方协调</w:t>
      </w:r>
      <w:r>
        <w:rPr>
          <w:rFonts w:hint="eastAsia" w:ascii="宋体" w:hAnsi="宋体"/>
          <w:color w:val="auto"/>
          <w:sz w:val="28"/>
          <w:szCs w:val="28"/>
          <w:highlight w:val="none"/>
        </w:rPr>
        <w:t>现场和工程施工相关单位</w:t>
      </w:r>
      <w:r>
        <w:rPr>
          <w:rFonts w:ascii="宋体" w:hAnsi="宋体"/>
          <w:color w:val="auto"/>
          <w:sz w:val="28"/>
          <w:szCs w:val="28"/>
          <w:highlight w:val="none"/>
        </w:rPr>
        <w:t>关系。</w:t>
      </w:r>
    </w:p>
    <w:p>
      <w:pPr>
        <w:spacing w:line="480" w:lineRule="exact"/>
        <w:ind w:firstLine="602" w:firstLineChars="200"/>
        <w:jc w:val="left"/>
        <w:rPr>
          <w:rFonts w:ascii="宋体" w:hAnsi="宋体"/>
          <w:b/>
          <w:color w:val="auto"/>
          <w:sz w:val="30"/>
          <w:szCs w:val="30"/>
          <w:highlight w:val="none"/>
        </w:rPr>
      </w:pPr>
      <w:r>
        <w:rPr>
          <w:rFonts w:hint="eastAsia" w:ascii="宋体" w:hAnsi="宋体"/>
          <w:b/>
          <w:color w:val="auto"/>
          <w:sz w:val="30"/>
          <w:szCs w:val="30"/>
          <w:highlight w:val="none"/>
        </w:rPr>
        <w:t>四</w:t>
      </w:r>
      <w:r>
        <w:rPr>
          <w:rFonts w:ascii="宋体" w:hAnsi="宋体"/>
          <w:b/>
          <w:color w:val="auto"/>
          <w:sz w:val="30"/>
          <w:szCs w:val="30"/>
          <w:highlight w:val="none"/>
        </w:rPr>
        <w:t>、乙方职责</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1、按照相关法律法规以及水务主管部门批复文件的要求编制本项目水土保持监测方案，并按方案开展监测工作。</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2、承担并完成合同期内本项目水土保持监测</w:t>
      </w:r>
      <w:r>
        <w:rPr>
          <w:rFonts w:hint="eastAsia" w:ascii="宋体" w:hAnsi="宋体"/>
          <w:color w:val="auto"/>
          <w:sz w:val="28"/>
          <w:szCs w:val="28"/>
          <w:highlight w:val="none"/>
          <w:lang w:val="en-US" w:eastAsia="zh-CN"/>
        </w:rPr>
        <w:t>工作</w:t>
      </w:r>
      <w:r>
        <w:rPr>
          <w:rFonts w:hint="eastAsia" w:ascii="宋体" w:hAnsi="宋体"/>
          <w:color w:val="auto"/>
          <w:sz w:val="28"/>
          <w:szCs w:val="28"/>
          <w:highlight w:val="none"/>
        </w:rPr>
        <w:t>。</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3、本项目水土保持监测时段分为施工期和自然恢复期。</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 xml:space="preserve">（1）施工期监测： </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①施工过程中，扰动地表面积、水土保持工程措施拦挡效果每月监测1次；主体工程建设进度、水土流失影响因子、水土保持植物措施生长情况等每3个月监测记录1次；</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②正在使用的土方转运场，正在实施的水土保持措施建设情况等至少每10天监测记录1次；</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③遇暴雨、大风等情况时，根据项目要求及时加测；</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④水土流失灾害事件发生后1周内完成监测；</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⑤巡查监测次数一年3次以上，巡查时间安排在汛期、降雨高峰期增加巡查2到3次；</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⑥定位监测在监测点布设后监测期内每年汛前2次，汛期过后1次，汛期每月监测一次，降雨高峰期相应增加监测次数，每年监测频次控制在8～10次。</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（2）自然恢复期监测：施工完工后植被自然恢复期每半年监测1次，共2次。</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乙方根据水务主管部门规定，按汛期、非汛期向甲方提交水土保持月报、季报，该报告得到甲方认可后，乙方负责将其提交水务主管部门。</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、由乙方委派的专项水土保持监测人员必须尽职尽责，认真履行职责。在整个监测过程中，乙方若发现问题或隐患，应及时通知甲方，并提出整改意见。</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、自签订合同日</w:t>
      </w:r>
      <w:r>
        <w:rPr>
          <w:rFonts w:hint="eastAsia" w:ascii="宋体" w:hAnsi="宋体"/>
          <w:color w:val="auto"/>
          <w:sz w:val="28"/>
          <w:szCs w:val="28"/>
          <w:highlight w:val="none"/>
          <w:lang w:eastAsia="zh-CN"/>
        </w:rPr>
        <w:t>之</w:t>
      </w:r>
      <w:r>
        <w:rPr>
          <w:rFonts w:hint="eastAsia" w:ascii="宋体" w:hAnsi="宋体"/>
          <w:color w:val="auto"/>
          <w:sz w:val="28"/>
          <w:szCs w:val="28"/>
          <w:highlight w:val="none"/>
        </w:rPr>
        <w:t>起5个工作日进场及收取编制监测方案的资料，10个工作日出监测方案，并交付甲方及水务主管部门。</w:t>
      </w:r>
    </w:p>
    <w:p>
      <w:pPr>
        <w:spacing w:line="480" w:lineRule="exact"/>
        <w:ind w:firstLine="602" w:firstLineChars="200"/>
        <w:jc w:val="left"/>
        <w:rPr>
          <w:rFonts w:ascii="宋体" w:hAnsi="宋体"/>
          <w:b/>
          <w:color w:val="auto"/>
          <w:sz w:val="30"/>
          <w:szCs w:val="30"/>
          <w:highlight w:val="none"/>
        </w:rPr>
      </w:pPr>
      <w:r>
        <w:rPr>
          <w:rFonts w:hint="eastAsia" w:ascii="宋体" w:hAnsi="宋体"/>
          <w:b/>
          <w:color w:val="auto"/>
          <w:sz w:val="30"/>
          <w:szCs w:val="30"/>
          <w:highlight w:val="none"/>
        </w:rPr>
        <w:t>五</w:t>
      </w:r>
      <w:r>
        <w:rPr>
          <w:rFonts w:ascii="宋体" w:hAnsi="宋体"/>
          <w:b/>
          <w:color w:val="auto"/>
          <w:sz w:val="30"/>
          <w:szCs w:val="30"/>
          <w:highlight w:val="none"/>
        </w:rPr>
        <w:t>、资料的管理与处置</w:t>
      </w:r>
    </w:p>
    <w:p>
      <w:pPr>
        <w:spacing w:line="480" w:lineRule="exact"/>
        <w:ind w:firstLine="560" w:firstLineChars="200"/>
        <w:jc w:val="left"/>
        <w:rPr>
          <w:rFonts w:ascii="宋体" w:hAnsi="宋体"/>
          <w:color w:val="auto"/>
          <w:sz w:val="28"/>
          <w:szCs w:val="28"/>
          <w:highlight w:val="none"/>
        </w:rPr>
      </w:pPr>
      <w:r>
        <w:rPr>
          <w:rFonts w:ascii="宋体" w:hAnsi="宋体"/>
          <w:color w:val="auto"/>
          <w:sz w:val="28"/>
          <w:szCs w:val="28"/>
          <w:highlight w:val="none"/>
        </w:rPr>
        <w:t>乙方需对监测工作</w:t>
      </w:r>
      <w:r>
        <w:rPr>
          <w:rFonts w:hint="eastAsia" w:ascii="宋体" w:hAnsi="宋体"/>
          <w:color w:val="auto"/>
          <w:sz w:val="28"/>
          <w:szCs w:val="28"/>
          <w:highlight w:val="none"/>
        </w:rPr>
        <w:t>的</w:t>
      </w:r>
      <w:r>
        <w:rPr>
          <w:rFonts w:ascii="宋体" w:hAnsi="宋体"/>
          <w:color w:val="auto"/>
          <w:sz w:val="28"/>
          <w:szCs w:val="28"/>
          <w:highlight w:val="none"/>
        </w:rPr>
        <w:t>文件、资料、监测成果报告等进行归档管理和登记入册</w:t>
      </w:r>
      <w:r>
        <w:rPr>
          <w:rFonts w:hint="eastAsia" w:ascii="宋体" w:hAnsi="宋体"/>
          <w:color w:val="auto"/>
          <w:sz w:val="28"/>
          <w:szCs w:val="28"/>
          <w:highlight w:val="none"/>
        </w:rPr>
        <w:t>，</w:t>
      </w:r>
      <w:r>
        <w:rPr>
          <w:rFonts w:ascii="宋体" w:hAnsi="宋体"/>
          <w:color w:val="auto"/>
          <w:sz w:val="28"/>
          <w:szCs w:val="28"/>
          <w:highlight w:val="none"/>
        </w:rPr>
        <w:t>监测</w:t>
      </w:r>
      <w:r>
        <w:rPr>
          <w:rFonts w:hint="eastAsia" w:ascii="宋体" w:hAnsi="宋体"/>
          <w:color w:val="auto"/>
          <w:sz w:val="28"/>
          <w:szCs w:val="28"/>
          <w:highlight w:val="none"/>
        </w:rPr>
        <w:t>工作资料应满足城建档案主管部门对项目竣工资料的</w:t>
      </w:r>
      <w:r>
        <w:rPr>
          <w:rFonts w:ascii="宋体" w:hAnsi="宋体"/>
          <w:color w:val="auto"/>
          <w:sz w:val="28"/>
          <w:szCs w:val="28"/>
          <w:highlight w:val="none"/>
        </w:rPr>
        <w:t>归档</w:t>
      </w:r>
      <w:r>
        <w:rPr>
          <w:rFonts w:hint="eastAsia" w:ascii="宋体" w:hAnsi="宋体"/>
          <w:color w:val="auto"/>
          <w:sz w:val="28"/>
          <w:szCs w:val="28"/>
          <w:highlight w:val="none"/>
        </w:rPr>
        <w:t>要求</w:t>
      </w:r>
      <w:r>
        <w:rPr>
          <w:rFonts w:ascii="宋体" w:hAnsi="宋体"/>
          <w:color w:val="auto"/>
          <w:sz w:val="28"/>
          <w:szCs w:val="28"/>
          <w:highlight w:val="none"/>
        </w:rPr>
        <w:t>。当业务完成或合同终止时，乙方除保留一份存档外，应将所有应归档的文件、资料归档移交甲方处置。</w:t>
      </w:r>
    </w:p>
    <w:p>
      <w:pPr>
        <w:spacing w:line="480" w:lineRule="exact"/>
        <w:ind w:firstLine="602" w:firstLineChars="200"/>
        <w:jc w:val="left"/>
        <w:rPr>
          <w:rFonts w:ascii="宋体" w:hAnsi="宋体"/>
          <w:b/>
          <w:color w:val="auto"/>
          <w:sz w:val="30"/>
          <w:szCs w:val="30"/>
          <w:highlight w:val="none"/>
        </w:rPr>
      </w:pPr>
      <w:r>
        <w:rPr>
          <w:rFonts w:hint="eastAsia" w:ascii="宋体" w:hAnsi="宋体"/>
          <w:b/>
          <w:color w:val="auto"/>
          <w:sz w:val="30"/>
          <w:szCs w:val="30"/>
          <w:highlight w:val="none"/>
        </w:rPr>
        <w:t>六</w:t>
      </w:r>
      <w:r>
        <w:rPr>
          <w:rFonts w:ascii="宋体" w:hAnsi="宋体"/>
          <w:b/>
          <w:color w:val="auto"/>
          <w:sz w:val="30"/>
          <w:szCs w:val="30"/>
          <w:highlight w:val="none"/>
        </w:rPr>
        <w:t>、</w:t>
      </w:r>
      <w:r>
        <w:rPr>
          <w:rFonts w:hint="eastAsia" w:ascii="宋体" w:hAnsi="宋体"/>
          <w:b/>
          <w:color w:val="auto"/>
          <w:sz w:val="30"/>
          <w:szCs w:val="30"/>
          <w:highlight w:val="none"/>
        </w:rPr>
        <w:t>合同价款</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本合同总价：人民币（大写）</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（小写）¥</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元；</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本合同价格为总价包干，该合同价为投标人完成本合同工作内容所需的全部费用，包括但不限于：人工费、材料费、管理费、住宿费、差旅费、保险费、资料费、杂费、税金等，以及为实现合同目的所需的全部费用。</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任何情况引起工作量的变化均不调整合同价款，包括但不限于：</w:t>
      </w:r>
    </w:p>
    <w:p>
      <w:pPr>
        <w:adjustRightInd w:val="0"/>
        <w:snapToGrid w:val="0"/>
        <w:spacing w:line="360" w:lineRule="auto"/>
        <w:ind w:firstLine="560" w:firstLineChars="200"/>
        <w:rPr>
          <w:rFonts w:hint="eastAsia" w:ascii="宋体" w:hAnsi="宋体" w:eastAsia="宋体" w:cs="宋体"/>
          <w:color w:val="auto"/>
          <w:kern w:val="2"/>
          <w:sz w:val="28"/>
          <w:szCs w:val="28"/>
          <w:highlight w:val="none"/>
          <w:lang w:val="en-US" w:eastAsia="zh-CN" w:bidi="ar-SA"/>
        </w:rPr>
      </w:pPr>
      <w:r>
        <w:rPr>
          <w:rFonts w:hint="eastAsia" w:ascii="宋体" w:hAnsi="宋体" w:cs="宋体"/>
          <w:color w:val="auto"/>
          <w:kern w:val="2"/>
          <w:sz w:val="28"/>
          <w:szCs w:val="28"/>
          <w:highlight w:val="none"/>
          <w:lang w:val="en-US" w:eastAsia="zh-CN" w:bidi="ar-SA"/>
        </w:rPr>
        <w:t>1</w:t>
      </w:r>
      <w:r>
        <w:rPr>
          <w:rFonts w:hint="eastAsia" w:ascii="宋体" w:hAnsi="宋体" w:eastAsia="宋体" w:cs="宋体"/>
          <w:color w:val="auto"/>
          <w:kern w:val="2"/>
          <w:sz w:val="28"/>
          <w:szCs w:val="28"/>
          <w:highlight w:val="none"/>
          <w:lang w:val="en-US" w:eastAsia="zh-CN" w:bidi="ar-SA"/>
        </w:rPr>
        <w:t>、由于水务主管部门要求，调整</w:t>
      </w:r>
      <w:r>
        <w:rPr>
          <w:rFonts w:hint="eastAsia" w:ascii="宋体" w:hAnsi="宋体" w:cs="宋体"/>
          <w:color w:val="auto"/>
          <w:kern w:val="2"/>
          <w:sz w:val="28"/>
          <w:szCs w:val="28"/>
          <w:highlight w:val="none"/>
          <w:lang w:val="en-US" w:eastAsia="zh-CN" w:bidi="ar-SA"/>
        </w:rPr>
        <w:t>监测</w:t>
      </w:r>
      <w:r>
        <w:rPr>
          <w:rFonts w:hint="eastAsia" w:ascii="宋体" w:hAnsi="宋体" w:eastAsia="宋体" w:cs="宋体"/>
          <w:color w:val="auto"/>
          <w:kern w:val="2"/>
          <w:sz w:val="28"/>
          <w:szCs w:val="28"/>
          <w:highlight w:val="none"/>
          <w:lang w:val="en-US" w:eastAsia="zh-CN" w:bidi="ar-SA"/>
        </w:rPr>
        <w:t>内容或频次，投标人按调整要求执行，不调整合同价款。</w:t>
      </w:r>
    </w:p>
    <w:p>
      <w:pPr>
        <w:adjustRightInd w:val="0"/>
        <w:snapToGrid w:val="0"/>
        <w:spacing w:line="360" w:lineRule="auto"/>
        <w:ind w:firstLine="560" w:firstLineChars="200"/>
        <w:rPr>
          <w:rFonts w:hint="eastAsia" w:ascii="宋体" w:hAnsi="宋体" w:eastAsia="宋体" w:cs="宋体"/>
          <w:color w:val="auto"/>
          <w:kern w:val="2"/>
          <w:sz w:val="28"/>
          <w:szCs w:val="28"/>
          <w:highlight w:val="none"/>
          <w:lang w:val="en-US" w:eastAsia="zh-CN" w:bidi="ar-SA"/>
        </w:rPr>
      </w:pPr>
      <w:r>
        <w:rPr>
          <w:rFonts w:hint="eastAsia" w:ascii="宋体" w:hAnsi="宋体" w:cs="宋体"/>
          <w:color w:val="auto"/>
          <w:kern w:val="2"/>
          <w:sz w:val="28"/>
          <w:szCs w:val="28"/>
          <w:highlight w:val="none"/>
          <w:lang w:val="en-US" w:eastAsia="zh-CN" w:bidi="ar-SA"/>
        </w:rPr>
        <w:t>2</w:t>
      </w:r>
      <w:r>
        <w:rPr>
          <w:rFonts w:hint="eastAsia" w:ascii="宋体" w:hAnsi="宋体" w:eastAsia="宋体" w:cs="宋体"/>
          <w:color w:val="auto"/>
          <w:kern w:val="2"/>
          <w:sz w:val="28"/>
          <w:szCs w:val="28"/>
          <w:highlight w:val="none"/>
          <w:lang w:val="en-US" w:eastAsia="zh-CN" w:bidi="ar-SA"/>
        </w:rPr>
        <w:t>、如相关法律法规要求高于本次招标的实施要求，投标人应按高标准执行，造成</w:t>
      </w:r>
      <w:r>
        <w:rPr>
          <w:rFonts w:hint="eastAsia" w:ascii="宋体" w:hAnsi="宋体" w:cs="宋体"/>
          <w:color w:val="auto"/>
          <w:kern w:val="2"/>
          <w:sz w:val="28"/>
          <w:szCs w:val="28"/>
          <w:highlight w:val="none"/>
          <w:lang w:val="en-US" w:eastAsia="zh-CN" w:bidi="ar-SA"/>
        </w:rPr>
        <w:t>监测</w:t>
      </w:r>
      <w:r>
        <w:rPr>
          <w:rFonts w:hint="eastAsia" w:ascii="宋体" w:hAnsi="宋体" w:eastAsia="宋体" w:cs="宋体"/>
          <w:color w:val="auto"/>
          <w:kern w:val="2"/>
          <w:sz w:val="28"/>
          <w:szCs w:val="28"/>
          <w:highlight w:val="none"/>
          <w:lang w:val="en-US" w:eastAsia="zh-CN" w:bidi="ar-SA"/>
        </w:rPr>
        <w:t>内容、频次或点数的调整，结算时不予调整，投标报价时应充分考虑此情况。</w:t>
      </w:r>
    </w:p>
    <w:p>
      <w:pPr>
        <w:pStyle w:val="7"/>
        <w:spacing w:line="480" w:lineRule="exact"/>
        <w:ind w:firstLine="560" w:firstLineChars="200"/>
        <w:jc w:val="left"/>
        <w:rPr>
          <w:rFonts w:ascii="Times New Roman" w:hAnsi="Times New Roman"/>
          <w:color w:val="auto"/>
          <w:highlight w:val="none"/>
        </w:rPr>
      </w:pPr>
      <w:r>
        <w:rPr>
          <w:rFonts w:hint="eastAsia" w:ascii="宋体" w:hAnsi="宋体"/>
          <w:color w:val="auto"/>
          <w:szCs w:val="28"/>
          <w:highlight w:val="none"/>
        </w:rPr>
        <w:t>最终结算价格以《深圳市财政预算和投资评审中心评审报告》的评审结论为准。本工程采用小型简易工程，服务类限额不得超过100万元。</w:t>
      </w:r>
    </w:p>
    <w:p>
      <w:pPr>
        <w:numPr>
          <w:ilvl w:val="0"/>
          <w:numId w:val="2"/>
        </w:numPr>
        <w:spacing w:line="480" w:lineRule="exact"/>
        <w:ind w:firstLine="602" w:firstLineChars="200"/>
        <w:jc w:val="left"/>
        <w:rPr>
          <w:rFonts w:hint="eastAsia" w:ascii="宋体" w:hAnsi="宋体"/>
          <w:b/>
          <w:color w:val="auto"/>
          <w:sz w:val="30"/>
          <w:szCs w:val="30"/>
          <w:highlight w:val="none"/>
        </w:rPr>
      </w:pPr>
      <w:r>
        <w:rPr>
          <w:rFonts w:ascii="宋体" w:hAnsi="宋体"/>
          <w:b/>
          <w:color w:val="auto"/>
          <w:sz w:val="30"/>
          <w:szCs w:val="30"/>
          <w:highlight w:val="none"/>
        </w:rPr>
        <w:t>付款</w:t>
      </w:r>
      <w:r>
        <w:rPr>
          <w:rFonts w:hint="eastAsia" w:ascii="宋体" w:hAnsi="宋体"/>
          <w:b/>
          <w:color w:val="auto"/>
          <w:sz w:val="30"/>
          <w:szCs w:val="30"/>
          <w:highlight w:val="none"/>
        </w:rPr>
        <w:t>进度及付款方式</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560" w:firstLineChars="200"/>
        <w:textAlignment w:val="auto"/>
        <w:rPr>
          <w:rFonts w:hint="default" w:ascii="仿宋" w:hAnsi="仿宋" w:eastAsia="宋体"/>
          <w:color w:val="auto"/>
          <w:sz w:val="28"/>
          <w:szCs w:val="28"/>
          <w:highlight w:val="none"/>
          <w:lang w:val="en-US" w:eastAsia="zh-CN"/>
        </w:rPr>
      </w:pPr>
      <w:r>
        <w:rPr>
          <w:rFonts w:hint="eastAsia" w:ascii="仿宋" w:hAnsi="仿宋"/>
          <w:color w:val="auto"/>
          <w:sz w:val="28"/>
          <w:szCs w:val="28"/>
          <w:highlight w:val="none"/>
          <w:lang w:val="en-US" w:eastAsia="zh-CN"/>
        </w:rPr>
        <w:t>（一）不设预付款。</w:t>
      </w:r>
    </w:p>
    <w:p>
      <w:pPr>
        <w:adjustRightInd w:val="0"/>
        <w:snapToGrid w:val="0"/>
        <w:spacing w:line="360" w:lineRule="auto"/>
        <w:ind w:firstLine="560" w:firstLineChars="200"/>
        <w:rPr>
          <w:rFonts w:hint="default" w:ascii="仿宋" w:hAnsi="仿宋"/>
          <w:color w:val="auto"/>
          <w:sz w:val="28"/>
          <w:szCs w:val="28"/>
          <w:highlight w:val="none"/>
          <w:lang w:val="en-US" w:eastAsia="zh-CN"/>
        </w:rPr>
      </w:pPr>
      <w:r>
        <w:rPr>
          <w:rFonts w:hint="eastAsia" w:ascii="仿宋" w:hAnsi="仿宋"/>
          <w:color w:val="auto"/>
          <w:sz w:val="28"/>
          <w:szCs w:val="28"/>
          <w:highlight w:val="none"/>
          <w:lang w:val="en-US" w:eastAsia="zh-CN"/>
        </w:rPr>
        <w:t>（二）付款进度</w:t>
      </w:r>
    </w:p>
    <w:p>
      <w:pPr>
        <w:adjustRightInd w:val="0"/>
        <w:snapToGrid w:val="0"/>
        <w:spacing w:line="360" w:lineRule="auto"/>
        <w:ind w:firstLine="560" w:firstLineChars="200"/>
        <w:rPr>
          <w:rFonts w:ascii="仿宋" w:hAnsi="仿宋"/>
          <w:color w:val="auto"/>
          <w:sz w:val="28"/>
          <w:szCs w:val="28"/>
          <w:highlight w:val="none"/>
        </w:rPr>
      </w:pPr>
      <w:r>
        <w:rPr>
          <w:rFonts w:hint="eastAsia" w:ascii="仿宋" w:hAnsi="仿宋"/>
          <w:color w:val="auto"/>
          <w:sz w:val="28"/>
          <w:szCs w:val="28"/>
          <w:highlight w:val="none"/>
        </w:rPr>
        <w:t>本合同价款包括两部分：第一部分为基本服务费，占本合同总价的</w:t>
      </w:r>
      <w:r>
        <w:rPr>
          <w:rFonts w:hint="eastAsia" w:ascii="仿宋" w:hAnsi="仿宋"/>
          <w:color w:val="auto"/>
          <w:sz w:val="28"/>
          <w:szCs w:val="28"/>
          <w:highlight w:val="none"/>
          <w:lang w:val="en-US" w:eastAsia="zh-CN"/>
        </w:rPr>
        <w:t>9</w:t>
      </w:r>
      <w:r>
        <w:rPr>
          <w:rFonts w:hint="eastAsia" w:ascii="仿宋" w:hAnsi="仿宋"/>
          <w:color w:val="auto"/>
          <w:sz w:val="28"/>
          <w:szCs w:val="28"/>
          <w:highlight w:val="none"/>
        </w:rPr>
        <w:t>0%；第二部分为绩效服务费，占本合同总价的</w:t>
      </w:r>
      <w:r>
        <w:rPr>
          <w:rFonts w:hint="eastAsia" w:ascii="仿宋" w:hAnsi="仿宋"/>
          <w:color w:val="auto"/>
          <w:sz w:val="28"/>
          <w:szCs w:val="28"/>
          <w:highlight w:val="none"/>
          <w:lang w:val="en-US" w:eastAsia="zh-CN"/>
        </w:rPr>
        <w:t>1</w:t>
      </w:r>
      <w:r>
        <w:rPr>
          <w:rFonts w:hint="eastAsia" w:ascii="仿宋" w:hAnsi="仿宋"/>
          <w:color w:val="auto"/>
          <w:sz w:val="28"/>
          <w:szCs w:val="28"/>
          <w:highlight w:val="none"/>
        </w:rPr>
        <w:t>0%，绩效服务费按照履约评价的结果进行支付。</w:t>
      </w:r>
    </w:p>
    <w:p>
      <w:pPr>
        <w:adjustRightInd w:val="0"/>
        <w:snapToGrid w:val="0"/>
        <w:spacing w:line="360" w:lineRule="auto"/>
        <w:ind w:firstLine="560" w:firstLineChars="200"/>
        <w:rPr>
          <w:rFonts w:ascii="仿宋" w:hAnsi="仿宋"/>
          <w:color w:val="auto"/>
          <w:sz w:val="28"/>
          <w:szCs w:val="28"/>
          <w:highlight w:val="none"/>
        </w:rPr>
      </w:pPr>
      <w:r>
        <w:rPr>
          <w:rFonts w:hint="eastAsia" w:ascii="仿宋" w:hAnsi="仿宋"/>
          <w:color w:val="auto"/>
          <w:sz w:val="28"/>
          <w:szCs w:val="28"/>
          <w:highlight w:val="none"/>
          <w:lang w:val="en-US" w:eastAsia="zh-CN"/>
        </w:rPr>
        <w:t>甲方</w:t>
      </w:r>
      <w:r>
        <w:rPr>
          <w:rFonts w:hint="eastAsia" w:ascii="仿宋" w:hAnsi="仿宋"/>
          <w:color w:val="auto"/>
          <w:sz w:val="28"/>
          <w:szCs w:val="28"/>
          <w:highlight w:val="none"/>
        </w:rPr>
        <w:t>根据工作进度向</w:t>
      </w:r>
      <w:r>
        <w:rPr>
          <w:rFonts w:hint="eastAsia" w:ascii="仿宋" w:hAnsi="仿宋"/>
          <w:color w:val="auto"/>
          <w:sz w:val="28"/>
          <w:szCs w:val="28"/>
          <w:highlight w:val="none"/>
          <w:lang w:val="en-US" w:eastAsia="zh-CN"/>
        </w:rPr>
        <w:t>乙方</w:t>
      </w:r>
      <w:r>
        <w:rPr>
          <w:rFonts w:hint="eastAsia" w:ascii="仿宋" w:hAnsi="仿宋"/>
          <w:color w:val="auto"/>
          <w:sz w:val="28"/>
          <w:szCs w:val="28"/>
          <w:highlight w:val="none"/>
        </w:rPr>
        <w:t>支付进度款，至本项目水土保持专项验收通过且</w:t>
      </w:r>
      <w:r>
        <w:rPr>
          <w:rFonts w:hint="eastAsia" w:ascii="仿宋" w:hAnsi="仿宋"/>
          <w:bCs/>
          <w:color w:val="auto"/>
          <w:sz w:val="28"/>
          <w:szCs w:val="28"/>
          <w:highlight w:val="none"/>
          <w:lang w:val="en-US" w:eastAsia="zh-CN"/>
        </w:rPr>
        <w:t>乙方</w:t>
      </w:r>
      <w:r>
        <w:rPr>
          <w:rFonts w:hint="eastAsia" w:ascii="仿宋" w:hAnsi="仿宋"/>
          <w:color w:val="auto"/>
          <w:sz w:val="28"/>
          <w:szCs w:val="28"/>
          <w:highlight w:val="none"/>
        </w:rPr>
        <w:t>提供所有监测报告后，</w:t>
      </w:r>
      <w:r>
        <w:rPr>
          <w:rFonts w:hint="eastAsia" w:ascii="仿宋" w:hAnsi="仿宋"/>
          <w:color w:val="auto"/>
          <w:sz w:val="28"/>
          <w:szCs w:val="28"/>
          <w:highlight w:val="none"/>
          <w:lang w:val="en-US" w:eastAsia="zh-CN"/>
        </w:rPr>
        <w:t>甲方</w:t>
      </w:r>
      <w:r>
        <w:rPr>
          <w:rFonts w:hint="eastAsia" w:ascii="仿宋" w:hAnsi="仿宋"/>
          <w:color w:val="auto"/>
          <w:sz w:val="28"/>
          <w:szCs w:val="28"/>
          <w:highlight w:val="none"/>
        </w:rPr>
        <w:t>最高支付至合同价的85%（该情况为</w:t>
      </w:r>
      <w:r>
        <w:rPr>
          <w:rFonts w:hint="eastAsia" w:ascii="仿宋" w:hAnsi="仿宋"/>
          <w:bCs/>
          <w:color w:val="auto"/>
          <w:sz w:val="28"/>
          <w:szCs w:val="28"/>
          <w:highlight w:val="none"/>
          <w:lang w:val="en-US" w:eastAsia="zh-CN"/>
        </w:rPr>
        <w:t>乙方</w:t>
      </w:r>
      <w:r>
        <w:rPr>
          <w:rFonts w:hint="eastAsia" w:ascii="仿宋" w:hAnsi="仿宋"/>
          <w:color w:val="auto"/>
          <w:sz w:val="28"/>
          <w:szCs w:val="28"/>
          <w:highlight w:val="none"/>
        </w:rPr>
        <w:t>履约评价结果都为良好及以上的情况，若存在履约评价结果为</w:t>
      </w:r>
      <w:r>
        <w:rPr>
          <w:rFonts w:hint="eastAsia" w:ascii="仿宋" w:hAnsi="仿宋"/>
          <w:color w:val="auto"/>
          <w:sz w:val="28"/>
          <w:szCs w:val="28"/>
          <w:highlight w:val="none"/>
          <w:lang w:val="en-US" w:eastAsia="zh-CN"/>
        </w:rPr>
        <w:t>中等、</w:t>
      </w:r>
      <w:r>
        <w:rPr>
          <w:rFonts w:hint="eastAsia" w:ascii="仿宋" w:hAnsi="仿宋"/>
          <w:color w:val="auto"/>
          <w:sz w:val="28"/>
          <w:szCs w:val="28"/>
          <w:highlight w:val="none"/>
        </w:rPr>
        <w:t>合格或不合格，累计支付费用将不足以达到85%，按照履约评价情况实际支付）。剩余款项待深圳市财政</w:t>
      </w:r>
      <w:r>
        <w:rPr>
          <w:rFonts w:hint="eastAsia" w:ascii="仿宋" w:hAnsi="仿宋"/>
          <w:color w:val="auto"/>
          <w:sz w:val="28"/>
          <w:szCs w:val="28"/>
          <w:highlight w:val="none"/>
          <w:lang w:val="en-US" w:eastAsia="zh-CN"/>
        </w:rPr>
        <w:t>预算和</w:t>
      </w:r>
      <w:r>
        <w:rPr>
          <w:rFonts w:hint="eastAsia" w:ascii="仿宋" w:hAnsi="仿宋"/>
          <w:color w:val="auto"/>
          <w:sz w:val="28"/>
          <w:szCs w:val="28"/>
          <w:highlight w:val="none"/>
        </w:rPr>
        <w:t>投资评审中心审定（审核）后一次性付清。</w:t>
      </w:r>
    </w:p>
    <w:p>
      <w:pPr>
        <w:adjustRightInd w:val="0"/>
        <w:snapToGrid w:val="0"/>
        <w:spacing w:line="360" w:lineRule="auto"/>
        <w:ind w:firstLine="560" w:firstLineChars="200"/>
        <w:rPr>
          <w:rFonts w:hint="eastAsia" w:ascii="仿宋" w:hAnsi="仿宋"/>
          <w:color w:val="auto"/>
          <w:sz w:val="28"/>
          <w:szCs w:val="28"/>
          <w:highlight w:val="none"/>
        </w:rPr>
      </w:pPr>
      <w:r>
        <w:rPr>
          <w:rFonts w:hint="eastAsia" w:ascii="仿宋" w:hAnsi="仿宋"/>
          <w:color w:val="auto"/>
          <w:sz w:val="28"/>
          <w:szCs w:val="28"/>
          <w:highlight w:val="none"/>
        </w:rPr>
        <w:t>1、基本服务费的支付</w:t>
      </w:r>
    </w:p>
    <w:p>
      <w:pPr>
        <w:adjustRightInd w:val="0"/>
        <w:snapToGrid w:val="0"/>
        <w:spacing w:line="360" w:lineRule="auto"/>
        <w:ind w:firstLine="560" w:firstLineChars="200"/>
        <w:rPr>
          <w:rFonts w:hint="eastAsia" w:ascii="仿宋" w:hAnsi="仿宋"/>
          <w:color w:val="auto"/>
          <w:sz w:val="28"/>
          <w:szCs w:val="28"/>
          <w:highlight w:val="none"/>
        </w:rPr>
      </w:pPr>
      <w:r>
        <w:rPr>
          <w:rFonts w:hint="eastAsia" w:ascii="仿宋" w:hAnsi="仿宋"/>
          <w:color w:val="auto"/>
          <w:sz w:val="28"/>
          <w:szCs w:val="28"/>
          <w:highlight w:val="none"/>
        </w:rPr>
        <w:t>（1）本项目桩基及基坑土石方施工完成后，</w:t>
      </w:r>
      <w:r>
        <w:rPr>
          <w:rFonts w:hint="eastAsia" w:ascii="仿宋" w:hAnsi="仿宋"/>
          <w:color w:val="auto"/>
          <w:sz w:val="28"/>
          <w:szCs w:val="28"/>
          <w:highlight w:val="none"/>
          <w:lang w:val="en-US" w:eastAsia="zh-CN"/>
        </w:rPr>
        <w:t>甲方</w:t>
      </w:r>
      <w:r>
        <w:rPr>
          <w:rFonts w:hint="eastAsia" w:ascii="仿宋" w:hAnsi="仿宋"/>
          <w:color w:val="auto"/>
          <w:sz w:val="28"/>
          <w:szCs w:val="28"/>
          <w:highlight w:val="none"/>
        </w:rPr>
        <w:t>支付至基本服务费的30%；</w:t>
      </w:r>
    </w:p>
    <w:p>
      <w:pPr>
        <w:adjustRightInd w:val="0"/>
        <w:snapToGrid w:val="0"/>
        <w:spacing w:line="360" w:lineRule="auto"/>
        <w:ind w:firstLine="560" w:firstLineChars="200"/>
        <w:rPr>
          <w:rFonts w:hint="eastAsia" w:ascii="仿宋" w:hAnsi="仿宋"/>
          <w:color w:val="auto"/>
          <w:sz w:val="28"/>
          <w:szCs w:val="28"/>
          <w:highlight w:val="none"/>
        </w:rPr>
      </w:pPr>
      <w:r>
        <w:rPr>
          <w:rFonts w:hint="eastAsia" w:ascii="仿宋" w:hAnsi="仿宋"/>
          <w:color w:val="auto"/>
          <w:sz w:val="28"/>
          <w:szCs w:val="28"/>
          <w:highlight w:val="none"/>
        </w:rPr>
        <w:t>（2）本项目主体结构封顶后，</w:t>
      </w:r>
      <w:r>
        <w:rPr>
          <w:rFonts w:hint="eastAsia" w:ascii="仿宋" w:hAnsi="仿宋"/>
          <w:color w:val="auto"/>
          <w:sz w:val="28"/>
          <w:szCs w:val="28"/>
          <w:highlight w:val="none"/>
          <w:lang w:val="en-US" w:eastAsia="zh-CN"/>
        </w:rPr>
        <w:t>甲方</w:t>
      </w:r>
      <w:r>
        <w:rPr>
          <w:rFonts w:hint="eastAsia" w:ascii="仿宋" w:hAnsi="仿宋"/>
          <w:color w:val="auto"/>
          <w:sz w:val="28"/>
          <w:szCs w:val="28"/>
          <w:highlight w:val="none"/>
        </w:rPr>
        <w:t>支付至基本服务费的60%；</w:t>
      </w:r>
    </w:p>
    <w:p>
      <w:pPr>
        <w:adjustRightInd w:val="0"/>
        <w:snapToGrid w:val="0"/>
        <w:spacing w:line="360" w:lineRule="auto"/>
        <w:ind w:firstLine="560" w:firstLineChars="200"/>
        <w:rPr>
          <w:rFonts w:hint="eastAsia" w:ascii="仿宋" w:hAnsi="仿宋"/>
          <w:color w:val="auto"/>
          <w:sz w:val="28"/>
          <w:szCs w:val="28"/>
          <w:highlight w:val="none"/>
        </w:rPr>
      </w:pPr>
      <w:r>
        <w:rPr>
          <w:rFonts w:hint="eastAsia" w:ascii="仿宋" w:hAnsi="仿宋"/>
          <w:color w:val="auto"/>
          <w:sz w:val="28"/>
          <w:szCs w:val="28"/>
          <w:highlight w:val="none"/>
        </w:rPr>
        <w:t>（3）本项目水土保持专项验收通过且</w:t>
      </w:r>
      <w:r>
        <w:rPr>
          <w:rFonts w:hint="eastAsia" w:ascii="仿宋" w:hAnsi="仿宋"/>
          <w:color w:val="auto"/>
          <w:sz w:val="28"/>
          <w:szCs w:val="28"/>
          <w:highlight w:val="none"/>
          <w:lang w:val="en-US" w:eastAsia="zh-CN"/>
        </w:rPr>
        <w:t>乙方</w:t>
      </w:r>
      <w:r>
        <w:rPr>
          <w:rFonts w:hint="eastAsia" w:ascii="仿宋" w:hAnsi="仿宋"/>
          <w:color w:val="auto"/>
          <w:sz w:val="28"/>
          <w:szCs w:val="28"/>
          <w:highlight w:val="none"/>
        </w:rPr>
        <w:t>提供所有监测报告后，</w:t>
      </w:r>
      <w:r>
        <w:rPr>
          <w:rFonts w:hint="eastAsia" w:ascii="仿宋" w:hAnsi="仿宋"/>
          <w:color w:val="auto"/>
          <w:sz w:val="28"/>
          <w:szCs w:val="28"/>
          <w:highlight w:val="none"/>
          <w:lang w:val="en-US" w:eastAsia="zh-CN"/>
        </w:rPr>
        <w:t>甲方</w:t>
      </w:r>
      <w:r>
        <w:rPr>
          <w:rFonts w:hint="eastAsia" w:ascii="仿宋" w:hAnsi="仿宋"/>
          <w:color w:val="auto"/>
          <w:sz w:val="28"/>
          <w:szCs w:val="28"/>
          <w:highlight w:val="none"/>
        </w:rPr>
        <w:t>支付至基本服务费的85%。</w:t>
      </w:r>
    </w:p>
    <w:p>
      <w:pPr>
        <w:adjustRightInd w:val="0"/>
        <w:snapToGrid w:val="0"/>
        <w:spacing w:line="360" w:lineRule="auto"/>
        <w:ind w:firstLine="560" w:firstLineChars="200"/>
        <w:rPr>
          <w:rFonts w:hint="eastAsia" w:ascii="仿宋" w:hAnsi="仿宋"/>
          <w:color w:val="auto"/>
          <w:sz w:val="28"/>
          <w:szCs w:val="28"/>
          <w:highlight w:val="none"/>
        </w:rPr>
      </w:pPr>
      <w:r>
        <w:rPr>
          <w:rFonts w:hint="eastAsia" w:ascii="仿宋" w:hAnsi="仿宋"/>
          <w:color w:val="auto"/>
          <w:sz w:val="28"/>
          <w:szCs w:val="28"/>
          <w:highlight w:val="none"/>
        </w:rPr>
        <w:t>2、绩效服务费的支付</w:t>
      </w:r>
    </w:p>
    <w:p>
      <w:pPr>
        <w:adjustRightInd w:val="0"/>
        <w:snapToGrid w:val="0"/>
        <w:spacing w:line="360" w:lineRule="auto"/>
        <w:ind w:firstLine="560" w:firstLineChars="200"/>
        <w:rPr>
          <w:rFonts w:hint="eastAsia" w:ascii="仿宋" w:hAnsi="仿宋"/>
          <w:color w:val="auto"/>
          <w:sz w:val="28"/>
          <w:szCs w:val="28"/>
          <w:highlight w:val="none"/>
        </w:rPr>
      </w:pPr>
      <w:r>
        <w:rPr>
          <w:rFonts w:hint="eastAsia" w:ascii="仿宋" w:hAnsi="仿宋"/>
          <w:color w:val="auto"/>
          <w:sz w:val="28"/>
          <w:szCs w:val="28"/>
          <w:highlight w:val="none"/>
        </w:rPr>
        <w:t>绩效服务费的支付：</w:t>
      </w:r>
      <w:r>
        <w:rPr>
          <w:rFonts w:hint="eastAsia" w:ascii="仿宋" w:hAnsi="仿宋"/>
          <w:color w:val="auto"/>
          <w:sz w:val="28"/>
          <w:szCs w:val="28"/>
          <w:highlight w:val="none"/>
          <w:lang w:val="en-US" w:eastAsia="zh-CN"/>
        </w:rPr>
        <w:t>甲方</w:t>
      </w:r>
      <w:r>
        <w:rPr>
          <w:rFonts w:hint="eastAsia" w:ascii="仿宋" w:hAnsi="仿宋"/>
          <w:color w:val="auto"/>
          <w:sz w:val="28"/>
          <w:szCs w:val="28"/>
          <w:highlight w:val="none"/>
        </w:rPr>
        <w:t>按照《市建筑工务署合同履约评价管理办法》的规定完成对</w:t>
      </w:r>
      <w:r>
        <w:rPr>
          <w:rFonts w:hint="eastAsia" w:ascii="仿宋" w:hAnsi="仿宋"/>
          <w:color w:val="auto"/>
          <w:sz w:val="28"/>
          <w:szCs w:val="28"/>
          <w:highlight w:val="none"/>
          <w:lang w:val="en-US" w:eastAsia="zh-CN"/>
        </w:rPr>
        <w:t>乙方</w:t>
      </w:r>
      <w:r>
        <w:rPr>
          <w:rFonts w:hint="eastAsia" w:ascii="仿宋" w:hAnsi="仿宋"/>
          <w:color w:val="auto"/>
          <w:sz w:val="28"/>
          <w:szCs w:val="28"/>
          <w:highlight w:val="none"/>
        </w:rPr>
        <w:t>履约分阶段评价，可详见附件一：《合同履约评价实施细则》</w:t>
      </w:r>
    </w:p>
    <w:p>
      <w:pPr>
        <w:adjustRightInd w:val="0"/>
        <w:snapToGrid w:val="0"/>
        <w:spacing w:line="360" w:lineRule="auto"/>
        <w:ind w:firstLine="560" w:firstLineChars="200"/>
        <w:rPr>
          <w:rFonts w:hint="eastAsia" w:ascii="仿宋" w:hAnsi="仿宋"/>
          <w:color w:val="auto"/>
          <w:sz w:val="28"/>
          <w:szCs w:val="28"/>
          <w:highlight w:val="none"/>
        </w:rPr>
      </w:pPr>
      <w:r>
        <w:rPr>
          <w:rFonts w:hint="eastAsia" w:ascii="仿宋" w:hAnsi="仿宋"/>
          <w:color w:val="auto"/>
          <w:sz w:val="28"/>
          <w:szCs w:val="28"/>
          <w:highlight w:val="none"/>
        </w:rPr>
        <w:t>（1）本项目桩基及基坑土石方施工完成后，</w:t>
      </w:r>
      <w:r>
        <w:rPr>
          <w:rFonts w:hint="eastAsia" w:ascii="仿宋" w:hAnsi="仿宋"/>
          <w:color w:val="auto"/>
          <w:sz w:val="28"/>
          <w:szCs w:val="28"/>
          <w:highlight w:val="none"/>
          <w:lang w:val="en-US" w:eastAsia="zh-CN"/>
        </w:rPr>
        <w:t>甲方</w:t>
      </w:r>
      <w:r>
        <w:rPr>
          <w:rFonts w:hint="eastAsia" w:ascii="仿宋" w:hAnsi="仿宋"/>
          <w:color w:val="auto"/>
          <w:sz w:val="28"/>
          <w:szCs w:val="28"/>
          <w:highlight w:val="none"/>
        </w:rPr>
        <w:t>支付至绩效服务费的30%；</w:t>
      </w:r>
    </w:p>
    <w:p>
      <w:pPr>
        <w:adjustRightInd w:val="0"/>
        <w:snapToGrid w:val="0"/>
        <w:spacing w:line="360" w:lineRule="auto"/>
        <w:ind w:firstLine="560" w:firstLineChars="200"/>
        <w:rPr>
          <w:rFonts w:hint="eastAsia" w:ascii="仿宋" w:hAnsi="仿宋"/>
          <w:color w:val="auto"/>
          <w:sz w:val="28"/>
          <w:szCs w:val="28"/>
          <w:highlight w:val="none"/>
        </w:rPr>
      </w:pPr>
      <w:r>
        <w:rPr>
          <w:rFonts w:hint="eastAsia" w:ascii="仿宋" w:hAnsi="仿宋"/>
          <w:color w:val="auto"/>
          <w:sz w:val="28"/>
          <w:szCs w:val="28"/>
          <w:highlight w:val="none"/>
        </w:rPr>
        <w:t>（2）本项目主体结构封顶后，</w:t>
      </w:r>
      <w:r>
        <w:rPr>
          <w:rFonts w:hint="eastAsia" w:ascii="仿宋" w:hAnsi="仿宋"/>
          <w:color w:val="auto"/>
          <w:sz w:val="28"/>
          <w:szCs w:val="28"/>
          <w:highlight w:val="none"/>
          <w:lang w:val="en-US" w:eastAsia="zh-CN"/>
        </w:rPr>
        <w:t>甲方</w:t>
      </w:r>
      <w:r>
        <w:rPr>
          <w:rFonts w:hint="eastAsia" w:ascii="仿宋" w:hAnsi="仿宋"/>
          <w:color w:val="auto"/>
          <w:sz w:val="28"/>
          <w:szCs w:val="28"/>
          <w:highlight w:val="none"/>
        </w:rPr>
        <w:t>支付至绩效服务费的60%；</w:t>
      </w:r>
    </w:p>
    <w:p>
      <w:pPr>
        <w:adjustRightInd w:val="0"/>
        <w:snapToGrid w:val="0"/>
        <w:spacing w:line="360" w:lineRule="auto"/>
        <w:ind w:firstLine="560" w:firstLineChars="200"/>
        <w:rPr>
          <w:color w:val="auto"/>
          <w:sz w:val="28"/>
          <w:szCs w:val="28"/>
          <w:highlight w:val="none"/>
        </w:rPr>
      </w:pPr>
      <w:r>
        <w:rPr>
          <w:rFonts w:hint="eastAsia" w:ascii="仿宋" w:hAnsi="仿宋"/>
          <w:color w:val="auto"/>
          <w:sz w:val="28"/>
          <w:szCs w:val="28"/>
          <w:highlight w:val="none"/>
        </w:rPr>
        <w:t>（3）本项目水土保持专项验收通过且</w:t>
      </w:r>
      <w:r>
        <w:rPr>
          <w:rFonts w:hint="eastAsia" w:ascii="仿宋" w:hAnsi="仿宋"/>
          <w:color w:val="auto"/>
          <w:sz w:val="28"/>
          <w:szCs w:val="28"/>
          <w:highlight w:val="none"/>
          <w:lang w:val="en-US" w:eastAsia="zh-CN"/>
        </w:rPr>
        <w:t>乙方</w:t>
      </w:r>
      <w:r>
        <w:rPr>
          <w:rFonts w:hint="eastAsia" w:ascii="仿宋" w:hAnsi="仿宋"/>
          <w:color w:val="auto"/>
          <w:sz w:val="28"/>
          <w:szCs w:val="28"/>
          <w:highlight w:val="none"/>
        </w:rPr>
        <w:t>提供所有监测报告后，</w:t>
      </w:r>
      <w:r>
        <w:rPr>
          <w:rFonts w:hint="eastAsia" w:ascii="仿宋" w:hAnsi="仿宋"/>
          <w:color w:val="auto"/>
          <w:sz w:val="28"/>
          <w:szCs w:val="28"/>
          <w:highlight w:val="none"/>
          <w:lang w:val="en-US" w:eastAsia="zh-CN"/>
        </w:rPr>
        <w:t>甲方</w:t>
      </w:r>
      <w:r>
        <w:rPr>
          <w:rFonts w:hint="eastAsia" w:ascii="仿宋" w:hAnsi="仿宋"/>
          <w:color w:val="auto"/>
          <w:sz w:val="28"/>
          <w:szCs w:val="28"/>
          <w:highlight w:val="none"/>
        </w:rPr>
        <w:t>支付至绩效服务费的85%。</w:t>
      </w:r>
    </w:p>
    <w:p>
      <w:pPr>
        <w:spacing w:line="480" w:lineRule="exact"/>
        <w:ind w:firstLine="560" w:firstLineChars="200"/>
        <w:jc w:val="left"/>
        <w:rPr>
          <w:rFonts w:ascii="宋体" w:hAnsi="宋体"/>
          <w:strike w:val="0"/>
          <w:dstrike w:val="0"/>
          <w:color w:val="auto"/>
          <w:sz w:val="28"/>
          <w:szCs w:val="28"/>
          <w:highlight w:val="none"/>
        </w:rPr>
      </w:pPr>
      <w:r>
        <w:rPr>
          <w:rFonts w:hint="eastAsia" w:ascii="宋体" w:hAnsi="宋体"/>
          <w:strike w:val="0"/>
          <w:dstrike w:val="0"/>
          <w:color w:val="auto"/>
          <w:sz w:val="28"/>
          <w:szCs w:val="28"/>
          <w:highlight w:val="none"/>
        </w:rPr>
        <w:t>履约评价评分结果分为优秀、良好、中等、合格、不合格</w:t>
      </w:r>
      <w:r>
        <w:rPr>
          <w:rFonts w:hint="eastAsia" w:ascii="宋体" w:hAnsi="宋体"/>
          <w:strike w:val="0"/>
          <w:dstrike w:val="0"/>
          <w:color w:val="auto"/>
          <w:sz w:val="28"/>
          <w:szCs w:val="28"/>
          <w:highlight w:val="none"/>
          <w:lang w:val="en-US" w:eastAsia="zh-CN"/>
        </w:rPr>
        <w:t>五</w:t>
      </w:r>
      <w:r>
        <w:rPr>
          <w:rFonts w:hint="eastAsia" w:ascii="宋体" w:hAnsi="宋体"/>
          <w:strike w:val="0"/>
          <w:dstrike w:val="0"/>
          <w:color w:val="auto"/>
          <w:sz w:val="28"/>
          <w:szCs w:val="28"/>
          <w:highlight w:val="none"/>
        </w:rPr>
        <w:t>档，对应的绩效服务费支付比例分别为100%、100%、70%、50%、0%。</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三</w:t>
      </w:r>
      <w:r>
        <w:rPr>
          <w:rFonts w:hint="eastAsia" w:ascii="宋体" w:hAnsi="宋体"/>
          <w:color w:val="auto"/>
          <w:sz w:val="28"/>
          <w:szCs w:val="28"/>
          <w:highlight w:val="none"/>
        </w:rPr>
        <w:t>）付款方式</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1、乙方应按付款进度之规定及本合同项下的其它相关条款的规定，向甲方出具附有工作进度报告和相关工作成果的付款申请。</w:t>
      </w:r>
    </w:p>
    <w:p>
      <w:pPr>
        <w:spacing w:line="480" w:lineRule="exact"/>
        <w:ind w:firstLine="560" w:firstLineChars="200"/>
        <w:jc w:val="left"/>
        <w:rPr>
          <w:rFonts w:ascii="宋体" w:hAnsi="宋体"/>
          <w:color w:val="auto"/>
          <w:sz w:val="28"/>
          <w:szCs w:val="28"/>
          <w:highlight w:val="none"/>
        </w:rPr>
      </w:pPr>
      <w:r>
        <w:rPr>
          <w:rFonts w:hint="eastAsia" w:ascii="宋体" w:hAnsi="宋体"/>
          <w:color w:val="auto"/>
          <w:sz w:val="28"/>
          <w:szCs w:val="28"/>
          <w:highlight w:val="none"/>
        </w:rPr>
        <w:t>2、每次付款申请时，乙方应向甲方开具与付款金额等额的税务发票。</w:t>
      </w:r>
    </w:p>
    <w:p>
      <w:pPr>
        <w:pStyle w:val="7"/>
        <w:snapToGrid w:val="0"/>
        <w:spacing w:line="360" w:lineRule="auto"/>
        <w:ind w:firstLine="546" w:firstLineChars="195"/>
        <w:rPr>
          <w:rFonts w:ascii="Times New Roman" w:hAnsi="Times New Roman"/>
          <w:color w:val="auto"/>
          <w:highlight w:val="none"/>
        </w:rPr>
      </w:pPr>
      <w:r>
        <w:rPr>
          <w:rFonts w:hint="eastAsia" w:ascii="宋体" w:hAnsi="宋体"/>
          <w:color w:val="auto"/>
          <w:szCs w:val="28"/>
          <w:highlight w:val="none"/>
        </w:rPr>
        <w:t>3、上述费用均须政府部门财政或发改划拨款项到位后支付，甲方不承担因财政或发改审批或拨款延迟造成延迟付款的违约责任。</w:t>
      </w:r>
    </w:p>
    <w:p>
      <w:pPr>
        <w:spacing w:line="480" w:lineRule="exact"/>
        <w:ind w:firstLine="602" w:firstLineChars="200"/>
        <w:jc w:val="left"/>
        <w:rPr>
          <w:rFonts w:ascii="宋体" w:hAnsi="宋体"/>
          <w:color w:val="auto"/>
          <w:sz w:val="28"/>
          <w:szCs w:val="28"/>
          <w:highlight w:val="none"/>
        </w:rPr>
      </w:pPr>
      <w:r>
        <w:rPr>
          <w:rFonts w:hint="eastAsia" w:ascii="宋体" w:hAnsi="宋体"/>
          <w:b/>
          <w:color w:val="auto"/>
          <w:sz w:val="30"/>
          <w:szCs w:val="30"/>
          <w:highlight w:val="none"/>
        </w:rPr>
        <w:t>八</w:t>
      </w:r>
      <w:r>
        <w:rPr>
          <w:rFonts w:ascii="宋体" w:hAnsi="宋体"/>
          <w:b/>
          <w:color w:val="auto"/>
          <w:sz w:val="30"/>
          <w:szCs w:val="30"/>
          <w:highlight w:val="none"/>
        </w:rPr>
        <w:t>、合同的生效、变更和终止</w:t>
      </w:r>
    </w:p>
    <w:p>
      <w:pPr>
        <w:pStyle w:val="3"/>
        <w:spacing w:beforeAutospacing="0" w:afterAutospacing="0" w:line="480" w:lineRule="atLeast"/>
        <w:ind w:left="1" w:firstLine="557"/>
        <w:jc w:val="both"/>
        <w:rPr>
          <w:rFonts w:ascii="微软雅黑" w:hAnsi="微软雅黑" w:cs="微软雅黑"/>
          <w:color w:val="auto"/>
          <w:sz w:val="27"/>
          <w:szCs w:val="27"/>
          <w:highlight w:val="none"/>
        </w:rPr>
      </w:pPr>
      <w:r>
        <w:rPr>
          <w:rFonts w:hint="eastAsia" w:ascii="宋体" w:hAnsi="宋体" w:cs="宋体"/>
          <w:color w:val="auto"/>
          <w:sz w:val="28"/>
          <w:szCs w:val="28"/>
          <w:highlight w:val="none"/>
        </w:rPr>
        <w:t>1、本合同经双方法定代表人或授权委托人签字盖章之日起生效，甲、乙双方即开始履行各自的职责。</w:t>
      </w:r>
    </w:p>
    <w:p>
      <w:pPr>
        <w:pStyle w:val="3"/>
        <w:spacing w:beforeAutospacing="0" w:afterAutospacing="0" w:line="480" w:lineRule="atLeast"/>
        <w:ind w:left="1" w:firstLine="557"/>
        <w:jc w:val="both"/>
        <w:rPr>
          <w:rFonts w:ascii="微软雅黑" w:hAnsi="微软雅黑" w:eastAsia="微软雅黑" w:cs="微软雅黑"/>
          <w:color w:val="auto"/>
          <w:sz w:val="27"/>
          <w:szCs w:val="27"/>
          <w:highlight w:val="none"/>
        </w:rPr>
      </w:pPr>
      <w:r>
        <w:rPr>
          <w:rFonts w:hint="eastAsia" w:ascii="宋体" w:hAnsi="宋体" w:cs="宋体"/>
          <w:color w:val="auto"/>
          <w:sz w:val="28"/>
          <w:szCs w:val="28"/>
          <w:highlight w:val="none"/>
        </w:rPr>
        <w:t>2、本合同自双方合同义务履行完毕后终止。在合同履行期间，如任何一方单方提出终止合同，给对方造成损失的，除不可归责于该方的事由以外，应当赔偿损失。</w:t>
      </w:r>
    </w:p>
    <w:p>
      <w:pPr>
        <w:pStyle w:val="3"/>
        <w:spacing w:beforeAutospacing="0" w:afterAutospacing="0" w:line="480" w:lineRule="atLeast"/>
        <w:ind w:firstLine="560"/>
        <w:jc w:val="both"/>
        <w:rPr>
          <w:rFonts w:ascii="微软雅黑" w:hAnsi="微软雅黑" w:cs="微软雅黑"/>
          <w:color w:val="auto"/>
          <w:sz w:val="27"/>
          <w:szCs w:val="27"/>
          <w:highlight w:val="none"/>
        </w:rPr>
      </w:pPr>
      <w:r>
        <w:rPr>
          <w:rFonts w:hint="eastAsia" w:ascii="宋体" w:hAnsi="宋体" w:cs="宋体"/>
          <w:color w:val="auto"/>
          <w:sz w:val="28"/>
          <w:szCs w:val="28"/>
          <w:highlight w:val="none"/>
        </w:rPr>
        <w:t>3、因非甲、乙双方原因需要终止合同的，甲、乙双方应协商妥善处理相关事宜。</w:t>
      </w:r>
    </w:p>
    <w:p>
      <w:pPr>
        <w:pStyle w:val="3"/>
        <w:spacing w:beforeAutospacing="0" w:afterAutospacing="0" w:line="480" w:lineRule="atLeast"/>
        <w:ind w:firstLine="560"/>
        <w:jc w:val="both"/>
        <w:rPr>
          <w:rFonts w:ascii="微软雅黑" w:hAnsi="微软雅黑" w:eastAsia="微软雅黑" w:cs="微软雅黑"/>
          <w:color w:val="auto"/>
          <w:sz w:val="27"/>
          <w:szCs w:val="27"/>
          <w:highlight w:val="none"/>
        </w:rPr>
      </w:pPr>
      <w:r>
        <w:rPr>
          <w:rFonts w:hint="eastAsia" w:ascii="宋体" w:hAnsi="宋体" w:cs="宋体"/>
          <w:color w:val="auto"/>
          <w:sz w:val="28"/>
          <w:szCs w:val="28"/>
          <w:highlight w:val="none"/>
        </w:rPr>
        <w:t>4、任何一方未征得对方的同意，不得转让本合同规定的权利和义务。</w:t>
      </w:r>
    </w:p>
    <w:p>
      <w:pPr>
        <w:tabs>
          <w:tab w:val="left" w:pos="1266"/>
        </w:tabs>
        <w:snapToGrid w:val="0"/>
        <w:spacing w:line="360" w:lineRule="auto"/>
        <w:ind w:firstLine="602" w:firstLineChars="200"/>
        <w:jc w:val="left"/>
        <w:rPr>
          <w:rFonts w:ascii="宋体" w:hAnsi="宋体"/>
          <w:b/>
          <w:color w:val="auto"/>
          <w:sz w:val="30"/>
          <w:szCs w:val="30"/>
          <w:highlight w:val="none"/>
        </w:rPr>
      </w:pPr>
      <w:r>
        <w:rPr>
          <w:rFonts w:hint="eastAsia" w:ascii="宋体" w:hAnsi="宋体"/>
          <w:b/>
          <w:color w:val="auto"/>
          <w:sz w:val="30"/>
          <w:szCs w:val="30"/>
          <w:highlight w:val="none"/>
        </w:rPr>
        <w:t>九、争议条款</w:t>
      </w:r>
    </w:p>
    <w:p>
      <w:pPr>
        <w:pStyle w:val="8"/>
        <w:tabs>
          <w:tab w:val="left" w:pos="1266"/>
        </w:tabs>
        <w:snapToGrid w:val="0"/>
        <w:spacing w:line="360" w:lineRule="auto"/>
        <w:ind w:firstLine="560" w:firstLineChars="200"/>
        <w:rPr>
          <w:color w:val="auto"/>
          <w:sz w:val="28"/>
          <w:szCs w:val="28"/>
          <w:highlight w:val="none"/>
          <w:lang w:val="en-US" w:eastAsia="zh-CN"/>
        </w:rPr>
      </w:pPr>
      <w:bookmarkStart w:id="0" w:name="bookmark41"/>
      <w:bookmarkEnd w:id="0"/>
      <w:r>
        <w:rPr>
          <w:rFonts w:hint="eastAsia"/>
          <w:color w:val="auto"/>
          <w:sz w:val="28"/>
          <w:szCs w:val="28"/>
          <w:highlight w:val="none"/>
          <w:lang w:val="en-US" w:eastAsia="zh-CN"/>
        </w:rPr>
        <w:t>1、甲乙双方履行合同过程中如发生争议，可以协商或者要求有关部门调解。如协商或调解不成的，任何一方均可向工程所在地的人民法院提出诉讼。</w:t>
      </w:r>
    </w:p>
    <w:p>
      <w:pPr>
        <w:pStyle w:val="8"/>
        <w:tabs>
          <w:tab w:val="left" w:pos="1266"/>
        </w:tabs>
        <w:snapToGrid w:val="0"/>
        <w:spacing w:line="360" w:lineRule="auto"/>
        <w:ind w:firstLine="560" w:firstLineChars="200"/>
        <w:rPr>
          <w:color w:val="auto"/>
          <w:sz w:val="28"/>
          <w:szCs w:val="28"/>
          <w:highlight w:val="none"/>
          <w:lang w:val="en-US" w:eastAsia="zh-CN"/>
        </w:rPr>
      </w:pPr>
      <w:bookmarkStart w:id="1" w:name="bookmark42"/>
      <w:bookmarkEnd w:id="1"/>
      <w:r>
        <w:rPr>
          <w:rFonts w:hint="eastAsia"/>
          <w:color w:val="auto"/>
          <w:sz w:val="28"/>
          <w:szCs w:val="28"/>
          <w:highlight w:val="none"/>
          <w:lang w:val="en-US" w:eastAsia="zh-CN"/>
        </w:rPr>
        <w:t>2、除提交诉讼的争议事项外，其余工作应照常进行。</w:t>
      </w:r>
    </w:p>
    <w:p>
      <w:pPr>
        <w:pStyle w:val="8"/>
        <w:tabs>
          <w:tab w:val="left" w:pos="1266"/>
        </w:tabs>
        <w:snapToGrid w:val="0"/>
        <w:spacing w:line="360" w:lineRule="auto"/>
        <w:ind w:firstLine="560" w:firstLineChars="200"/>
        <w:rPr>
          <w:color w:val="auto"/>
          <w:sz w:val="28"/>
          <w:szCs w:val="28"/>
          <w:highlight w:val="none"/>
          <w:lang w:val="en-US" w:eastAsia="zh-CN"/>
        </w:rPr>
      </w:pPr>
      <w:r>
        <w:rPr>
          <w:rFonts w:hint="eastAsia"/>
          <w:color w:val="auto"/>
          <w:sz w:val="28"/>
          <w:szCs w:val="28"/>
          <w:highlight w:val="none"/>
          <w:lang w:val="en-US" w:eastAsia="zh-CN"/>
        </w:rPr>
        <w:t>3、诉讼费用：</w:t>
      </w:r>
    </w:p>
    <w:p>
      <w:pPr>
        <w:pStyle w:val="8"/>
        <w:tabs>
          <w:tab w:val="left" w:pos="1266"/>
        </w:tabs>
        <w:snapToGrid w:val="0"/>
        <w:spacing w:line="360" w:lineRule="auto"/>
        <w:ind w:firstLine="560" w:firstLineChars="200"/>
        <w:rPr>
          <w:color w:val="auto"/>
          <w:sz w:val="28"/>
          <w:szCs w:val="28"/>
          <w:highlight w:val="none"/>
          <w:lang w:val="en-US" w:eastAsia="zh-CN"/>
        </w:rPr>
      </w:pPr>
      <w:r>
        <w:rPr>
          <w:rFonts w:hint="eastAsia"/>
          <w:color w:val="auto"/>
          <w:sz w:val="28"/>
          <w:szCs w:val="28"/>
          <w:highlight w:val="none"/>
          <w:lang w:val="en-US" w:eastAsia="zh-CN"/>
        </w:rPr>
        <w:t>因乙方原因导致甲方涉诉的，乙方应承担甲方遭受的经济损失，包括甲方为应诉产生的诉讼费、仲裁费、律师费、车旅费、住宿费等合理费用，具体包括以下情形：</w:t>
      </w:r>
    </w:p>
    <w:p>
      <w:pPr>
        <w:pStyle w:val="8"/>
        <w:tabs>
          <w:tab w:val="left" w:pos="1266"/>
        </w:tabs>
        <w:snapToGrid w:val="0"/>
        <w:spacing w:line="360" w:lineRule="auto"/>
        <w:ind w:firstLine="560" w:firstLineChars="200"/>
        <w:rPr>
          <w:color w:val="auto"/>
          <w:sz w:val="28"/>
          <w:szCs w:val="28"/>
          <w:highlight w:val="none"/>
          <w:lang w:val="en-US" w:eastAsia="zh-CN"/>
        </w:rPr>
      </w:pPr>
      <w:r>
        <w:rPr>
          <w:rFonts w:hint="eastAsia"/>
          <w:color w:val="auto"/>
          <w:sz w:val="28"/>
          <w:szCs w:val="28"/>
          <w:highlight w:val="none"/>
          <w:lang w:val="en-US" w:eastAsia="zh-CN"/>
        </w:rPr>
        <w:t>（1）与乙方有合同关系的分包单位、雇佣人员或其他合作单位、个人对甲方提起诉讼、仲裁或将甲方列为第三人的；</w:t>
      </w:r>
    </w:p>
    <w:p>
      <w:pPr>
        <w:pStyle w:val="8"/>
        <w:tabs>
          <w:tab w:val="left" w:pos="1266"/>
        </w:tabs>
        <w:snapToGrid w:val="0"/>
        <w:spacing w:line="360" w:lineRule="auto"/>
        <w:ind w:firstLine="560" w:firstLineChars="200"/>
        <w:rPr>
          <w:color w:val="auto"/>
          <w:sz w:val="28"/>
          <w:szCs w:val="28"/>
          <w:highlight w:val="none"/>
          <w:lang w:val="en-US" w:eastAsia="zh-CN"/>
        </w:rPr>
      </w:pPr>
      <w:r>
        <w:rPr>
          <w:rFonts w:hint="eastAsia"/>
          <w:color w:val="auto"/>
          <w:sz w:val="28"/>
          <w:szCs w:val="28"/>
          <w:highlight w:val="none"/>
          <w:lang w:val="en-US" w:eastAsia="zh-CN"/>
        </w:rPr>
        <w:t>（2）与乙方无合同关系，但作为本项目的实际参建单位或参建个人对甲方提起诉讼、仲裁或将甲方列为第三人的；</w:t>
      </w:r>
    </w:p>
    <w:p>
      <w:pPr>
        <w:pStyle w:val="8"/>
        <w:tabs>
          <w:tab w:val="left" w:pos="1266"/>
        </w:tabs>
        <w:snapToGrid w:val="0"/>
        <w:spacing w:line="360" w:lineRule="auto"/>
        <w:ind w:firstLine="560" w:firstLineChars="200"/>
        <w:rPr>
          <w:color w:val="auto"/>
          <w:sz w:val="28"/>
          <w:szCs w:val="28"/>
          <w:highlight w:val="none"/>
          <w:lang w:val="en-US" w:eastAsia="zh-CN"/>
        </w:rPr>
      </w:pPr>
      <w:r>
        <w:rPr>
          <w:rFonts w:hint="eastAsia"/>
          <w:color w:val="auto"/>
          <w:sz w:val="28"/>
          <w:szCs w:val="28"/>
          <w:highlight w:val="none"/>
          <w:lang w:val="en-US" w:eastAsia="zh-CN"/>
        </w:rPr>
        <w:t>（3）其他因乙方原因导致相关单位或个人对甲方提起诉讼、仲裁或将甲方列为第三人的。</w:t>
      </w:r>
    </w:p>
    <w:p>
      <w:pPr>
        <w:pStyle w:val="8"/>
        <w:tabs>
          <w:tab w:val="left" w:pos="1266"/>
        </w:tabs>
        <w:snapToGrid w:val="0"/>
        <w:spacing w:line="360" w:lineRule="auto"/>
        <w:ind w:right="-334" w:rightChars="-159" w:firstLine="560" w:firstLineChars="200"/>
        <w:rPr>
          <w:b/>
          <w:color w:val="auto"/>
          <w:sz w:val="30"/>
          <w:szCs w:val="30"/>
          <w:highlight w:val="none"/>
        </w:rPr>
      </w:pPr>
      <w:r>
        <w:rPr>
          <w:rFonts w:hint="eastAsia"/>
          <w:color w:val="auto"/>
          <w:sz w:val="28"/>
          <w:szCs w:val="28"/>
          <w:highlight w:val="none"/>
          <w:lang w:val="en-US" w:eastAsia="zh-CN"/>
        </w:rPr>
        <w:t>上述律师费以受诉法院或仲裁院所在地物价部门和（或）司法部门发布的律师服务收费标准为依据计取，其他费用以实际发生为依据计取。乙方应承担的上述合理费用由乙方直接支付至甲方，或甲方指定的第三方服务单位。</w:t>
      </w:r>
    </w:p>
    <w:p>
      <w:pPr>
        <w:pStyle w:val="9"/>
        <w:tabs>
          <w:tab w:val="left" w:pos="4765"/>
        </w:tabs>
        <w:spacing w:line="480" w:lineRule="exact"/>
        <w:ind w:right="-334" w:rightChars="-159" w:firstLine="602" w:firstLineChars="200"/>
        <w:rPr>
          <w:rFonts w:ascii="宋体" w:hAnsi="宋体" w:eastAsia="宋体"/>
          <w:color w:val="auto"/>
          <w:sz w:val="28"/>
          <w:szCs w:val="28"/>
          <w:highlight w:val="none"/>
        </w:rPr>
      </w:pPr>
      <w:r>
        <w:rPr>
          <w:rFonts w:hint="eastAsia" w:ascii="宋体" w:hAnsi="宋体" w:eastAsia="宋体"/>
          <w:b/>
          <w:color w:val="auto"/>
          <w:sz w:val="30"/>
          <w:szCs w:val="30"/>
          <w:highlight w:val="none"/>
        </w:rPr>
        <w:t>十</w:t>
      </w:r>
      <w:r>
        <w:rPr>
          <w:rFonts w:ascii="宋体" w:hAnsi="宋体" w:eastAsia="宋体"/>
          <w:b/>
          <w:color w:val="auto"/>
          <w:sz w:val="30"/>
          <w:szCs w:val="30"/>
          <w:highlight w:val="none"/>
        </w:rPr>
        <w:t>、其它</w:t>
      </w:r>
    </w:p>
    <w:p>
      <w:pPr>
        <w:pStyle w:val="9"/>
        <w:tabs>
          <w:tab w:val="left" w:pos="4765"/>
        </w:tabs>
        <w:spacing w:line="480" w:lineRule="exact"/>
        <w:ind w:right="-334" w:rightChars="-159" w:firstLine="560" w:firstLineChars="200"/>
        <w:rPr>
          <w:rFonts w:ascii="宋体" w:hAnsi="宋体" w:eastAsia="宋体"/>
          <w:color w:val="auto"/>
          <w:sz w:val="28"/>
          <w:szCs w:val="28"/>
          <w:highlight w:val="none"/>
        </w:rPr>
      </w:pPr>
      <w:r>
        <w:rPr>
          <w:rFonts w:ascii="宋体" w:hAnsi="宋体" w:eastAsia="宋体"/>
          <w:color w:val="auto"/>
          <w:sz w:val="28"/>
          <w:szCs w:val="28"/>
          <w:highlight w:val="none"/>
        </w:rPr>
        <w:t>1</w:t>
      </w:r>
      <w:r>
        <w:rPr>
          <w:rFonts w:hint="eastAsia" w:ascii="宋体" w:hAnsi="宋体" w:eastAsia="宋体"/>
          <w:color w:val="auto"/>
          <w:sz w:val="28"/>
          <w:szCs w:val="28"/>
          <w:highlight w:val="none"/>
        </w:rPr>
        <w:t>、</w:t>
      </w:r>
      <w:r>
        <w:rPr>
          <w:rFonts w:ascii="宋体" w:hAnsi="宋体" w:eastAsia="宋体"/>
          <w:color w:val="auto"/>
          <w:sz w:val="28"/>
          <w:szCs w:val="28"/>
          <w:highlight w:val="none"/>
        </w:rPr>
        <w:t>本合同一式</w:t>
      </w:r>
      <w:r>
        <w:rPr>
          <w:rFonts w:hint="eastAsia" w:ascii="宋体" w:hAnsi="宋体" w:eastAsia="宋体"/>
          <w:color w:val="auto"/>
          <w:sz w:val="28"/>
          <w:szCs w:val="28"/>
          <w:highlight w:val="none"/>
          <w:u w:val="single"/>
        </w:rPr>
        <w:t xml:space="preserve"> 12 </w:t>
      </w:r>
      <w:r>
        <w:rPr>
          <w:rFonts w:ascii="宋体" w:hAnsi="宋体" w:eastAsia="宋体"/>
          <w:color w:val="auto"/>
          <w:sz w:val="28"/>
          <w:szCs w:val="28"/>
          <w:highlight w:val="none"/>
        </w:rPr>
        <w:t>份，甲方执</w:t>
      </w:r>
      <w:r>
        <w:rPr>
          <w:rFonts w:ascii="宋体" w:hAnsi="宋体" w:eastAsia="宋体"/>
          <w:color w:val="auto"/>
          <w:sz w:val="28"/>
          <w:szCs w:val="28"/>
          <w:highlight w:val="none"/>
          <w:u w:val="single"/>
        </w:rPr>
        <w:t xml:space="preserve"> </w:t>
      </w:r>
      <w:r>
        <w:rPr>
          <w:rFonts w:hint="eastAsia" w:ascii="宋体" w:hAnsi="宋体" w:eastAsia="宋体"/>
          <w:color w:val="auto"/>
          <w:sz w:val="28"/>
          <w:szCs w:val="28"/>
          <w:highlight w:val="none"/>
          <w:u w:val="single"/>
        </w:rPr>
        <w:t>8</w:t>
      </w:r>
      <w:r>
        <w:rPr>
          <w:rFonts w:ascii="宋体" w:hAnsi="宋体" w:eastAsia="宋体"/>
          <w:color w:val="auto"/>
          <w:sz w:val="28"/>
          <w:szCs w:val="28"/>
          <w:highlight w:val="none"/>
          <w:u w:val="single"/>
        </w:rPr>
        <w:t xml:space="preserve"> </w:t>
      </w:r>
      <w:r>
        <w:rPr>
          <w:rFonts w:ascii="宋体" w:hAnsi="宋体" w:eastAsia="宋体"/>
          <w:color w:val="auto"/>
          <w:sz w:val="28"/>
          <w:szCs w:val="28"/>
          <w:highlight w:val="none"/>
        </w:rPr>
        <w:t>份、乙方执</w:t>
      </w:r>
      <w:r>
        <w:rPr>
          <w:rFonts w:ascii="宋体" w:hAnsi="宋体" w:eastAsia="宋体"/>
          <w:color w:val="auto"/>
          <w:sz w:val="28"/>
          <w:szCs w:val="28"/>
          <w:highlight w:val="none"/>
          <w:u w:val="single"/>
        </w:rPr>
        <w:t xml:space="preserve"> </w:t>
      </w:r>
      <w:r>
        <w:rPr>
          <w:rFonts w:hint="eastAsia" w:ascii="宋体" w:hAnsi="宋体" w:eastAsia="宋体"/>
          <w:color w:val="auto"/>
          <w:sz w:val="28"/>
          <w:szCs w:val="28"/>
          <w:highlight w:val="none"/>
          <w:u w:val="single"/>
        </w:rPr>
        <w:t>4</w:t>
      </w:r>
      <w:r>
        <w:rPr>
          <w:rFonts w:ascii="宋体" w:hAnsi="宋体" w:eastAsia="宋体"/>
          <w:color w:val="auto"/>
          <w:sz w:val="28"/>
          <w:szCs w:val="28"/>
          <w:highlight w:val="none"/>
          <w:u w:val="single"/>
        </w:rPr>
        <w:t xml:space="preserve"> </w:t>
      </w:r>
      <w:r>
        <w:rPr>
          <w:rFonts w:ascii="宋体" w:hAnsi="宋体" w:eastAsia="宋体"/>
          <w:color w:val="auto"/>
          <w:sz w:val="28"/>
          <w:szCs w:val="28"/>
          <w:highlight w:val="none"/>
        </w:rPr>
        <w:t>份，均具有同等法律效力</w:t>
      </w:r>
      <w:r>
        <w:rPr>
          <w:rFonts w:hint="eastAsia" w:ascii="宋体" w:hAnsi="宋体" w:eastAsia="宋体"/>
          <w:color w:val="auto"/>
          <w:sz w:val="28"/>
          <w:szCs w:val="28"/>
          <w:highlight w:val="none"/>
        </w:rPr>
        <w:t>。</w:t>
      </w:r>
    </w:p>
    <w:p>
      <w:pPr>
        <w:pStyle w:val="9"/>
        <w:tabs>
          <w:tab w:val="left" w:pos="4765"/>
        </w:tabs>
        <w:spacing w:line="480" w:lineRule="exact"/>
        <w:ind w:right="-334" w:rightChars="-159" w:firstLine="0"/>
        <w:rPr>
          <w:rFonts w:ascii="宋体" w:hAnsi="宋体" w:eastAsia="宋体" w:cs="宋体"/>
          <w:color w:val="auto"/>
          <w:sz w:val="28"/>
          <w:szCs w:val="28"/>
          <w:highlight w:val="none"/>
        </w:rPr>
      </w:pPr>
    </w:p>
    <w:p>
      <w:pPr>
        <w:spacing w:line="480" w:lineRule="exact"/>
        <w:rPr>
          <w:rFonts w:hint="eastAsia" w:ascii="宋体" w:hAnsi="宋体" w:cs="宋体"/>
          <w:b/>
          <w:color w:val="auto"/>
          <w:sz w:val="28"/>
          <w:szCs w:val="28"/>
          <w:highlight w:val="none"/>
        </w:rPr>
      </w:pPr>
    </w:p>
    <w:p>
      <w:pPr>
        <w:spacing w:line="480" w:lineRule="exact"/>
        <w:rPr>
          <w:rFonts w:hint="eastAsia" w:ascii="宋体" w:hAnsi="宋体" w:cs="宋体"/>
          <w:b/>
          <w:color w:val="auto"/>
          <w:sz w:val="28"/>
          <w:szCs w:val="28"/>
          <w:highlight w:val="none"/>
        </w:rPr>
      </w:pPr>
    </w:p>
    <w:p>
      <w:pPr>
        <w:spacing w:line="480" w:lineRule="exact"/>
        <w:rPr>
          <w:rFonts w:hint="eastAsia" w:ascii="宋体" w:hAnsi="宋体" w:cs="宋体"/>
          <w:b/>
          <w:color w:val="auto"/>
          <w:sz w:val="28"/>
          <w:szCs w:val="28"/>
          <w:highlight w:val="none"/>
        </w:rPr>
      </w:pPr>
    </w:p>
    <w:p>
      <w:pPr>
        <w:spacing w:line="480" w:lineRule="exact"/>
        <w:rPr>
          <w:rFonts w:hint="eastAsia" w:ascii="宋体" w:hAnsi="宋体" w:cs="宋体"/>
          <w:b/>
          <w:color w:val="auto"/>
          <w:sz w:val="28"/>
          <w:szCs w:val="28"/>
          <w:highlight w:val="none"/>
        </w:rPr>
      </w:pPr>
    </w:p>
    <w:p>
      <w:pPr>
        <w:spacing w:line="480" w:lineRule="exact"/>
        <w:rPr>
          <w:rFonts w:hint="eastAsia" w:ascii="宋体" w:hAnsi="宋体" w:cs="宋体"/>
          <w:b/>
          <w:color w:val="auto"/>
          <w:sz w:val="28"/>
          <w:szCs w:val="28"/>
          <w:highlight w:val="none"/>
        </w:rPr>
      </w:pPr>
    </w:p>
    <w:p>
      <w:pPr>
        <w:rPr>
          <w:rFonts w:hint="eastAsia" w:ascii="宋体" w:hAnsi="宋体" w:cs="宋体"/>
          <w:b w:val="0"/>
          <w:bCs/>
          <w:color w:val="auto"/>
          <w:sz w:val="28"/>
          <w:szCs w:val="28"/>
          <w:highlight w:val="none"/>
          <w:lang w:val="en-US" w:eastAsia="zh-CN"/>
        </w:rPr>
      </w:pPr>
      <w:r>
        <w:rPr>
          <w:rFonts w:hint="eastAsia" w:ascii="宋体" w:hAnsi="宋体" w:cs="宋体"/>
          <w:b w:val="0"/>
          <w:bCs/>
          <w:color w:val="auto"/>
          <w:sz w:val="28"/>
          <w:szCs w:val="28"/>
          <w:highlight w:val="none"/>
          <w:lang w:val="en-US" w:eastAsia="zh-CN"/>
        </w:rPr>
        <w:br w:type="page"/>
      </w:r>
    </w:p>
    <w:p>
      <w:pPr>
        <w:spacing w:line="480" w:lineRule="exact"/>
        <w:rPr>
          <w:rFonts w:hint="default" w:ascii="宋体" w:hAnsi="宋体" w:eastAsia="宋体" w:cs="宋体"/>
          <w:b w:val="0"/>
          <w:bCs/>
          <w:color w:val="auto"/>
          <w:sz w:val="28"/>
          <w:szCs w:val="28"/>
          <w:highlight w:val="none"/>
          <w:lang w:val="en-US" w:eastAsia="zh-CN"/>
        </w:rPr>
      </w:pPr>
      <w:r>
        <w:rPr>
          <w:rFonts w:hint="eastAsia" w:ascii="宋体" w:hAnsi="宋体" w:cs="宋体"/>
          <w:b w:val="0"/>
          <w:bCs/>
          <w:color w:val="auto"/>
          <w:sz w:val="28"/>
          <w:szCs w:val="28"/>
          <w:highlight w:val="none"/>
          <w:lang w:val="en-US" w:eastAsia="zh-CN"/>
        </w:rPr>
        <w:t>此页无正文</w:t>
      </w:r>
    </w:p>
    <w:p>
      <w:pPr>
        <w:spacing w:line="480" w:lineRule="exact"/>
        <w:rPr>
          <w:rFonts w:ascii="宋体" w:hAnsi="宋体" w:cs="宋体"/>
          <w:b/>
          <w:color w:val="auto"/>
          <w:sz w:val="28"/>
          <w:szCs w:val="28"/>
          <w:highlight w:val="none"/>
        </w:rPr>
      </w:pPr>
      <w:r>
        <w:rPr>
          <w:rFonts w:hint="eastAsia" w:ascii="宋体" w:hAnsi="宋体" w:cs="宋体"/>
          <w:b/>
          <w:color w:val="auto"/>
          <w:sz w:val="28"/>
          <w:szCs w:val="28"/>
          <w:highlight w:val="none"/>
        </w:rPr>
        <w:t>甲方：深圳市建筑工务署工程管理中心</w:t>
      </w:r>
    </w:p>
    <w:p>
      <w:pPr>
        <w:pStyle w:val="9"/>
        <w:tabs>
          <w:tab w:val="left" w:pos="4765"/>
        </w:tabs>
        <w:spacing w:line="480" w:lineRule="exact"/>
        <w:ind w:right="-334" w:rightChars="-159" w:firstLine="550" w:firstLineChars="196"/>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p>
    <w:p>
      <w:pPr>
        <w:pStyle w:val="9"/>
        <w:tabs>
          <w:tab w:val="left" w:pos="4765"/>
        </w:tabs>
        <w:spacing w:line="480" w:lineRule="exact"/>
        <w:ind w:left="2640" w:leftChars="57" w:right="-334" w:rightChars="-159" w:hanging="2520" w:hangingChars="9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（盖章）                             </w:t>
      </w:r>
    </w:p>
    <w:p>
      <w:pPr>
        <w:pStyle w:val="9"/>
        <w:tabs>
          <w:tab w:val="left" w:pos="4765"/>
        </w:tabs>
        <w:spacing w:line="480" w:lineRule="exact"/>
        <w:ind w:left="2315" w:leftChars="969" w:right="-334" w:rightChars="-159" w:hanging="280" w:hangingChars="100"/>
        <w:rPr>
          <w:rFonts w:ascii="宋体" w:hAnsi="宋体" w:eastAsia="宋体" w:cs="宋体"/>
          <w:color w:val="auto"/>
          <w:sz w:val="28"/>
          <w:szCs w:val="28"/>
          <w:highlight w:val="none"/>
        </w:rPr>
      </w:pPr>
    </w:p>
    <w:p>
      <w:pPr>
        <w:tabs>
          <w:tab w:val="center" w:pos="4590"/>
        </w:tabs>
        <w:spacing w:line="480" w:lineRule="exact"/>
        <w:ind w:right="-874" w:rightChars="-416"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 xml:space="preserve">法定代表人                       </w:t>
      </w:r>
    </w:p>
    <w:p>
      <w:pPr>
        <w:tabs>
          <w:tab w:val="center" w:pos="4590"/>
        </w:tabs>
        <w:spacing w:line="480" w:lineRule="exact"/>
        <w:ind w:right="-874" w:rightChars="-416"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或授权代理人：</w:t>
      </w:r>
      <w:r>
        <w:rPr>
          <w:rFonts w:hint="eastAsia" w:ascii="宋体" w:hAnsi="宋体" w:cs="宋体"/>
          <w:color w:val="auto"/>
          <w:sz w:val="28"/>
          <w:szCs w:val="28"/>
          <w:highlight w:val="none"/>
        </w:rPr>
        <w:tab/>
      </w:r>
      <w:r>
        <w:rPr>
          <w:rFonts w:hint="eastAsia" w:ascii="宋体" w:hAnsi="宋体" w:cs="宋体"/>
          <w:color w:val="auto"/>
          <w:sz w:val="28"/>
          <w:szCs w:val="28"/>
          <w:highlight w:val="none"/>
        </w:rPr>
        <w:t xml:space="preserve">            </w:t>
      </w:r>
    </w:p>
    <w:p>
      <w:pPr>
        <w:tabs>
          <w:tab w:val="center" w:pos="4590"/>
        </w:tabs>
        <w:spacing w:line="480" w:lineRule="exact"/>
        <w:ind w:right="-874" w:rightChars="-416"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 xml:space="preserve">签订日期：      年   月   日          </w:t>
      </w:r>
    </w:p>
    <w:p>
      <w:pPr>
        <w:tabs>
          <w:tab w:val="center" w:pos="4590"/>
        </w:tabs>
        <w:spacing w:line="480" w:lineRule="exact"/>
        <w:ind w:right="-874" w:rightChars="-416"/>
        <w:rPr>
          <w:rFonts w:ascii="宋体" w:hAnsi="宋体" w:cs="宋体"/>
          <w:b/>
          <w:color w:val="auto"/>
          <w:sz w:val="28"/>
          <w:szCs w:val="28"/>
          <w:highlight w:val="none"/>
        </w:rPr>
      </w:pPr>
    </w:p>
    <w:p>
      <w:pPr>
        <w:spacing w:line="480" w:lineRule="exact"/>
        <w:rPr>
          <w:rFonts w:ascii="宋体" w:hAnsi="宋体" w:cs="宋体"/>
          <w:b/>
          <w:color w:val="auto"/>
          <w:sz w:val="28"/>
          <w:szCs w:val="28"/>
          <w:highlight w:val="none"/>
        </w:rPr>
      </w:pPr>
      <w:r>
        <w:rPr>
          <w:rFonts w:hint="eastAsia" w:ascii="宋体" w:hAnsi="宋体" w:cs="宋体"/>
          <w:b/>
          <w:color w:val="auto"/>
          <w:sz w:val="28"/>
          <w:szCs w:val="28"/>
          <w:highlight w:val="none"/>
        </w:rPr>
        <w:t>乙方：</w:t>
      </w:r>
    </w:p>
    <w:p>
      <w:pPr>
        <w:pStyle w:val="9"/>
        <w:tabs>
          <w:tab w:val="left" w:pos="4765"/>
        </w:tabs>
        <w:spacing w:line="480" w:lineRule="exact"/>
        <w:ind w:left="2642" w:leftChars="1258" w:right="-334" w:rightChars="-159" w:firstLine="411" w:firstLineChars="147"/>
        <w:rPr>
          <w:rFonts w:ascii="宋体" w:hAnsi="宋体" w:eastAsia="宋体" w:cs="宋体"/>
          <w:color w:val="auto"/>
          <w:sz w:val="28"/>
          <w:szCs w:val="28"/>
          <w:highlight w:val="none"/>
        </w:rPr>
      </w:pPr>
    </w:p>
    <w:p>
      <w:pPr>
        <w:pStyle w:val="9"/>
        <w:tabs>
          <w:tab w:val="left" w:pos="4765"/>
        </w:tabs>
        <w:spacing w:line="480" w:lineRule="exact"/>
        <w:ind w:left="2642" w:leftChars="1258" w:right="-334" w:rightChars="-159" w:firstLine="411" w:firstLineChars="147"/>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（盖章）  </w:t>
      </w:r>
    </w:p>
    <w:p>
      <w:pPr>
        <w:pStyle w:val="9"/>
        <w:tabs>
          <w:tab w:val="left" w:pos="4765"/>
        </w:tabs>
        <w:spacing w:line="480" w:lineRule="exact"/>
        <w:ind w:left="2640" w:leftChars="257" w:right="-334" w:rightChars="-159" w:hanging="2100" w:hangingChars="750"/>
        <w:rPr>
          <w:rFonts w:ascii="宋体" w:hAnsi="宋体" w:eastAsia="宋体" w:cs="宋体"/>
          <w:color w:val="auto"/>
          <w:sz w:val="28"/>
          <w:szCs w:val="28"/>
          <w:highlight w:val="none"/>
        </w:rPr>
      </w:pPr>
    </w:p>
    <w:p>
      <w:pPr>
        <w:pStyle w:val="9"/>
        <w:tabs>
          <w:tab w:val="left" w:pos="4765"/>
        </w:tabs>
        <w:spacing w:line="480" w:lineRule="exact"/>
        <w:ind w:left="2640" w:leftChars="257" w:right="-334" w:rightChars="-159" w:hanging="2100" w:hangingChars="7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p>
    <w:p>
      <w:pPr>
        <w:pStyle w:val="9"/>
        <w:tabs>
          <w:tab w:val="left" w:pos="4765"/>
        </w:tabs>
        <w:spacing w:line="480" w:lineRule="exact"/>
        <w:ind w:left="2640" w:leftChars="257" w:right="-334" w:rightChars="-159" w:hanging="2100" w:hangingChars="7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或授权代理人：</w:t>
      </w:r>
    </w:p>
    <w:p>
      <w:pPr>
        <w:tabs>
          <w:tab w:val="center" w:pos="4590"/>
        </w:tabs>
        <w:spacing w:line="480" w:lineRule="exact"/>
        <w:ind w:right="-874" w:rightChars="-416"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 xml:space="preserve">开户行： </w:t>
      </w:r>
    </w:p>
    <w:p>
      <w:pPr>
        <w:tabs>
          <w:tab w:val="center" w:pos="4590"/>
        </w:tabs>
        <w:spacing w:line="480" w:lineRule="exact"/>
        <w:ind w:right="-874" w:rightChars="-416" w:firstLine="548" w:firstLineChars="196"/>
        <w:rPr>
          <w:rFonts w:ascii="宋体" w:hAnsi="宋体" w:cs="宋体"/>
          <w:color w:val="auto"/>
          <w:sz w:val="28"/>
          <w:szCs w:val="28"/>
          <w:highlight w:val="none"/>
        </w:rPr>
      </w:pPr>
      <w:r>
        <w:rPr>
          <w:rFonts w:hint="eastAsia" w:ascii="宋体" w:hAnsi="宋体" w:cs="宋体"/>
          <w:color w:val="auto"/>
          <w:sz w:val="28"/>
          <w:szCs w:val="28"/>
          <w:highlight w:val="none"/>
        </w:rPr>
        <w:t xml:space="preserve">账  号： </w:t>
      </w:r>
    </w:p>
    <w:p>
      <w:pPr>
        <w:tabs>
          <w:tab w:val="center" w:pos="4590"/>
        </w:tabs>
        <w:spacing w:line="480" w:lineRule="exact"/>
        <w:ind w:right="-874" w:rightChars="-416" w:firstLine="480"/>
        <w:rPr>
          <w:rFonts w:ascii="宋体" w:hAnsi="宋体"/>
          <w:color w:val="auto"/>
          <w:sz w:val="28"/>
          <w:szCs w:val="28"/>
          <w:highlight w:val="none"/>
        </w:rPr>
      </w:pPr>
      <w:r>
        <w:rPr>
          <w:rFonts w:hint="eastAsia" w:ascii="宋体" w:hAnsi="宋体" w:cs="宋体"/>
          <w:color w:val="auto"/>
          <w:sz w:val="28"/>
          <w:szCs w:val="28"/>
          <w:highlight w:val="none"/>
        </w:rPr>
        <w:t>签订日期：      年   月   日</w:t>
      </w:r>
    </w:p>
    <w:p>
      <w:pPr>
        <w:pStyle w:val="3"/>
        <w:spacing w:beforeAutospacing="0" w:afterAutospacing="0" w:line="480" w:lineRule="atLeast"/>
        <w:jc w:val="both"/>
        <w:rPr>
          <w:rFonts w:ascii="微软雅黑" w:hAnsi="微软雅黑" w:eastAsia="微软雅黑" w:cs="微软雅黑"/>
          <w:color w:val="auto"/>
          <w:sz w:val="27"/>
          <w:szCs w:val="27"/>
          <w:highlight w:val="none"/>
        </w:rPr>
      </w:pPr>
      <w:r>
        <w:rPr>
          <w:rFonts w:hint="eastAsia" w:ascii="宋体" w:hAnsi="宋体"/>
          <w:color w:val="auto"/>
          <w:sz w:val="28"/>
          <w:szCs w:val="28"/>
          <w:highlight w:val="none"/>
        </w:rPr>
        <w:br w:type="page"/>
      </w:r>
      <w:r>
        <w:rPr>
          <w:rFonts w:hint="eastAsia" w:ascii="宋体" w:hAnsi="宋体" w:cs="宋体"/>
          <w:color w:val="auto"/>
          <w:sz w:val="28"/>
          <w:szCs w:val="28"/>
          <w:highlight w:val="none"/>
        </w:rPr>
        <w:t>附件一：合同履约评价实施细则</w:t>
      </w:r>
    </w:p>
    <w:tbl>
      <w:tblPr>
        <w:tblStyle w:val="4"/>
        <w:tblW w:w="0" w:type="auto"/>
        <w:tblInd w:w="-176" w:type="dxa"/>
        <w:tblLayout w:type="autofit"/>
        <w:tblCellMar>
          <w:top w:w="0" w:type="dxa"/>
          <w:left w:w="108" w:type="dxa"/>
          <w:bottom w:w="0" w:type="dxa"/>
          <w:right w:w="108" w:type="dxa"/>
        </w:tblCellMar>
      </w:tblPr>
      <w:tblGrid>
        <w:gridCol w:w="455"/>
        <w:gridCol w:w="1246"/>
        <w:gridCol w:w="531"/>
        <w:gridCol w:w="5756"/>
        <w:gridCol w:w="710"/>
      </w:tblGrid>
      <w:tr>
        <w:tblPrEx>
          <w:tblCellMar>
            <w:top w:w="0" w:type="dxa"/>
            <w:left w:w="108" w:type="dxa"/>
            <w:bottom w:w="0" w:type="dxa"/>
            <w:right w:w="108" w:type="dxa"/>
          </w:tblCellMar>
        </w:tblPrEx>
        <w:trPr>
          <w:trHeight w:val="312" w:hRule="atLeast"/>
        </w:trPr>
        <w:tc>
          <w:tcPr>
            <w:tcW w:w="455" w:type="dxa"/>
            <w:vMerge w:val="restart"/>
            <w:tcBorders>
              <w:top w:val="single" w:color="auto" w:sz="8" w:space="0"/>
              <w:left w:val="single" w:color="auto" w:sz="8" w:space="0"/>
              <w:bottom w:val="single" w:color="000000" w:sz="4" w:space="0"/>
              <w:right w:val="single" w:color="auto" w:sz="4" w:space="0"/>
            </w:tcBorders>
            <w:vAlign w:val="center"/>
          </w:tcPr>
          <w:p>
            <w:pPr>
              <w:widowControl/>
              <w:adjustRightInd w:val="0"/>
              <w:snapToGrid w:val="0"/>
              <w:jc w:val="center"/>
              <w:rPr>
                <w:rFonts w:ascii="宋体" w:cs="宋体"/>
                <w:color w:val="auto"/>
                <w:kern w:val="0"/>
                <w:szCs w:val="21"/>
                <w:highlight w:val="none"/>
              </w:rPr>
            </w:pPr>
            <w:r>
              <w:rPr>
                <w:rFonts w:hint="eastAsia" w:ascii="宋体" w:hAnsi="宋体" w:cs="宋体"/>
                <w:color w:val="auto"/>
                <w:kern w:val="0"/>
                <w:szCs w:val="21"/>
                <w:highlight w:val="none"/>
              </w:rPr>
              <w:t>序号</w:t>
            </w:r>
          </w:p>
        </w:tc>
        <w:tc>
          <w:tcPr>
            <w:tcW w:w="1246"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cs="宋体"/>
                <w:color w:val="auto"/>
                <w:kern w:val="0"/>
                <w:szCs w:val="21"/>
                <w:highlight w:val="none"/>
              </w:rPr>
            </w:pPr>
            <w:r>
              <w:rPr>
                <w:rFonts w:hint="eastAsia" w:ascii="宋体" w:hAnsi="宋体" w:cs="宋体"/>
                <w:color w:val="auto"/>
                <w:kern w:val="0"/>
                <w:szCs w:val="21"/>
                <w:highlight w:val="none"/>
              </w:rPr>
              <w:t>分项</w:t>
            </w:r>
          </w:p>
          <w:p>
            <w:pPr>
              <w:widowControl/>
              <w:adjustRightInd w:val="0"/>
              <w:snapToGrid w:val="0"/>
              <w:jc w:val="center"/>
              <w:rPr>
                <w:rFonts w:ascii="宋体" w:cs="宋体"/>
                <w:color w:val="auto"/>
                <w:kern w:val="0"/>
                <w:szCs w:val="21"/>
                <w:highlight w:val="none"/>
              </w:rPr>
            </w:pPr>
            <w:r>
              <w:rPr>
                <w:rFonts w:hint="eastAsia" w:ascii="宋体" w:hAnsi="宋体" w:cs="宋体"/>
                <w:color w:val="auto"/>
                <w:kern w:val="0"/>
                <w:szCs w:val="21"/>
                <w:highlight w:val="none"/>
              </w:rPr>
              <w:t>内容</w:t>
            </w:r>
          </w:p>
        </w:tc>
        <w:tc>
          <w:tcPr>
            <w:tcW w:w="531"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cs="宋体"/>
                <w:color w:val="auto"/>
                <w:kern w:val="0"/>
                <w:szCs w:val="21"/>
                <w:highlight w:val="none"/>
              </w:rPr>
            </w:pPr>
            <w:r>
              <w:rPr>
                <w:rFonts w:hint="eastAsia" w:ascii="宋体" w:hAnsi="宋体" w:cs="宋体"/>
                <w:color w:val="auto"/>
                <w:kern w:val="0"/>
                <w:szCs w:val="21"/>
                <w:highlight w:val="none"/>
              </w:rPr>
              <w:t>分值</w:t>
            </w:r>
          </w:p>
        </w:tc>
        <w:tc>
          <w:tcPr>
            <w:tcW w:w="5756"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cs="宋体"/>
                <w:color w:val="auto"/>
                <w:kern w:val="0"/>
                <w:szCs w:val="21"/>
                <w:highlight w:val="none"/>
              </w:rPr>
            </w:pPr>
            <w:r>
              <w:rPr>
                <w:rFonts w:hint="eastAsia" w:ascii="宋体" w:hAnsi="宋体" w:cs="宋体"/>
                <w:color w:val="auto"/>
                <w:kern w:val="0"/>
                <w:szCs w:val="21"/>
                <w:highlight w:val="none"/>
              </w:rPr>
              <w:t>评价标准</w:t>
            </w:r>
          </w:p>
        </w:tc>
        <w:tc>
          <w:tcPr>
            <w:tcW w:w="710" w:type="dxa"/>
            <w:vMerge w:val="restart"/>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宋体" w:cs="宋体"/>
                <w:color w:val="auto"/>
                <w:kern w:val="0"/>
                <w:szCs w:val="21"/>
                <w:highlight w:val="none"/>
              </w:rPr>
            </w:pPr>
            <w:r>
              <w:rPr>
                <w:rFonts w:hint="eastAsia" w:ascii="宋体" w:hAnsi="宋体" w:cs="宋体"/>
                <w:color w:val="auto"/>
                <w:kern w:val="0"/>
                <w:szCs w:val="21"/>
                <w:highlight w:val="none"/>
              </w:rPr>
              <w:t>得分</w:t>
            </w:r>
          </w:p>
        </w:tc>
      </w:tr>
      <w:tr>
        <w:tblPrEx>
          <w:tblCellMar>
            <w:top w:w="0" w:type="dxa"/>
            <w:left w:w="108" w:type="dxa"/>
            <w:bottom w:w="0" w:type="dxa"/>
            <w:right w:w="108" w:type="dxa"/>
          </w:tblCellMar>
        </w:tblPrEx>
        <w:trPr>
          <w:trHeight w:val="272" w:hRule="atLeast"/>
        </w:trPr>
        <w:tc>
          <w:tcPr>
            <w:tcW w:w="455" w:type="dxa"/>
            <w:vMerge w:val="continue"/>
            <w:tcBorders>
              <w:top w:val="single" w:color="auto" w:sz="8" w:space="0"/>
              <w:left w:val="single" w:color="auto" w:sz="8" w:space="0"/>
              <w:bottom w:val="single" w:color="000000" w:sz="4" w:space="0"/>
              <w:right w:val="single" w:color="auto" w:sz="4" w:space="0"/>
            </w:tcBorders>
            <w:vAlign w:val="center"/>
          </w:tcPr>
          <w:p>
            <w:pPr>
              <w:widowControl/>
              <w:adjustRightInd w:val="0"/>
              <w:snapToGrid w:val="0"/>
              <w:rPr>
                <w:rFonts w:ascii="宋体" w:cs="宋体"/>
                <w:color w:val="auto"/>
                <w:kern w:val="0"/>
                <w:szCs w:val="21"/>
                <w:highlight w:val="none"/>
              </w:rPr>
            </w:pPr>
          </w:p>
        </w:tc>
        <w:tc>
          <w:tcPr>
            <w:tcW w:w="1246"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c>
          <w:tcPr>
            <w:tcW w:w="531"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c>
          <w:tcPr>
            <w:tcW w:w="5756"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c>
          <w:tcPr>
            <w:tcW w:w="71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r>
      <w:tr>
        <w:tblPrEx>
          <w:tblCellMar>
            <w:top w:w="0" w:type="dxa"/>
            <w:left w:w="108" w:type="dxa"/>
            <w:bottom w:w="0" w:type="dxa"/>
            <w:right w:w="108" w:type="dxa"/>
          </w:tblCellMar>
        </w:tblPrEx>
        <w:trPr>
          <w:trHeight w:val="360"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r>
              <w:rPr>
                <w:rFonts w:hint="eastAsia" w:ascii="宋体" w:hAnsi="宋体" w:cs="宋体"/>
                <w:b/>
                <w:bCs/>
                <w:color w:val="auto"/>
                <w:kern w:val="0"/>
                <w:szCs w:val="21"/>
                <w:highlight w:val="none"/>
              </w:rPr>
              <w:t>一</w:t>
            </w:r>
          </w:p>
        </w:tc>
        <w:tc>
          <w:tcPr>
            <w:tcW w:w="1246" w:type="dxa"/>
            <w:tcBorders>
              <w:top w:val="nil"/>
              <w:left w:val="nil"/>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r>
              <w:rPr>
                <w:rFonts w:hint="eastAsia" w:ascii="宋体" w:hAnsi="宋体" w:cs="宋体"/>
                <w:b/>
                <w:bCs/>
                <w:color w:val="auto"/>
                <w:kern w:val="0"/>
                <w:szCs w:val="21"/>
                <w:highlight w:val="none"/>
              </w:rPr>
              <w:t>人员配备</w:t>
            </w:r>
          </w:p>
        </w:tc>
        <w:tc>
          <w:tcPr>
            <w:tcW w:w="531" w:type="dxa"/>
            <w:tcBorders>
              <w:top w:val="nil"/>
              <w:left w:val="nil"/>
              <w:bottom w:val="single" w:color="auto" w:sz="4" w:space="0"/>
              <w:right w:val="single" w:color="auto" w:sz="4" w:space="0"/>
            </w:tcBorders>
            <w:vAlign w:val="center"/>
          </w:tcPr>
          <w:p>
            <w:pPr>
              <w:widowControl/>
              <w:adjustRightInd w:val="0"/>
              <w:snapToGrid w:val="0"/>
              <w:rPr>
                <w:rFonts w:hint="eastAsia" w:ascii="宋体" w:eastAsia="宋体" w:cs="宋体"/>
                <w:b/>
                <w:bCs/>
                <w:color w:val="auto"/>
                <w:kern w:val="0"/>
                <w:szCs w:val="21"/>
                <w:highlight w:val="none"/>
                <w:lang w:eastAsia="zh-CN"/>
              </w:rPr>
            </w:pPr>
            <w:r>
              <w:rPr>
                <w:rFonts w:ascii="宋体" w:hAnsi="宋体" w:cs="宋体"/>
                <w:b/>
                <w:bCs/>
                <w:color w:val="auto"/>
                <w:kern w:val="0"/>
                <w:szCs w:val="21"/>
                <w:highlight w:val="none"/>
              </w:rPr>
              <w:t>1</w:t>
            </w:r>
            <w:r>
              <w:rPr>
                <w:rFonts w:hint="eastAsia" w:ascii="宋体" w:hAnsi="宋体" w:cs="宋体"/>
                <w:b/>
                <w:bCs/>
                <w:color w:val="auto"/>
                <w:kern w:val="0"/>
                <w:szCs w:val="21"/>
                <w:highlight w:val="none"/>
                <w:lang w:val="en-US" w:eastAsia="zh-CN"/>
              </w:rPr>
              <w:t>5</w:t>
            </w:r>
          </w:p>
        </w:tc>
        <w:tc>
          <w:tcPr>
            <w:tcW w:w="6466" w:type="dxa"/>
            <w:gridSpan w:val="2"/>
            <w:tcBorders>
              <w:top w:val="nil"/>
              <w:left w:val="nil"/>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r>
              <w:rPr>
                <w:rFonts w:hint="eastAsia" w:ascii="宋体" w:hAnsi="宋体" w:cs="宋体"/>
                <w:b/>
                <w:bCs/>
                <w:color w:val="auto"/>
                <w:kern w:val="0"/>
                <w:szCs w:val="21"/>
                <w:highlight w:val="none"/>
              </w:rPr>
              <w:t>　</w:t>
            </w:r>
          </w:p>
        </w:tc>
      </w:tr>
      <w:tr>
        <w:trPr>
          <w:trHeight w:val="945"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w:t>
            </w:r>
          </w:p>
        </w:tc>
        <w:tc>
          <w:tcPr>
            <w:tcW w:w="1246" w:type="dxa"/>
            <w:tcBorders>
              <w:top w:val="nil"/>
              <w:left w:val="nil"/>
              <w:bottom w:val="single" w:color="auto" w:sz="4" w:space="0"/>
              <w:right w:val="single" w:color="auto" w:sz="4" w:space="0"/>
            </w:tcBorders>
            <w:vAlign w:val="center"/>
          </w:tcPr>
          <w:p>
            <w:pPr>
              <w:widowControl/>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团队</w:t>
            </w:r>
            <w:r>
              <w:rPr>
                <w:rFonts w:hint="eastAsia" w:asciiTheme="minorEastAsia" w:hAnsiTheme="minorEastAsia" w:eastAsiaTheme="minorEastAsia" w:cstheme="minorEastAsia"/>
                <w:color w:val="auto"/>
                <w:kern w:val="0"/>
                <w:sz w:val="21"/>
                <w:szCs w:val="21"/>
                <w:highlight w:val="none"/>
              </w:rPr>
              <w:t>配置</w:t>
            </w:r>
          </w:p>
        </w:tc>
        <w:tc>
          <w:tcPr>
            <w:tcW w:w="531" w:type="dxa"/>
            <w:tcBorders>
              <w:top w:val="nil"/>
              <w:left w:val="nil"/>
              <w:bottom w:val="single" w:color="auto" w:sz="4" w:space="0"/>
              <w:right w:val="single" w:color="auto" w:sz="4" w:space="0"/>
            </w:tcBorders>
            <w:vAlign w:val="center"/>
          </w:tcPr>
          <w:p>
            <w:pPr>
              <w:widowControl/>
              <w:adjustRightInd w:val="0"/>
              <w:snapToGrid w:val="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5</w:t>
            </w:r>
          </w:p>
        </w:tc>
        <w:tc>
          <w:tcPr>
            <w:tcW w:w="5756" w:type="dxa"/>
            <w:tcBorders>
              <w:top w:val="nil"/>
              <w:left w:val="nil"/>
              <w:bottom w:val="single" w:color="auto" w:sz="4" w:space="0"/>
              <w:right w:val="single" w:color="auto" w:sz="4" w:space="0"/>
            </w:tcBorders>
          </w:tcPr>
          <w:p>
            <w:pPr>
              <w:keepNext w:val="0"/>
              <w:keepLines w:val="0"/>
              <w:widowControl/>
              <w:suppressLineNumbers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 xml:space="preserve">100%：配备人员的数量、专业满足合同及招标文件的要求且能够及时到位，且全部人员稳定； </w:t>
            </w:r>
          </w:p>
          <w:p>
            <w:pPr>
              <w:keepNext w:val="0"/>
              <w:keepLines w:val="0"/>
              <w:widowControl/>
              <w:suppressLineNumbers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 xml:space="preserve">80%：配备人员的数量、专业满足合同及招标文件的要求且能够及时到位，且人员稳定数量占比在85%以上（含 85%）； </w:t>
            </w:r>
          </w:p>
          <w:p>
            <w:pPr>
              <w:keepNext w:val="0"/>
              <w:keepLines w:val="0"/>
              <w:widowControl/>
              <w:suppressLineNumbers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 xml:space="preserve">60%：配备人员的数量、专业满足合同及招标文件的要求，基本能够及时到位，且人员稳定数量占比在70%-85%之间（不包含85%）； </w:t>
            </w:r>
          </w:p>
          <w:p>
            <w:pPr>
              <w:keepNext w:val="0"/>
              <w:keepLines w:val="0"/>
              <w:widowControl/>
              <w:suppressLineNumbers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 xml:space="preserve">30%：配备人员的数量、专业基本满足合同或招标文件的要求，但个别人员不能及时到位，或人员稳定数量占比在50%-70%之间（不包含70%）； </w:t>
            </w:r>
          </w:p>
          <w:p>
            <w:pPr>
              <w:keepNext w:val="0"/>
              <w:keepLines w:val="0"/>
              <w:widowControl/>
              <w:suppressLineNumbers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0%：配备人员的数量、专业不满足合同及招标文件的要求，或大多数人员不能及时到位，或人员稳定数量占比低于50%。</w:t>
            </w:r>
          </w:p>
        </w:tc>
        <w:tc>
          <w:tcPr>
            <w:tcW w:w="710" w:type="dxa"/>
            <w:tcBorders>
              <w:top w:val="nil"/>
              <w:left w:val="nil"/>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r>
      <w:tr>
        <w:tblPrEx>
          <w:tblCellMar>
            <w:top w:w="0" w:type="dxa"/>
            <w:left w:w="108" w:type="dxa"/>
            <w:bottom w:w="0" w:type="dxa"/>
            <w:right w:w="108" w:type="dxa"/>
          </w:tblCellMar>
        </w:tblPrEx>
        <w:trPr>
          <w:trHeight w:val="1815"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w:t>
            </w:r>
          </w:p>
        </w:tc>
        <w:tc>
          <w:tcPr>
            <w:tcW w:w="1246" w:type="dxa"/>
            <w:tcBorders>
              <w:top w:val="nil"/>
              <w:left w:val="nil"/>
              <w:bottom w:val="single" w:color="auto" w:sz="4" w:space="0"/>
              <w:right w:val="single" w:color="auto" w:sz="4" w:space="0"/>
            </w:tcBorders>
            <w:vAlign w:val="center"/>
          </w:tcPr>
          <w:p>
            <w:pPr>
              <w:widowControl/>
              <w:adjustRightInd w:val="0"/>
              <w:snapToGrid w:val="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项目负责人要求</w:t>
            </w:r>
          </w:p>
        </w:tc>
        <w:tc>
          <w:tcPr>
            <w:tcW w:w="531" w:type="dxa"/>
            <w:tcBorders>
              <w:top w:val="nil"/>
              <w:left w:val="nil"/>
              <w:bottom w:val="single" w:color="auto" w:sz="4" w:space="0"/>
              <w:right w:val="single" w:color="auto" w:sz="4" w:space="0"/>
            </w:tcBorders>
            <w:vAlign w:val="center"/>
          </w:tcPr>
          <w:p>
            <w:pPr>
              <w:widowControl/>
              <w:adjustRightInd w:val="0"/>
              <w:snapToGrid w:val="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10</w:t>
            </w:r>
          </w:p>
        </w:tc>
        <w:tc>
          <w:tcPr>
            <w:tcW w:w="5756" w:type="dxa"/>
            <w:tcBorders>
              <w:top w:val="nil"/>
              <w:left w:val="nil"/>
              <w:bottom w:val="single" w:color="auto" w:sz="4" w:space="0"/>
              <w:right w:val="single" w:color="auto" w:sz="4" w:space="0"/>
            </w:tcBorders>
          </w:tcPr>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100%：专业水平、组织协调及沟通表达能力优秀，责任心及服务意识强，能够及时发现并高效处理各类问题，与甲方、使用单位及业务主管部门等相关单位沟通顺畅；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80%：专业水平、组织协调及沟通表达能力良好，责任心及服务意识较强，能够及时发现并妥善处理各类问题，与甲方、使用单位及业务主管部门等相关单位沟通良好；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60%：专业水平、组织协调及沟通表达能力一般，责任心及服务意识一般，基本能够发现并妥善处理各类问题，基本能够与甲方、使用单位及业务主管部门等相关单位沟通；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30%：专业水平、组织协调及沟通表达能力不足，或责任心及服务意识不足，或基本能够发现问题但不能及时妥善处理，或与甲方、使用单位及业务主管部门等相关单位沟通不顺畅； </w:t>
            </w:r>
          </w:p>
          <w:p>
            <w:pPr>
              <w:keepNext w:val="0"/>
              <w:keepLines w:val="0"/>
              <w:widowControl/>
              <w:suppressLineNumbers w:val="0"/>
              <w:jc w:val="left"/>
              <w:rPr>
                <w:rFonts w:hint="eastAsia" w:asciiTheme="minorEastAsia" w:hAnsiTheme="minorEastAsia" w:eastAsiaTheme="minorEastAsia" w:cstheme="minorEastAsia"/>
                <w:color w:val="auto"/>
                <w:sz w:val="21"/>
                <w:szCs w:val="21"/>
                <w:highlight w:val="none"/>
              </w:rPr>
            </w:pPr>
            <w:r>
              <w:rPr>
                <w:rFonts w:hint="eastAsia" w:ascii="宋体" w:hAnsi="宋体" w:eastAsia="宋体" w:cs="宋体"/>
                <w:color w:val="auto"/>
                <w:kern w:val="0"/>
                <w:sz w:val="21"/>
                <w:szCs w:val="21"/>
                <w:highlight w:val="none"/>
                <w:lang w:val="en-US" w:eastAsia="zh-CN" w:bidi="ar"/>
              </w:rPr>
              <w:t>0%：专业水平、组织协调及沟通表达能力差，或责任心及服务意识严重欠缺，或不能发现问题，或拒绝与甲方、使用单位及业务主管部门等相关单位进行沟通。</w:t>
            </w:r>
          </w:p>
        </w:tc>
        <w:tc>
          <w:tcPr>
            <w:tcW w:w="710" w:type="dxa"/>
            <w:tcBorders>
              <w:top w:val="nil"/>
              <w:left w:val="nil"/>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r>
      <w:tr>
        <w:tblPrEx>
          <w:tblCellMar>
            <w:top w:w="0" w:type="dxa"/>
            <w:left w:w="108" w:type="dxa"/>
            <w:bottom w:w="0" w:type="dxa"/>
            <w:right w:w="108" w:type="dxa"/>
          </w:tblCellMar>
        </w:tblPrEx>
        <w:trPr>
          <w:trHeight w:val="360"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r>
              <w:rPr>
                <w:rFonts w:hint="eastAsia" w:ascii="宋体" w:hAnsi="宋体" w:cs="宋体"/>
                <w:b/>
                <w:bCs/>
                <w:color w:val="auto"/>
                <w:kern w:val="0"/>
                <w:szCs w:val="21"/>
                <w:highlight w:val="none"/>
              </w:rPr>
              <w:t>二</w:t>
            </w:r>
          </w:p>
        </w:tc>
        <w:tc>
          <w:tcPr>
            <w:tcW w:w="1246" w:type="dxa"/>
            <w:tcBorders>
              <w:top w:val="nil"/>
              <w:left w:val="nil"/>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r>
              <w:rPr>
                <w:rFonts w:hint="eastAsia" w:ascii="宋体" w:hAnsi="宋体" w:cs="宋体"/>
                <w:b/>
                <w:bCs/>
                <w:color w:val="auto"/>
                <w:kern w:val="0"/>
                <w:szCs w:val="21"/>
                <w:highlight w:val="none"/>
              </w:rPr>
              <w:t>履约质量</w:t>
            </w:r>
          </w:p>
        </w:tc>
        <w:tc>
          <w:tcPr>
            <w:tcW w:w="531" w:type="dxa"/>
            <w:tcBorders>
              <w:top w:val="nil"/>
              <w:left w:val="nil"/>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r>
              <w:rPr>
                <w:rFonts w:hint="eastAsia" w:ascii="宋体" w:hAnsi="宋体" w:cs="宋体"/>
                <w:b/>
                <w:bCs/>
                <w:color w:val="auto"/>
                <w:kern w:val="0"/>
                <w:szCs w:val="21"/>
                <w:highlight w:val="none"/>
                <w:lang w:val="en-US" w:eastAsia="zh-CN"/>
              </w:rPr>
              <w:t>5</w:t>
            </w:r>
            <w:r>
              <w:rPr>
                <w:rFonts w:ascii="宋体" w:hAnsi="宋体" w:cs="宋体"/>
                <w:b/>
                <w:bCs/>
                <w:color w:val="auto"/>
                <w:kern w:val="0"/>
                <w:szCs w:val="21"/>
                <w:highlight w:val="none"/>
              </w:rPr>
              <w:t>0</w:t>
            </w:r>
          </w:p>
        </w:tc>
        <w:tc>
          <w:tcPr>
            <w:tcW w:w="6466" w:type="dxa"/>
            <w:gridSpan w:val="2"/>
            <w:tcBorders>
              <w:top w:val="nil"/>
              <w:left w:val="nil"/>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p>
        </w:tc>
      </w:tr>
      <w:tr>
        <w:tblPrEx>
          <w:tblCellMar>
            <w:top w:w="0" w:type="dxa"/>
            <w:left w:w="108" w:type="dxa"/>
            <w:bottom w:w="0" w:type="dxa"/>
            <w:right w:w="108" w:type="dxa"/>
          </w:tblCellMar>
        </w:tblPrEx>
        <w:trPr>
          <w:trHeight w:val="2991"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hint="eastAsia" w:ascii="宋体" w:eastAsia="宋体" w:cs="宋体"/>
                <w:color w:val="auto"/>
                <w:kern w:val="0"/>
                <w:szCs w:val="21"/>
                <w:highlight w:val="none"/>
                <w:lang w:val="en-US" w:eastAsia="zh-CN"/>
              </w:rPr>
            </w:pPr>
            <w:r>
              <w:rPr>
                <w:rFonts w:hint="eastAsia" w:ascii="宋体" w:cs="宋体"/>
                <w:color w:val="auto"/>
                <w:kern w:val="0"/>
                <w:szCs w:val="21"/>
                <w:highlight w:val="none"/>
                <w:lang w:val="en-US" w:eastAsia="zh-CN"/>
              </w:rPr>
              <w:t>3</w:t>
            </w:r>
          </w:p>
        </w:tc>
        <w:tc>
          <w:tcPr>
            <w:tcW w:w="1246" w:type="dxa"/>
            <w:tcBorders>
              <w:top w:val="nil"/>
              <w:left w:val="nil"/>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r>
              <w:rPr>
                <w:rFonts w:hint="eastAsia" w:ascii="宋体" w:hAnsi="宋体" w:cs="宋体"/>
                <w:color w:val="auto"/>
                <w:kern w:val="0"/>
                <w:szCs w:val="21"/>
                <w:highlight w:val="none"/>
              </w:rPr>
              <w:t>监测</w:t>
            </w:r>
            <w:r>
              <w:rPr>
                <w:rFonts w:hint="eastAsia" w:ascii="宋体" w:hAnsi="宋体" w:cs="宋体"/>
                <w:color w:val="auto"/>
                <w:kern w:val="0"/>
                <w:szCs w:val="21"/>
                <w:highlight w:val="none"/>
                <w:lang w:val="en-US" w:eastAsia="zh-CN"/>
              </w:rPr>
              <w:t>方案</w:t>
            </w:r>
            <w:r>
              <w:rPr>
                <w:rFonts w:hint="eastAsia" w:ascii="宋体" w:hAnsi="宋体" w:cs="宋体"/>
                <w:color w:val="auto"/>
                <w:kern w:val="0"/>
                <w:szCs w:val="21"/>
                <w:highlight w:val="none"/>
              </w:rPr>
              <w:t>质量</w:t>
            </w:r>
          </w:p>
        </w:tc>
        <w:tc>
          <w:tcPr>
            <w:tcW w:w="531" w:type="dxa"/>
            <w:tcBorders>
              <w:top w:val="nil"/>
              <w:left w:val="nil"/>
              <w:bottom w:val="single" w:color="auto" w:sz="4" w:space="0"/>
              <w:right w:val="single" w:color="auto" w:sz="4" w:space="0"/>
            </w:tcBorders>
            <w:vAlign w:val="center"/>
          </w:tcPr>
          <w:p>
            <w:pPr>
              <w:widowControl/>
              <w:adjustRightInd w:val="0"/>
              <w:snapToGrid w:val="0"/>
              <w:rPr>
                <w:rFonts w:hint="default" w:ascii="宋体" w:eastAsia="宋体" w:cs="宋体"/>
                <w:color w:val="auto"/>
                <w:kern w:val="0"/>
                <w:szCs w:val="21"/>
                <w:highlight w:val="none"/>
                <w:lang w:val="en-US" w:eastAsia="zh-CN"/>
              </w:rPr>
            </w:pPr>
            <w:r>
              <w:rPr>
                <w:rFonts w:hint="eastAsia" w:ascii="宋体" w:cs="宋体"/>
                <w:color w:val="auto"/>
                <w:kern w:val="0"/>
                <w:szCs w:val="21"/>
                <w:highlight w:val="none"/>
                <w:lang w:val="en-US" w:eastAsia="zh-CN"/>
              </w:rPr>
              <w:t>10</w:t>
            </w:r>
          </w:p>
        </w:tc>
        <w:tc>
          <w:tcPr>
            <w:tcW w:w="5756" w:type="dxa"/>
            <w:tcBorders>
              <w:top w:val="nil"/>
              <w:left w:val="nil"/>
              <w:bottom w:val="single" w:color="auto" w:sz="4" w:space="0"/>
              <w:right w:val="single" w:color="auto" w:sz="4" w:space="0"/>
            </w:tcBorders>
          </w:tcPr>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100%：监测项目齐全、程序规范、测点计算准确，监测方案符合规范及合同要求且经济合理，方案提交时间快速；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80%：监测项目齐全、程序规范、测点计算较为准确，监测方案符合规范及合同要求且经济合理，方案提交时间较快；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60%：监测项目齐全、程序规范、测点计算基本准确，监测方案基本符合规范要求且经济合理，基本按要求提交方案；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30%：监测项目有缺失，或程序不规范，或测点计算不准确，或监测方案不符合规范要求或经济不合理，或方案提交滞后； </w:t>
            </w:r>
          </w:p>
          <w:p>
            <w:pPr>
              <w:keepNext w:val="0"/>
              <w:keepLines w:val="0"/>
              <w:widowControl/>
              <w:suppressLineNumbers w:val="0"/>
              <w:jc w:val="left"/>
              <w:rPr>
                <w:rFonts w:ascii="宋体" w:hAnsi="宋体" w:eastAsia="宋体"/>
                <w:color w:val="auto"/>
                <w:sz w:val="21"/>
                <w:szCs w:val="21"/>
                <w:highlight w:val="none"/>
              </w:rPr>
            </w:pPr>
            <w:r>
              <w:rPr>
                <w:rFonts w:hint="eastAsia" w:ascii="宋体" w:hAnsi="宋体" w:eastAsia="宋体" w:cs="宋体"/>
                <w:color w:val="auto"/>
                <w:kern w:val="0"/>
                <w:sz w:val="21"/>
                <w:szCs w:val="21"/>
                <w:highlight w:val="none"/>
                <w:lang w:val="en-US" w:eastAsia="zh-CN" w:bidi="ar"/>
              </w:rPr>
              <w:t>0%：未按要求制定监测方案。</w:t>
            </w:r>
          </w:p>
        </w:tc>
        <w:tc>
          <w:tcPr>
            <w:tcW w:w="710" w:type="dxa"/>
            <w:tcBorders>
              <w:top w:val="nil"/>
              <w:left w:val="nil"/>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r>
      <w:tr>
        <w:trPr>
          <w:trHeight w:val="3726"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hint="default" w:ascii="宋体" w:cs="宋体"/>
                <w:color w:val="auto"/>
                <w:kern w:val="0"/>
                <w:szCs w:val="21"/>
                <w:highlight w:val="none"/>
                <w:lang w:val="en-US" w:eastAsia="zh-CN"/>
              </w:rPr>
            </w:pPr>
            <w:r>
              <w:rPr>
                <w:rFonts w:hint="eastAsia" w:ascii="宋体" w:cs="宋体"/>
                <w:color w:val="auto"/>
                <w:kern w:val="0"/>
                <w:szCs w:val="21"/>
                <w:highlight w:val="none"/>
                <w:lang w:val="en-US" w:eastAsia="zh-CN"/>
              </w:rPr>
              <w:t>4</w:t>
            </w:r>
          </w:p>
        </w:tc>
        <w:tc>
          <w:tcPr>
            <w:tcW w:w="1246" w:type="dxa"/>
            <w:tcBorders>
              <w:top w:val="nil"/>
              <w:left w:val="nil"/>
              <w:bottom w:val="single" w:color="auto" w:sz="4" w:space="0"/>
              <w:right w:val="single" w:color="auto" w:sz="4" w:space="0"/>
            </w:tcBorders>
            <w:vAlign w:val="center"/>
          </w:tcPr>
          <w:p>
            <w:pPr>
              <w:widowControl/>
              <w:adjustRightInd w:val="0"/>
              <w:snapToGrid w:val="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工作过程质量</w:t>
            </w:r>
          </w:p>
        </w:tc>
        <w:tc>
          <w:tcPr>
            <w:tcW w:w="531" w:type="dxa"/>
            <w:tcBorders>
              <w:top w:val="nil"/>
              <w:left w:val="nil"/>
              <w:bottom w:val="single" w:color="auto" w:sz="4" w:space="0"/>
              <w:right w:val="single" w:color="auto" w:sz="4" w:space="0"/>
            </w:tcBorders>
            <w:vAlign w:val="center"/>
          </w:tcPr>
          <w:p>
            <w:pPr>
              <w:widowControl/>
              <w:adjustRightInd w:val="0"/>
              <w:snapToGrid w:val="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25</w:t>
            </w:r>
          </w:p>
        </w:tc>
        <w:tc>
          <w:tcPr>
            <w:tcW w:w="5756" w:type="dxa"/>
            <w:tcBorders>
              <w:top w:val="nil"/>
              <w:left w:val="nil"/>
              <w:bottom w:val="single" w:color="auto" w:sz="4" w:space="0"/>
              <w:right w:val="single" w:color="auto" w:sz="4" w:space="0"/>
            </w:tcBorders>
          </w:tcPr>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100%：严格按照国家相关法律法规、规范标准、技术导则开展工作，服务工作全面；阶段性工作结果都能第一时间反馈，并结合实际情况提出合理、可实施建议，过程中主动指导、配合现场施工；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80%：严格按照国家相关法律法规、规范标准、技术导则开展工作，服务工作较好，阶段性工作成果能尽快反馈；指导、配合现场施工；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60%：按照国家相关法律法规、规范标准、技术导则开展工作，服务工作合格，阶段性工作成果有反馈；基本配合现场施工；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30%：经督促整改后基本满足国家相关法律法规、规范标准、技术导则等要求，服务工作较差，或阶段性工作成果反馈不及时； </w:t>
            </w:r>
          </w:p>
          <w:p>
            <w:pPr>
              <w:keepNext w:val="0"/>
              <w:keepLines w:val="0"/>
              <w:widowControl/>
              <w:suppressLineNumbers w:val="0"/>
              <w:jc w:val="left"/>
              <w:rPr>
                <w:rFonts w:hint="eastAsia" w:ascii="宋体" w:hAnsi="宋体" w:eastAsia="宋体"/>
                <w:color w:val="auto"/>
                <w:sz w:val="21"/>
                <w:szCs w:val="21"/>
                <w:highlight w:val="none"/>
              </w:rPr>
            </w:pPr>
            <w:r>
              <w:rPr>
                <w:rFonts w:hint="eastAsia" w:ascii="宋体" w:hAnsi="宋体" w:eastAsia="宋体" w:cs="宋体"/>
                <w:color w:val="auto"/>
                <w:kern w:val="0"/>
                <w:sz w:val="21"/>
                <w:szCs w:val="21"/>
                <w:highlight w:val="none"/>
                <w:lang w:val="en-US" w:eastAsia="zh-CN" w:bidi="ar"/>
              </w:rPr>
              <w:t>0%：不按照国家相关法律法规、规范标准、技术导则开展工作，服务工作不合格，或阶段性工作成果不反馈。</w:t>
            </w:r>
          </w:p>
        </w:tc>
        <w:tc>
          <w:tcPr>
            <w:tcW w:w="710" w:type="dxa"/>
            <w:tcBorders>
              <w:top w:val="nil"/>
              <w:left w:val="nil"/>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r>
      <w:tr>
        <w:tblPrEx>
          <w:tblCellMar>
            <w:top w:w="0" w:type="dxa"/>
            <w:left w:w="108" w:type="dxa"/>
            <w:bottom w:w="0" w:type="dxa"/>
            <w:right w:w="108" w:type="dxa"/>
          </w:tblCellMar>
        </w:tblPrEx>
        <w:trPr>
          <w:trHeight w:val="595"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hint="default" w:ascii="宋体" w:eastAsia="宋体" w:cs="宋体"/>
                <w:color w:val="auto"/>
                <w:kern w:val="0"/>
                <w:szCs w:val="21"/>
                <w:highlight w:val="none"/>
                <w:lang w:val="en-US" w:eastAsia="zh-CN"/>
              </w:rPr>
            </w:pPr>
            <w:r>
              <w:rPr>
                <w:rFonts w:hint="eastAsia" w:ascii="宋体" w:cs="宋体"/>
                <w:color w:val="auto"/>
                <w:kern w:val="0"/>
                <w:szCs w:val="21"/>
                <w:highlight w:val="none"/>
                <w:lang w:val="en-US" w:eastAsia="zh-CN"/>
              </w:rPr>
              <w:t>5</w:t>
            </w:r>
          </w:p>
        </w:tc>
        <w:tc>
          <w:tcPr>
            <w:tcW w:w="1246" w:type="dxa"/>
            <w:tcBorders>
              <w:top w:val="nil"/>
              <w:left w:val="nil"/>
              <w:bottom w:val="single" w:color="auto" w:sz="4" w:space="0"/>
              <w:right w:val="single" w:color="auto" w:sz="4" w:space="0"/>
            </w:tcBorders>
            <w:vAlign w:val="center"/>
          </w:tcPr>
          <w:p>
            <w:pPr>
              <w:widowControl/>
              <w:adjustRightInd w:val="0"/>
              <w:snapToGrid w:val="0"/>
              <w:rPr>
                <w:rFonts w:hint="eastAsia" w:ascii="宋体" w:eastAsia="宋体" w:cs="宋体"/>
                <w:color w:val="auto"/>
                <w:kern w:val="0"/>
                <w:szCs w:val="21"/>
                <w:highlight w:val="none"/>
                <w:lang w:val="en-US" w:eastAsia="zh-CN"/>
              </w:rPr>
            </w:pPr>
            <w:r>
              <w:rPr>
                <w:rFonts w:hint="eastAsia" w:ascii="宋体" w:hAnsi="宋体"/>
                <w:color w:val="auto"/>
                <w:szCs w:val="21"/>
                <w:highlight w:val="none"/>
              </w:rPr>
              <w:t>成果文件</w:t>
            </w:r>
            <w:r>
              <w:rPr>
                <w:rFonts w:hint="eastAsia" w:ascii="宋体" w:hAnsi="宋体"/>
                <w:color w:val="auto"/>
                <w:szCs w:val="21"/>
                <w:highlight w:val="none"/>
                <w:lang w:val="en-US" w:eastAsia="zh-CN"/>
              </w:rPr>
              <w:t>质量</w:t>
            </w:r>
          </w:p>
        </w:tc>
        <w:tc>
          <w:tcPr>
            <w:tcW w:w="531" w:type="dxa"/>
            <w:tcBorders>
              <w:top w:val="nil"/>
              <w:left w:val="nil"/>
              <w:bottom w:val="single" w:color="auto" w:sz="4" w:space="0"/>
              <w:right w:val="single" w:color="auto" w:sz="4" w:space="0"/>
            </w:tcBorders>
            <w:vAlign w:val="center"/>
          </w:tcPr>
          <w:p>
            <w:pPr>
              <w:widowControl/>
              <w:adjustRightInd w:val="0"/>
              <w:snapToGrid w:val="0"/>
              <w:rPr>
                <w:rFonts w:hint="default" w:ascii="宋体" w:eastAsia="宋体" w:cs="宋体"/>
                <w:color w:val="auto"/>
                <w:kern w:val="0"/>
                <w:szCs w:val="21"/>
                <w:highlight w:val="none"/>
                <w:lang w:val="en-US" w:eastAsia="zh-CN"/>
              </w:rPr>
            </w:pPr>
            <w:r>
              <w:rPr>
                <w:rFonts w:hint="eastAsia" w:ascii="宋体" w:cs="宋体"/>
                <w:color w:val="auto"/>
                <w:kern w:val="0"/>
                <w:szCs w:val="21"/>
                <w:highlight w:val="none"/>
                <w:lang w:val="en-US" w:eastAsia="zh-CN"/>
              </w:rPr>
              <w:t>15</w:t>
            </w:r>
          </w:p>
        </w:tc>
        <w:tc>
          <w:tcPr>
            <w:tcW w:w="5756" w:type="dxa"/>
            <w:tcBorders>
              <w:top w:val="nil"/>
              <w:left w:val="nil"/>
              <w:bottom w:val="single" w:color="auto" w:sz="4" w:space="0"/>
              <w:right w:val="single" w:color="auto" w:sz="4" w:space="0"/>
            </w:tcBorders>
          </w:tcPr>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100%：成果文件满足规范、招标文件及合同要求，编制文件科学、准确、完整，不存在错漏；审批审核程序正确，签署齐全，结论明确；完全满足甲方决策或项目建设需求；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80%：成果文件满足规范、招标文件及合同要求，编制文件存在个别错漏，修改次数较少；审批审核程序正确，签署齐全，结论较为明确；能够满足甲方决策或项目建设需求；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60%：成果文件满足规范、招标文件及合同要求，编制文件存在错漏，经过修改后能达到要求；审批审核程序基本正确，签署基本齐全，结论基本明确；基本能够满足甲方决策或项目建设需求；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30%：成果文件满足规范、招标文件及合同要求，但有部分缺失，需多次修改或补充方能满足要求；审批审核程序不完整，或签署不全，或结论不明确；难以满足甲方决策或项目建设需求；</w:t>
            </w:r>
          </w:p>
          <w:p>
            <w:pPr>
              <w:keepNext w:val="0"/>
              <w:keepLines w:val="0"/>
              <w:widowControl/>
              <w:suppressLineNumbers w:val="0"/>
              <w:jc w:val="left"/>
              <w:rPr>
                <w:rFonts w:ascii="宋体" w:hAnsi="宋体" w:eastAsia="宋体"/>
                <w:color w:val="auto"/>
                <w:sz w:val="21"/>
                <w:szCs w:val="21"/>
                <w:highlight w:val="none"/>
              </w:rPr>
            </w:pPr>
            <w:r>
              <w:rPr>
                <w:rFonts w:hint="eastAsia" w:ascii="宋体" w:hAnsi="宋体" w:eastAsia="宋体" w:cs="宋体"/>
                <w:color w:val="auto"/>
                <w:kern w:val="0"/>
                <w:sz w:val="21"/>
                <w:szCs w:val="21"/>
                <w:highlight w:val="none"/>
                <w:lang w:val="en-US" w:eastAsia="zh-CN" w:bidi="ar"/>
              </w:rPr>
              <w:t>0%：成果文件不满足规范、招标文件及合同要求，或未完成审批审核程序，或未签署，或没有结论；完全不满足甲方决策或项目建设需求，或对甲方决策或项目建设造成不利影响。</w:t>
            </w:r>
          </w:p>
        </w:tc>
        <w:tc>
          <w:tcPr>
            <w:tcW w:w="710" w:type="dxa"/>
            <w:tcBorders>
              <w:top w:val="nil"/>
              <w:left w:val="nil"/>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r>
      <w:tr>
        <w:tblPrEx>
          <w:tblCellMar>
            <w:top w:w="0" w:type="dxa"/>
            <w:left w:w="108" w:type="dxa"/>
            <w:bottom w:w="0" w:type="dxa"/>
            <w:right w:w="108" w:type="dxa"/>
          </w:tblCellMar>
        </w:tblPrEx>
        <w:trPr>
          <w:trHeight w:val="360"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r>
              <w:rPr>
                <w:rFonts w:hint="eastAsia" w:ascii="宋体" w:hAnsi="宋体" w:cs="宋体"/>
                <w:b/>
                <w:bCs/>
                <w:color w:val="auto"/>
                <w:kern w:val="0"/>
                <w:szCs w:val="21"/>
                <w:highlight w:val="none"/>
              </w:rPr>
              <w:t>三</w:t>
            </w:r>
          </w:p>
        </w:tc>
        <w:tc>
          <w:tcPr>
            <w:tcW w:w="1246" w:type="dxa"/>
            <w:tcBorders>
              <w:top w:val="nil"/>
              <w:left w:val="nil"/>
              <w:bottom w:val="single" w:color="auto" w:sz="4" w:space="0"/>
              <w:right w:val="single" w:color="auto" w:sz="4" w:space="0"/>
            </w:tcBorders>
            <w:vAlign w:val="center"/>
          </w:tcPr>
          <w:p>
            <w:pPr>
              <w:widowControl/>
              <w:adjustRightInd w:val="0"/>
              <w:snapToGrid w:val="0"/>
              <w:rPr>
                <w:rFonts w:hint="eastAsia" w:ascii="宋体" w:eastAsia="宋体" w:cs="宋体"/>
                <w:b/>
                <w:bCs/>
                <w:color w:val="auto"/>
                <w:kern w:val="0"/>
                <w:szCs w:val="21"/>
                <w:highlight w:val="none"/>
                <w:lang w:val="en-US" w:eastAsia="zh-CN"/>
              </w:rPr>
            </w:pPr>
            <w:r>
              <w:rPr>
                <w:rFonts w:hint="eastAsia" w:ascii="宋体" w:hAnsi="宋体" w:cs="宋体"/>
                <w:b/>
                <w:bCs/>
                <w:color w:val="auto"/>
                <w:kern w:val="0"/>
                <w:szCs w:val="21"/>
                <w:highlight w:val="none"/>
              </w:rPr>
              <w:t>履约</w:t>
            </w:r>
            <w:r>
              <w:rPr>
                <w:rFonts w:hint="eastAsia" w:ascii="宋体" w:hAnsi="宋体" w:cs="宋体"/>
                <w:b/>
                <w:bCs/>
                <w:color w:val="auto"/>
                <w:kern w:val="0"/>
                <w:szCs w:val="21"/>
                <w:highlight w:val="none"/>
                <w:lang w:val="en-US" w:eastAsia="zh-CN"/>
              </w:rPr>
              <w:t>进度</w:t>
            </w:r>
          </w:p>
        </w:tc>
        <w:tc>
          <w:tcPr>
            <w:tcW w:w="531" w:type="dxa"/>
            <w:tcBorders>
              <w:top w:val="nil"/>
              <w:left w:val="nil"/>
              <w:bottom w:val="single" w:color="auto" w:sz="4" w:space="0"/>
              <w:right w:val="single" w:color="auto" w:sz="4" w:space="0"/>
            </w:tcBorders>
            <w:vAlign w:val="center"/>
          </w:tcPr>
          <w:p>
            <w:pPr>
              <w:widowControl/>
              <w:adjustRightInd w:val="0"/>
              <w:snapToGrid w:val="0"/>
              <w:rPr>
                <w:rFonts w:hint="eastAsia" w:ascii="宋体" w:eastAsia="宋体" w:cs="宋体"/>
                <w:b/>
                <w:bCs/>
                <w:color w:val="auto"/>
                <w:kern w:val="0"/>
                <w:szCs w:val="21"/>
                <w:highlight w:val="none"/>
                <w:lang w:val="en-US" w:eastAsia="zh-CN"/>
              </w:rPr>
            </w:pPr>
            <w:r>
              <w:rPr>
                <w:rFonts w:ascii="宋体" w:hAnsi="宋体" w:cs="宋体"/>
                <w:b/>
                <w:bCs/>
                <w:color w:val="auto"/>
                <w:kern w:val="0"/>
                <w:szCs w:val="21"/>
                <w:highlight w:val="none"/>
              </w:rPr>
              <w:t>1</w:t>
            </w:r>
            <w:r>
              <w:rPr>
                <w:rFonts w:hint="eastAsia" w:ascii="宋体" w:hAnsi="宋体" w:cs="宋体"/>
                <w:b/>
                <w:bCs/>
                <w:color w:val="auto"/>
                <w:kern w:val="0"/>
                <w:szCs w:val="21"/>
                <w:highlight w:val="none"/>
                <w:lang w:val="en-US" w:eastAsia="zh-CN"/>
              </w:rPr>
              <w:t>5</w:t>
            </w:r>
          </w:p>
        </w:tc>
        <w:tc>
          <w:tcPr>
            <w:tcW w:w="6466" w:type="dxa"/>
            <w:gridSpan w:val="2"/>
            <w:tcBorders>
              <w:top w:val="nil"/>
              <w:left w:val="nil"/>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p>
        </w:tc>
      </w:tr>
      <w:tr>
        <w:tblPrEx>
          <w:tblCellMar>
            <w:top w:w="0" w:type="dxa"/>
            <w:left w:w="108" w:type="dxa"/>
            <w:bottom w:w="0" w:type="dxa"/>
            <w:right w:w="108" w:type="dxa"/>
          </w:tblCellMar>
        </w:tblPrEx>
        <w:trPr>
          <w:trHeight w:val="1044"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hint="eastAsia" w:ascii="宋体" w:eastAsia="宋体" w:cs="宋体"/>
                <w:color w:val="auto"/>
                <w:kern w:val="0"/>
                <w:szCs w:val="21"/>
                <w:highlight w:val="none"/>
                <w:lang w:val="en-US" w:eastAsia="zh-CN"/>
              </w:rPr>
            </w:pPr>
            <w:r>
              <w:rPr>
                <w:rFonts w:hint="eastAsia" w:ascii="宋体" w:cs="宋体"/>
                <w:color w:val="auto"/>
                <w:kern w:val="0"/>
                <w:szCs w:val="21"/>
                <w:highlight w:val="none"/>
                <w:lang w:val="en-US" w:eastAsia="zh-CN"/>
              </w:rPr>
              <w:t>6</w:t>
            </w:r>
          </w:p>
        </w:tc>
        <w:tc>
          <w:tcPr>
            <w:tcW w:w="1246" w:type="dxa"/>
            <w:tcBorders>
              <w:top w:val="nil"/>
              <w:left w:val="nil"/>
              <w:bottom w:val="single" w:color="auto" w:sz="4" w:space="0"/>
              <w:right w:val="single" w:color="auto" w:sz="4" w:space="0"/>
            </w:tcBorders>
            <w:vAlign w:val="center"/>
          </w:tcPr>
          <w:p>
            <w:pPr>
              <w:widowControl/>
              <w:adjustRightInd w:val="0"/>
              <w:snapToGrid w:val="0"/>
              <w:rPr>
                <w:rFonts w:hint="default" w:ascii="宋体" w:eastAsia="宋体" w:cs="宋体"/>
                <w:color w:val="auto"/>
                <w:kern w:val="0"/>
                <w:szCs w:val="21"/>
                <w:highlight w:val="none"/>
                <w:lang w:val="en-US" w:eastAsia="zh-CN"/>
              </w:rPr>
            </w:pPr>
            <w:r>
              <w:rPr>
                <w:rFonts w:hint="eastAsia" w:ascii="宋体" w:cs="宋体"/>
                <w:color w:val="auto"/>
                <w:kern w:val="0"/>
                <w:szCs w:val="21"/>
                <w:highlight w:val="none"/>
                <w:lang w:val="en-US" w:eastAsia="zh-CN"/>
              </w:rPr>
              <w:t>工作时效性</w:t>
            </w:r>
          </w:p>
        </w:tc>
        <w:tc>
          <w:tcPr>
            <w:tcW w:w="531" w:type="dxa"/>
            <w:vMerge w:val="restart"/>
            <w:tcBorders>
              <w:top w:val="nil"/>
              <w:left w:val="nil"/>
              <w:right w:val="single" w:color="auto" w:sz="4" w:space="0"/>
            </w:tcBorders>
            <w:vAlign w:val="center"/>
          </w:tcPr>
          <w:p>
            <w:pPr>
              <w:widowControl/>
              <w:adjustRightInd w:val="0"/>
              <w:snapToGrid w:val="0"/>
              <w:rPr>
                <w:rFonts w:hint="eastAsia" w:ascii="宋体" w:eastAsia="宋体" w:cs="宋体"/>
                <w:color w:val="auto"/>
                <w:kern w:val="0"/>
                <w:szCs w:val="21"/>
                <w:highlight w:val="none"/>
                <w:lang w:val="en-US" w:eastAsia="zh-CN"/>
              </w:rPr>
            </w:pPr>
            <w:r>
              <w:rPr>
                <w:rFonts w:ascii="宋体" w:hAnsi="宋体" w:cs="宋体"/>
                <w:color w:val="auto"/>
                <w:kern w:val="0"/>
                <w:szCs w:val="21"/>
                <w:highlight w:val="none"/>
              </w:rPr>
              <w:t>1</w:t>
            </w:r>
            <w:r>
              <w:rPr>
                <w:rFonts w:hint="eastAsia" w:ascii="宋体" w:hAnsi="宋体" w:cs="宋体"/>
                <w:color w:val="auto"/>
                <w:kern w:val="0"/>
                <w:szCs w:val="21"/>
                <w:highlight w:val="none"/>
                <w:lang w:val="en-US" w:eastAsia="zh-CN"/>
              </w:rPr>
              <w:t>5</w:t>
            </w:r>
          </w:p>
        </w:tc>
        <w:tc>
          <w:tcPr>
            <w:tcW w:w="5756" w:type="dxa"/>
            <w:tcBorders>
              <w:top w:val="nil"/>
              <w:left w:val="nil"/>
              <w:bottom w:val="single" w:color="auto" w:sz="4" w:space="0"/>
              <w:right w:val="single" w:color="auto" w:sz="4" w:space="0"/>
            </w:tcBorders>
            <w:vAlign w:val="center"/>
          </w:tcPr>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100%：能够及时地按照合同要求完成各阶段的工作，能够提前提供符合工作质量要求的成果文件或咨询服务；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80%：能够比较及时地按照合同要求完成各阶段的工作，能够按时提供符合工作质量要求的成果文件或咨询服务；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60%：能够基本及时地按照合同要求完成各阶段的工作，基本能按时提供符合工作质量要求的成果文件或咨询服务；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30%：不能及时按照合同要求完成各阶段的工作，或不能够按时提供符合工作质量要求的成果文件或咨询服务，或虽按时提交但不符合工作质量要求； </w:t>
            </w:r>
          </w:p>
          <w:p>
            <w:pPr>
              <w:keepNext w:val="0"/>
              <w:keepLines w:val="0"/>
              <w:widowControl/>
              <w:suppressLineNumbers w:val="0"/>
              <w:jc w:val="left"/>
              <w:rPr>
                <w:rFonts w:ascii="宋体" w:cs="宋体"/>
                <w:color w:val="auto"/>
                <w:kern w:val="0"/>
                <w:szCs w:val="21"/>
                <w:highlight w:val="none"/>
              </w:rPr>
            </w:pPr>
            <w:r>
              <w:rPr>
                <w:rFonts w:hint="eastAsia" w:ascii="宋体" w:hAnsi="宋体" w:eastAsia="宋体" w:cs="宋体"/>
                <w:color w:val="auto"/>
                <w:kern w:val="0"/>
                <w:sz w:val="21"/>
                <w:szCs w:val="21"/>
                <w:highlight w:val="none"/>
                <w:lang w:val="en-US" w:eastAsia="zh-CN" w:bidi="ar"/>
              </w:rPr>
              <w:t>0%：不按照合同要求完成各阶段的工作，或不提供成果文件或咨询服务，或经多次督促后仍未整改。</w:t>
            </w:r>
          </w:p>
        </w:tc>
        <w:tc>
          <w:tcPr>
            <w:tcW w:w="710" w:type="dxa"/>
            <w:tcBorders>
              <w:top w:val="nil"/>
              <w:left w:val="nil"/>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r>
      <w:tr>
        <w:trPr>
          <w:trHeight w:val="1044"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w:t>
            </w:r>
          </w:p>
        </w:tc>
        <w:tc>
          <w:tcPr>
            <w:tcW w:w="1246" w:type="dxa"/>
            <w:tcBorders>
              <w:top w:val="nil"/>
              <w:left w:val="nil"/>
              <w:bottom w:val="single" w:color="auto" w:sz="4" w:space="0"/>
              <w:right w:val="single" w:color="auto" w:sz="4" w:space="0"/>
            </w:tcBorders>
            <w:vAlign w:val="center"/>
          </w:tcPr>
          <w:p>
            <w:pPr>
              <w:widowControl/>
              <w:adjustRightInd w:val="0"/>
              <w:snapToGrid w:val="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结算办理</w:t>
            </w:r>
          </w:p>
        </w:tc>
        <w:tc>
          <w:tcPr>
            <w:tcW w:w="531" w:type="dxa"/>
            <w:vMerge w:val="continue"/>
            <w:tcBorders>
              <w:left w:val="nil"/>
              <w:bottom w:val="single" w:color="auto" w:sz="4" w:space="0"/>
              <w:right w:val="single" w:color="auto" w:sz="4" w:space="0"/>
            </w:tcBorders>
            <w:vAlign w:val="center"/>
          </w:tcPr>
          <w:p>
            <w:pPr>
              <w:widowControl/>
              <w:adjustRightInd w:val="0"/>
              <w:snapToGrid w:val="0"/>
              <w:rPr>
                <w:rFonts w:ascii="宋体" w:hAnsi="宋体" w:cs="宋体"/>
                <w:color w:val="auto"/>
                <w:kern w:val="0"/>
                <w:szCs w:val="21"/>
                <w:highlight w:val="none"/>
              </w:rPr>
            </w:pPr>
          </w:p>
        </w:tc>
        <w:tc>
          <w:tcPr>
            <w:tcW w:w="5756" w:type="dxa"/>
            <w:tcBorders>
              <w:top w:val="nil"/>
              <w:left w:val="nil"/>
              <w:bottom w:val="single" w:color="auto" w:sz="4" w:space="0"/>
              <w:right w:val="single" w:color="auto" w:sz="4" w:space="0"/>
            </w:tcBorders>
            <w:vAlign w:val="center"/>
          </w:tcPr>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100%：在合同约定时限内提交合格的结算报告；结算资料完整有效；结算准确无误，不存在弄虚作假、高估冒算情况；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80%：在合同约定时限内提交结算报告，有少量错漏问题经审查后补正，较好地配合审核及评审工作；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60%：在合同约定时限内提交结算报告，有少量错漏问题经审查后补正，基本配合审核及评审工作；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30%：在合同约定时限内提交结算报告，有较多错漏问题经审查后补正，配合审核及评审工作不符合要求； </w:t>
            </w:r>
          </w:p>
          <w:p>
            <w:pPr>
              <w:keepNext w:val="0"/>
              <w:keepLines w:val="0"/>
              <w:widowControl/>
              <w:suppressLineNumbers w:val="0"/>
              <w:jc w:val="left"/>
              <w:rPr>
                <w:rFonts w:hint="eastAsia" w:ascii="宋体" w:hAnsi="宋体"/>
                <w:color w:val="auto"/>
                <w:szCs w:val="21"/>
                <w:highlight w:val="none"/>
              </w:rPr>
            </w:pPr>
            <w:r>
              <w:rPr>
                <w:rFonts w:hint="eastAsia" w:ascii="宋体" w:hAnsi="宋体" w:eastAsia="宋体" w:cs="宋体"/>
                <w:color w:val="auto"/>
                <w:kern w:val="0"/>
                <w:sz w:val="21"/>
                <w:szCs w:val="21"/>
                <w:highlight w:val="none"/>
                <w:lang w:val="en-US" w:eastAsia="zh-CN" w:bidi="ar"/>
              </w:rPr>
              <w:t>0%：未按合同约定时限提交结算报告，或不同意审核结果且不提供结算支撑依据。</w:t>
            </w:r>
          </w:p>
        </w:tc>
        <w:tc>
          <w:tcPr>
            <w:tcW w:w="710" w:type="dxa"/>
            <w:tcBorders>
              <w:top w:val="nil"/>
              <w:left w:val="nil"/>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r>
      <w:tr>
        <w:tblPrEx>
          <w:tblCellMar>
            <w:top w:w="0" w:type="dxa"/>
            <w:left w:w="108" w:type="dxa"/>
            <w:bottom w:w="0" w:type="dxa"/>
            <w:right w:w="108" w:type="dxa"/>
          </w:tblCellMar>
        </w:tblPrEx>
        <w:trPr>
          <w:trHeight w:val="360"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r>
              <w:rPr>
                <w:rFonts w:hint="eastAsia" w:ascii="宋体" w:hAnsi="宋体" w:cs="宋体"/>
                <w:b/>
                <w:bCs/>
                <w:color w:val="auto"/>
                <w:kern w:val="0"/>
                <w:szCs w:val="21"/>
                <w:highlight w:val="none"/>
              </w:rPr>
              <w:t>四</w:t>
            </w:r>
          </w:p>
        </w:tc>
        <w:tc>
          <w:tcPr>
            <w:tcW w:w="1246" w:type="dxa"/>
            <w:tcBorders>
              <w:top w:val="nil"/>
              <w:left w:val="nil"/>
              <w:bottom w:val="single" w:color="auto" w:sz="4" w:space="0"/>
              <w:right w:val="single" w:color="auto" w:sz="4" w:space="0"/>
            </w:tcBorders>
            <w:vAlign w:val="center"/>
          </w:tcPr>
          <w:p>
            <w:pPr>
              <w:widowControl/>
              <w:adjustRightInd w:val="0"/>
              <w:snapToGrid w:val="0"/>
              <w:rPr>
                <w:rFonts w:hint="default" w:ascii="宋体" w:eastAsia="宋体" w:cs="宋体"/>
                <w:b/>
                <w:bCs/>
                <w:color w:val="auto"/>
                <w:kern w:val="0"/>
                <w:szCs w:val="21"/>
                <w:highlight w:val="none"/>
                <w:lang w:val="en-US" w:eastAsia="zh-CN"/>
              </w:rPr>
            </w:pPr>
            <w:r>
              <w:rPr>
                <w:rFonts w:hint="eastAsia" w:ascii="宋体" w:hAnsi="宋体" w:cs="宋体"/>
                <w:b/>
                <w:bCs/>
                <w:color w:val="auto"/>
                <w:kern w:val="0"/>
                <w:szCs w:val="21"/>
                <w:highlight w:val="none"/>
              </w:rPr>
              <w:t>配合</w:t>
            </w:r>
            <w:r>
              <w:rPr>
                <w:rFonts w:hint="eastAsia" w:ascii="宋体" w:hAnsi="宋体" w:cs="宋体"/>
                <w:b/>
                <w:bCs/>
                <w:color w:val="auto"/>
                <w:kern w:val="0"/>
                <w:szCs w:val="21"/>
                <w:highlight w:val="none"/>
                <w:lang w:val="en-US" w:eastAsia="zh-CN"/>
              </w:rPr>
              <w:t>与沟通</w:t>
            </w:r>
          </w:p>
        </w:tc>
        <w:tc>
          <w:tcPr>
            <w:tcW w:w="531" w:type="dxa"/>
            <w:tcBorders>
              <w:top w:val="nil"/>
              <w:left w:val="nil"/>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r>
              <w:rPr>
                <w:rFonts w:hint="eastAsia" w:ascii="宋体" w:hAnsi="宋体" w:cs="宋体"/>
                <w:b/>
                <w:bCs/>
                <w:color w:val="auto"/>
                <w:kern w:val="0"/>
                <w:szCs w:val="21"/>
                <w:highlight w:val="none"/>
                <w:lang w:val="en-US" w:eastAsia="zh-CN"/>
              </w:rPr>
              <w:t>2</w:t>
            </w:r>
            <w:r>
              <w:rPr>
                <w:rFonts w:ascii="宋体" w:hAnsi="宋体" w:cs="宋体"/>
                <w:b/>
                <w:bCs/>
                <w:color w:val="auto"/>
                <w:kern w:val="0"/>
                <w:szCs w:val="21"/>
                <w:highlight w:val="none"/>
              </w:rPr>
              <w:t>0</w:t>
            </w:r>
          </w:p>
        </w:tc>
        <w:tc>
          <w:tcPr>
            <w:tcW w:w="6466" w:type="dxa"/>
            <w:gridSpan w:val="2"/>
            <w:tcBorders>
              <w:top w:val="nil"/>
              <w:left w:val="nil"/>
              <w:bottom w:val="single" w:color="auto" w:sz="4" w:space="0"/>
              <w:right w:val="single" w:color="auto" w:sz="4" w:space="0"/>
            </w:tcBorders>
            <w:vAlign w:val="center"/>
          </w:tcPr>
          <w:p>
            <w:pPr>
              <w:widowControl/>
              <w:adjustRightInd w:val="0"/>
              <w:snapToGrid w:val="0"/>
              <w:rPr>
                <w:rFonts w:ascii="宋体" w:cs="宋体"/>
                <w:b/>
                <w:bCs/>
                <w:color w:val="auto"/>
                <w:kern w:val="0"/>
                <w:szCs w:val="21"/>
                <w:highlight w:val="none"/>
              </w:rPr>
            </w:pPr>
          </w:p>
        </w:tc>
      </w:tr>
      <w:tr>
        <w:tblPrEx>
          <w:tblCellMar>
            <w:top w:w="0" w:type="dxa"/>
            <w:left w:w="108" w:type="dxa"/>
            <w:bottom w:w="0" w:type="dxa"/>
            <w:right w:w="108" w:type="dxa"/>
          </w:tblCellMar>
        </w:tblPrEx>
        <w:trPr>
          <w:trHeight w:val="3261" w:hRule="atLeast"/>
        </w:trPr>
        <w:tc>
          <w:tcPr>
            <w:tcW w:w="455" w:type="dxa"/>
            <w:tcBorders>
              <w:top w:val="nil"/>
              <w:left w:val="single" w:color="auto" w:sz="8" w:space="0"/>
              <w:bottom w:val="single" w:color="auto" w:sz="4" w:space="0"/>
              <w:right w:val="single" w:color="auto" w:sz="4" w:space="0"/>
            </w:tcBorders>
            <w:vAlign w:val="center"/>
          </w:tcPr>
          <w:p>
            <w:pPr>
              <w:widowControl/>
              <w:adjustRightInd w:val="0"/>
              <w:snapToGrid w:val="0"/>
              <w:rPr>
                <w:rFonts w:hint="eastAsia" w:ascii="宋体" w:eastAsia="宋体" w:cs="宋体"/>
                <w:color w:val="auto"/>
                <w:kern w:val="0"/>
                <w:szCs w:val="21"/>
                <w:highlight w:val="none"/>
                <w:lang w:val="en-US" w:eastAsia="zh-CN"/>
              </w:rPr>
            </w:pPr>
            <w:r>
              <w:rPr>
                <w:rFonts w:hint="eastAsia" w:ascii="宋体" w:cs="宋体"/>
                <w:color w:val="auto"/>
                <w:kern w:val="0"/>
                <w:szCs w:val="21"/>
                <w:highlight w:val="none"/>
                <w:lang w:val="en-US" w:eastAsia="zh-CN"/>
              </w:rPr>
              <w:t>8</w:t>
            </w:r>
          </w:p>
        </w:tc>
        <w:tc>
          <w:tcPr>
            <w:tcW w:w="1246" w:type="dxa"/>
            <w:tcBorders>
              <w:top w:val="nil"/>
              <w:left w:val="nil"/>
              <w:bottom w:val="single" w:color="auto" w:sz="4" w:space="0"/>
              <w:right w:val="single" w:color="auto" w:sz="4" w:space="0"/>
            </w:tcBorders>
            <w:vAlign w:val="center"/>
          </w:tcPr>
          <w:p>
            <w:pPr>
              <w:widowControl/>
              <w:adjustRightInd w:val="0"/>
              <w:snapToGrid w:val="0"/>
              <w:rPr>
                <w:rFonts w:hint="default" w:ascii="宋体" w:eastAsia="宋体" w:cs="宋体"/>
                <w:color w:val="auto"/>
                <w:kern w:val="0"/>
                <w:szCs w:val="21"/>
                <w:highlight w:val="none"/>
                <w:lang w:val="en-US" w:eastAsia="zh-CN"/>
              </w:rPr>
            </w:pPr>
            <w:r>
              <w:rPr>
                <w:rFonts w:hint="eastAsia" w:ascii="宋体" w:hAnsi="宋体" w:cs="宋体"/>
                <w:color w:val="auto"/>
                <w:kern w:val="0"/>
                <w:szCs w:val="21"/>
                <w:highlight w:val="none"/>
              </w:rPr>
              <w:t>配合</w:t>
            </w:r>
            <w:r>
              <w:rPr>
                <w:rFonts w:hint="eastAsia" w:ascii="宋体" w:hAnsi="宋体" w:cs="宋体"/>
                <w:color w:val="auto"/>
                <w:kern w:val="0"/>
                <w:szCs w:val="21"/>
                <w:highlight w:val="none"/>
                <w:lang w:val="en-US" w:eastAsia="zh-CN"/>
              </w:rPr>
              <w:t>与协调</w:t>
            </w:r>
          </w:p>
        </w:tc>
        <w:tc>
          <w:tcPr>
            <w:tcW w:w="531" w:type="dxa"/>
            <w:tcBorders>
              <w:top w:val="nil"/>
              <w:left w:val="nil"/>
              <w:bottom w:val="single" w:color="auto" w:sz="4" w:space="0"/>
              <w:right w:val="single" w:color="auto" w:sz="4" w:space="0"/>
            </w:tcBorders>
            <w:vAlign w:val="center"/>
          </w:tcPr>
          <w:p>
            <w:pPr>
              <w:widowControl/>
              <w:adjustRightInd w:val="0"/>
              <w:snapToGrid w:val="0"/>
              <w:rPr>
                <w:rFonts w:hint="default" w:ascii="宋体" w:eastAsia="宋体" w:cs="宋体"/>
                <w:color w:val="auto"/>
                <w:kern w:val="0"/>
                <w:szCs w:val="21"/>
                <w:highlight w:val="none"/>
                <w:lang w:val="en-US" w:eastAsia="zh-CN"/>
              </w:rPr>
            </w:pPr>
            <w:r>
              <w:rPr>
                <w:rFonts w:hint="eastAsia" w:ascii="宋体" w:cs="宋体"/>
                <w:color w:val="auto"/>
                <w:kern w:val="0"/>
                <w:szCs w:val="21"/>
                <w:highlight w:val="none"/>
                <w:lang w:val="en-US" w:eastAsia="zh-CN"/>
              </w:rPr>
              <w:t>20</w:t>
            </w:r>
          </w:p>
        </w:tc>
        <w:tc>
          <w:tcPr>
            <w:tcW w:w="5756" w:type="dxa"/>
            <w:tcBorders>
              <w:top w:val="nil"/>
              <w:left w:val="nil"/>
              <w:bottom w:val="single" w:color="auto" w:sz="4" w:space="0"/>
              <w:right w:val="single" w:color="auto" w:sz="4" w:space="0"/>
            </w:tcBorders>
            <w:vAlign w:val="center"/>
          </w:tcPr>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100%：能够积极主动地配合各方工作，善于沟通协调，能够妥善处理各项问题，积极参加相关会议；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80%：能够配合各方工作，通过沟通与协调，能够较好地解决工作中各项问题，按要求参加相关会议；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60%：基本能够配合各方工作，基本能够解决工作中各项问题，基本按要求参加相关会议； </w:t>
            </w:r>
          </w:p>
          <w:p>
            <w:pPr>
              <w:keepNext w:val="0"/>
              <w:keepLines w:val="0"/>
              <w:widowControl/>
              <w:suppressLineNumbers w:val="0"/>
              <w:jc w:val="left"/>
              <w:rPr>
                <w:color w:val="auto"/>
                <w:sz w:val="21"/>
                <w:szCs w:val="21"/>
                <w:highlight w:val="none"/>
              </w:rPr>
            </w:pPr>
            <w:r>
              <w:rPr>
                <w:rFonts w:hint="eastAsia" w:ascii="宋体" w:hAnsi="宋体" w:eastAsia="宋体" w:cs="宋体"/>
                <w:color w:val="auto"/>
                <w:kern w:val="0"/>
                <w:sz w:val="21"/>
                <w:szCs w:val="21"/>
                <w:highlight w:val="none"/>
                <w:lang w:val="en-US" w:eastAsia="zh-CN" w:bidi="ar"/>
              </w:rPr>
              <w:t xml:space="preserve">30%：配合各方工作不到位，或未能有效解决部分问题，或不及时参加相关会议； </w:t>
            </w:r>
          </w:p>
          <w:p>
            <w:pPr>
              <w:keepNext w:val="0"/>
              <w:keepLines w:val="0"/>
              <w:widowControl/>
              <w:suppressLineNumbers w:val="0"/>
              <w:jc w:val="left"/>
              <w:rPr>
                <w:rFonts w:ascii="宋体" w:cs="宋体"/>
                <w:color w:val="auto"/>
                <w:kern w:val="0"/>
                <w:szCs w:val="21"/>
                <w:highlight w:val="none"/>
              </w:rPr>
            </w:pPr>
            <w:r>
              <w:rPr>
                <w:rFonts w:hint="eastAsia" w:ascii="宋体" w:hAnsi="宋体" w:eastAsia="宋体" w:cs="宋体"/>
                <w:color w:val="auto"/>
                <w:kern w:val="0"/>
                <w:sz w:val="21"/>
                <w:szCs w:val="21"/>
                <w:highlight w:val="none"/>
                <w:lang w:val="en-US" w:eastAsia="zh-CN" w:bidi="ar"/>
              </w:rPr>
              <w:t>0%：不配合各方工作，或难以沟通，或不能解决各项问题，或不按要求参加会议。</w:t>
            </w:r>
          </w:p>
        </w:tc>
        <w:tc>
          <w:tcPr>
            <w:tcW w:w="710" w:type="dxa"/>
            <w:tcBorders>
              <w:top w:val="nil"/>
              <w:left w:val="nil"/>
              <w:bottom w:val="single" w:color="auto" w:sz="4" w:space="0"/>
              <w:right w:val="single" w:color="auto" w:sz="4" w:space="0"/>
            </w:tcBorders>
            <w:vAlign w:val="center"/>
          </w:tcPr>
          <w:p>
            <w:pPr>
              <w:widowControl/>
              <w:adjustRightInd w:val="0"/>
              <w:snapToGrid w:val="0"/>
              <w:rPr>
                <w:rFonts w:ascii="宋体" w:cs="宋体"/>
                <w:color w:val="auto"/>
                <w:kern w:val="0"/>
                <w:szCs w:val="21"/>
                <w:highlight w:val="none"/>
              </w:rPr>
            </w:pPr>
          </w:p>
        </w:tc>
      </w:tr>
      <w:tr>
        <w:tblPrEx>
          <w:tblCellMar>
            <w:top w:w="0" w:type="dxa"/>
            <w:left w:w="108" w:type="dxa"/>
            <w:bottom w:w="0" w:type="dxa"/>
            <w:right w:w="108" w:type="dxa"/>
          </w:tblCellMar>
        </w:tblPrEx>
        <w:trPr>
          <w:trHeight w:val="435" w:hRule="atLeast"/>
        </w:trPr>
        <w:tc>
          <w:tcPr>
            <w:tcW w:w="455" w:type="dxa"/>
            <w:tcBorders>
              <w:top w:val="nil"/>
              <w:left w:val="single" w:color="auto" w:sz="8" w:space="0"/>
              <w:bottom w:val="single" w:color="auto" w:sz="8" w:space="0"/>
              <w:right w:val="single" w:color="auto" w:sz="4" w:space="0"/>
            </w:tcBorders>
            <w:vAlign w:val="center"/>
          </w:tcPr>
          <w:p>
            <w:pPr>
              <w:widowControl/>
              <w:adjustRightInd w:val="0"/>
              <w:snapToGrid w:val="0"/>
              <w:rPr>
                <w:rFonts w:ascii="宋体" w:cs="宋体"/>
                <w:color w:val="auto"/>
                <w:kern w:val="0"/>
                <w:szCs w:val="21"/>
                <w:highlight w:val="none"/>
              </w:rPr>
            </w:pPr>
          </w:p>
        </w:tc>
        <w:tc>
          <w:tcPr>
            <w:tcW w:w="1246" w:type="dxa"/>
            <w:tcBorders>
              <w:top w:val="nil"/>
              <w:left w:val="nil"/>
              <w:bottom w:val="single" w:color="auto" w:sz="8" w:space="0"/>
              <w:right w:val="single" w:color="auto" w:sz="4" w:space="0"/>
            </w:tcBorders>
            <w:vAlign w:val="center"/>
          </w:tcPr>
          <w:p>
            <w:pPr>
              <w:widowControl/>
              <w:adjustRightInd w:val="0"/>
              <w:snapToGrid w:val="0"/>
              <w:rPr>
                <w:rFonts w:ascii="宋体" w:cs="宋体"/>
                <w:color w:val="auto"/>
                <w:kern w:val="0"/>
                <w:szCs w:val="21"/>
                <w:highlight w:val="none"/>
              </w:rPr>
            </w:pPr>
            <w:r>
              <w:rPr>
                <w:rFonts w:hint="eastAsia" w:ascii="宋体" w:hAnsi="宋体" w:cs="宋体"/>
                <w:color w:val="auto"/>
                <w:kern w:val="0"/>
                <w:szCs w:val="21"/>
                <w:highlight w:val="none"/>
              </w:rPr>
              <w:t>合计</w:t>
            </w:r>
          </w:p>
        </w:tc>
        <w:tc>
          <w:tcPr>
            <w:tcW w:w="531" w:type="dxa"/>
            <w:tcBorders>
              <w:top w:val="nil"/>
              <w:left w:val="nil"/>
              <w:bottom w:val="single" w:color="auto" w:sz="8" w:space="0"/>
              <w:right w:val="single" w:color="auto" w:sz="4" w:space="0"/>
            </w:tcBorders>
            <w:vAlign w:val="center"/>
          </w:tcPr>
          <w:p>
            <w:pPr>
              <w:widowControl/>
              <w:adjustRightInd w:val="0"/>
              <w:snapToGrid w:val="0"/>
              <w:rPr>
                <w:rFonts w:ascii="宋体" w:cs="宋体"/>
                <w:color w:val="auto"/>
                <w:kern w:val="0"/>
                <w:szCs w:val="21"/>
                <w:highlight w:val="none"/>
              </w:rPr>
            </w:pPr>
            <w:r>
              <w:rPr>
                <w:rFonts w:ascii="宋体" w:hAnsi="宋体" w:cs="宋体"/>
                <w:color w:val="auto"/>
                <w:kern w:val="0"/>
                <w:szCs w:val="21"/>
                <w:highlight w:val="none"/>
              </w:rPr>
              <w:t>100</w:t>
            </w:r>
          </w:p>
        </w:tc>
        <w:tc>
          <w:tcPr>
            <w:tcW w:w="6466" w:type="dxa"/>
            <w:gridSpan w:val="2"/>
            <w:tcBorders>
              <w:top w:val="nil"/>
              <w:left w:val="nil"/>
              <w:bottom w:val="single" w:color="auto" w:sz="8" w:space="0"/>
              <w:right w:val="single" w:color="auto" w:sz="4" w:space="0"/>
            </w:tcBorders>
            <w:vAlign w:val="center"/>
          </w:tcPr>
          <w:p>
            <w:pPr>
              <w:widowControl/>
              <w:adjustRightInd w:val="0"/>
              <w:snapToGrid w:val="0"/>
              <w:rPr>
                <w:rFonts w:ascii="宋体" w:cs="宋体"/>
                <w:color w:val="auto"/>
                <w:kern w:val="0"/>
                <w:szCs w:val="21"/>
                <w:highlight w:val="none"/>
              </w:rPr>
            </w:pPr>
          </w:p>
        </w:tc>
      </w:tr>
    </w:tbl>
    <w:p>
      <w:pPr>
        <w:pStyle w:val="3"/>
        <w:spacing w:beforeAutospacing="0" w:afterAutospacing="0"/>
        <w:jc w:val="both"/>
        <w:rPr>
          <w:rFonts w:ascii="宋体" w:hAnsi="宋体" w:cs="宋体"/>
          <w:color w:val="auto"/>
          <w:sz w:val="21"/>
          <w:szCs w:val="21"/>
          <w:highlight w:val="none"/>
        </w:rPr>
      </w:pPr>
    </w:p>
    <w:p>
      <w:pPr>
        <w:keepNext w:val="0"/>
        <w:keepLines w:val="0"/>
        <w:widowControl/>
        <w:suppressLineNumbers w:val="0"/>
        <w:jc w:val="left"/>
        <w:rPr>
          <w:rFonts w:hint="eastAsia" w:ascii="宋体" w:hAnsi="宋体" w:cs="宋体"/>
          <w:color w:val="auto"/>
          <w:kern w:val="0"/>
          <w:szCs w:val="21"/>
          <w:highlight w:val="none"/>
        </w:rPr>
      </w:pPr>
      <w:r>
        <w:rPr>
          <w:rFonts w:hint="eastAsia" w:ascii="宋体" w:hAnsi="宋体" w:cs="宋体"/>
          <w:color w:val="auto"/>
          <w:szCs w:val="21"/>
          <w:highlight w:val="none"/>
        </w:rPr>
        <w:t>备注：</w:t>
      </w:r>
      <w:r>
        <w:rPr>
          <w:rFonts w:hint="eastAsia" w:ascii="宋体" w:hAnsi="宋体" w:cs="宋体"/>
          <w:color w:val="auto"/>
          <w:kern w:val="0"/>
          <w:szCs w:val="21"/>
          <w:highlight w:val="none"/>
        </w:rPr>
        <w:t>履约评价等级分为</w:t>
      </w:r>
      <w:r>
        <w:rPr>
          <w:rFonts w:hint="eastAsia" w:ascii="宋体" w:hAnsi="宋体" w:cs="宋体"/>
          <w:color w:val="auto"/>
          <w:kern w:val="0"/>
          <w:szCs w:val="21"/>
          <w:highlight w:val="none"/>
          <w:lang w:val="en-US" w:eastAsia="zh-CN"/>
        </w:rPr>
        <w:t xml:space="preserve">分为优秀、良好、中等、合格、不合格 </w:t>
      </w:r>
      <w:r>
        <w:rPr>
          <w:rFonts w:hint="default" w:ascii="宋体" w:hAnsi="宋体" w:cs="宋体"/>
          <w:color w:val="auto"/>
          <w:kern w:val="0"/>
          <w:szCs w:val="21"/>
          <w:highlight w:val="none"/>
          <w:lang w:val="en-US" w:eastAsia="zh-CN"/>
        </w:rPr>
        <w:t xml:space="preserve">5 </w:t>
      </w:r>
      <w:r>
        <w:rPr>
          <w:rFonts w:hint="eastAsia" w:ascii="宋体" w:hAnsi="宋体" w:cs="宋体"/>
          <w:color w:val="auto"/>
          <w:kern w:val="0"/>
          <w:szCs w:val="21"/>
          <w:highlight w:val="none"/>
          <w:lang w:val="en-US" w:eastAsia="zh-CN"/>
        </w:rPr>
        <w:t>个等级。当得分</w:t>
      </w:r>
      <w:r>
        <w:rPr>
          <w:rFonts w:hint="default" w:ascii="宋体" w:hAnsi="宋体" w:cs="宋体"/>
          <w:color w:val="auto"/>
          <w:kern w:val="0"/>
          <w:szCs w:val="21"/>
          <w:highlight w:val="none"/>
          <w:lang w:val="en-US" w:eastAsia="zh-CN"/>
        </w:rPr>
        <w:t xml:space="preserve">≥90 </w:t>
      </w:r>
      <w:r>
        <w:rPr>
          <w:rFonts w:hint="eastAsia" w:ascii="宋体" w:hAnsi="宋体" w:cs="宋体"/>
          <w:color w:val="auto"/>
          <w:kern w:val="0"/>
          <w:szCs w:val="21"/>
          <w:highlight w:val="none"/>
          <w:lang w:val="en-US" w:eastAsia="zh-CN"/>
        </w:rPr>
        <w:t xml:space="preserve">分时为优秀；当 </w:t>
      </w:r>
      <w:r>
        <w:rPr>
          <w:rFonts w:hint="default" w:ascii="宋体" w:hAnsi="宋体" w:cs="宋体"/>
          <w:color w:val="auto"/>
          <w:kern w:val="0"/>
          <w:szCs w:val="21"/>
          <w:highlight w:val="none"/>
          <w:lang w:val="en-US" w:eastAsia="zh-CN"/>
        </w:rPr>
        <w:t>80≤</w:t>
      </w:r>
      <w:r>
        <w:rPr>
          <w:rFonts w:hint="eastAsia" w:ascii="宋体" w:hAnsi="宋体" w:cs="宋体"/>
          <w:color w:val="auto"/>
          <w:kern w:val="0"/>
          <w:szCs w:val="21"/>
          <w:highlight w:val="none"/>
          <w:lang w:val="en-US" w:eastAsia="zh-CN"/>
        </w:rPr>
        <w:t>得分＜</w:t>
      </w:r>
      <w:r>
        <w:rPr>
          <w:rFonts w:hint="default" w:ascii="宋体" w:hAnsi="宋体" w:cs="宋体"/>
          <w:color w:val="auto"/>
          <w:kern w:val="0"/>
          <w:szCs w:val="21"/>
          <w:highlight w:val="none"/>
          <w:lang w:val="en-US" w:eastAsia="zh-CN"/>
        </w:rPr>
        <w:t xml:space="preserve">90 </w:t>
      </w:r>
      <w:r>
        <w:rPr>
          <w:rFonts w:hint="eastAsia" w:ascii="宋体" w:hAnsi="宋体" w:cs="宋体"/>
          <w:color w:val="auto"/>
          <w:kern w:val="0"/>
          <w:szCs w:val="21"/>
          <w:highlight w:val="none"/>
          <w:lang w:val="en-US" w:eastAsia="zh-CN"/>
        </w:rPr>
        <w:t xml:space="preserve">分时为良好；当 </w:t>
      </w:r>
      <w:r>
        <w:rPr>
          <w:rFonts w:hint="default" w:ascii="宋体" w:hAnsi="宋体" w:cs="宋体"/>
          <w:color w:val="auto"/>
          <w:kern w:val="0"/>
          <w:szCs w:val="21"/>
          <w:highlight w:val="none"/>
          <w:lang w:val="en-US" w:eastAsia="zh-CN"/>
        </w:rPr>
        <w:t>70≤</w:t>
      </w:r>
      <w:r>
        <w:rPr>
          <w:rFonts w:hint="eastAsia" w:ascii="宋体" w:hAnsi="宋体" w:cs="宋体"/>
          <w:color w:val="auto"/>
          <w:kern w:val="0"/>
          <w:szCs w:val="21"/>
          <w:highlight w:val="none"/>
          <w:lang w:val="en-US" w:eastAsia="zh-CN"/>
        </w:rPr>
        <w:t>得分＜</w:t>
      </w:r>
      <w:r>
        <w:rPr>
          <w:rFonts w:hint="default" w:ascii="宋体" w:hAnsi="宋体" w:cs="宋体"/>
          <w:color w:val="auto"/>
          <w:kern w:val="0"/>
          <w:szCs w:val="21"/>
          <w:highlight w:val="none"/>
          <w:lang w:val="en-US" w:eastAsia="zh-CN"/>
        </w:rPr>
        <w:t xml:space="preserve">80 </w:t>
      </w:r>
      <w:r>
        <w:rPr>
          <w:rFonts w:hint="eastAsia" w:ascii="宋体" w:hAnsi="宋体" w:cs="宋体"/>
          <w:color w:val="auto"/>
          <w:kern w:val="0"/>
          <w:szCs w:val="21"/>
          <w:highlight w:val="none"/>
          <w:lang w:val="en-US" w:eastAsia="zh-CN"/>
        </w:rPr>
        <w:t xml:space="preserve">分时为中等；当 </w:t>
      </w:r>
      <w:r>
        <w:rPr>
          <w:rFonts w:hint="default" w:ascii="宋体" w:hAnsi="宋体" w:cs="宋体"/>
          <w:color w:val="auto"/>
          <w:kern w:val="0"/>
          <w:szCs w:val="21"/>
          <w:highlight w:val="none"/>
          <w:lang w:val="en-US" w:eastAsia="zh-CN"/>
        </w:rPr>
        <w:t>60≤</w:t>
      </w:r>
      <w:r>
        <w:rPr>
          <w:rFonts w:hint="eastAsia" w:ascii="宋体" w:hAnsi="宋体" w:cs="宋体"/>
          <w:color w:val="auto"/>
          <w:kern w:val="0"/>
          <w:szCs w:val="21"/>
          <w:highlight w:val="none"/>
          <w:lang w:val="en-US" w:eastAsia="zh-CN"/>
        </w:rPr>
        <w:t>得分＜</w:t>
      </w:r>
      <w:r>
        <w:rPr>
          <w:rFonts w:hint="default" w:ascii="宋体" w:hAnsi="宋体" w:cs="宋体"/>
          <w:color w:val="auto"/>
          <w:kern w:val="0"/>
          <w:szCs w:val="21"/>
          <w:highlight w:val="none"/>
          <w:lang w:val="en-US" w:eastAsia="zh-CN"/>
        </w:rPr>
        <w:t xml:space="preserve">70 </w:t>
      </w:r>
      <w:r>
        <w:rPr>
          <w:rFonts w:hint="eastAsia" w:ascii="宋体" w:hAnsi="宋体" w:cs="宋体"/>
          <w:color w:val="auto"/>
          <w:kern w:val="0"/>
          <w:szCs w:val="21"/>
          <w:highlight w:val="none"/>
          <w:lang w:val="en-US" w:eastAsia="zh-CN"/>
        </w:rPr>
        <w:t>分时为合格；当 得分＜</w:t>
      </w:r>
      <w:r>
        <w:rPr>
          <w:rFonts w:hint="default" w:ascii="宋体" w:hAnsi="宋体" w:cs="宋体"/>
          <w:color w:val="auto"/>
          <w:kern w:val="0"/>
          <w:szCs w:val="21"/>
          <w:highlight w:val="none"/>
          <w:lang w:val="en-US" w:eastAsia="zh-CN"/>
        </w:rPr>
        <w:t xml:space="preserve">60 </w:t>
      </w:r>
      <w:r>
        <w:rPr>
          <w:rFonts w:hint="eastAsia" w:ascii="宋体" w:hAnsi="宋体" w:cs="宋体"/>
          <w:color w:val="auto"/>
          <w:kern w:val="0"/>
          <w:szCs w:val="21"/>
          <w:highlight w:val="none"/>
          <w:lang w:val="en-US" w:eastAsia="zh-CN"/>
        </w:rPr>
        <w:t>分时为不合格。</w:t>
      </w:r>
    </w:p>
    <w:p>
      <w:pPr>
        <w:tabs>
          <w:tab w:val="center" w:pos="4590"/>
        </w:tabs>
        <w:spacing w:line="480" w:lineRule="exact"/>
        <w:ind w:right="-874" w:rightChars="-416"/>
        <w:rPr>
          <w:rFonts w:ascii="宋体" w:hAnsi="宋体"/>
          <w:color w:val="auto"/>
          <w:sz w:val="28"/>
          <w:szCs w:val="28"/>
          <w:highlight w:val="none"/>
        </w:rPr>
      </w:pPr>
    </w:p>
    <w:p>
      <w:pPr>
        <w:tabs>
          <w:tab w:val="center" w:pos="4590"/>
        </w:tabs>
        <w:spacing w:line="480" w:lineRule="exact"/>
        <w:ind w:right="-874" w:rightChars="-416"/>
        <w:rPr>
          <w:rFonts w:ascii="宋体" w:hAnsi="宋体"/>
          <w:color w:val="auto"/>
          <w:sz w:val="28"/>
          <w:szCs w:val="28"/>
          <w:highlight w:val="none"/>
        </w:rPr>
      </w:pPr>
    </w:p>
    <w:p>
      <w:pPr>
        <w:tabs>
          <w:tab w:val="center" w:pos="4590"/>
        </w:tabs>
        <w:spacing w:line="480" w:lineRule="exact"/>
        <w:ind w:right="-874" w:rightChars="-416"/>
        <w:rPr>
          <w:rFonts w:ascii="宋体" w:hAnsi="宋体"/>
          <w:color w:val="auto"/>
          <w:sz w:val="28"/>
          <w:szCs w:val="28"/>
          <w:highlight w:val="none"/>
        </w:rPr>
      </w:pPr>
    </w:p>
    <w:p>
      <w:pPr>
        <w:tabs>
          <w:tab w:val="center" w:pos="4590"/>
        </w:tabs>
        <w:spacing w:line="480" w:lineRule="exact"/>
        <w:ind w:right="-874" w:rightChars="-416"/>
        <w:rPr>
          <w:rFonts w:ascii="宋体" w:hAnsi="宋体"/>
          <w:color w:val="auto"/>
          <w:sz w:val="28"/>
          <w:szCs w:val="28"/>
          <w:highlight w:val="none"/>
        </w:rPr>
      </w:pPr>
    </w:p>
    <w:p>
      <w:pPr>
        <w:tabs>
          <w:tab w:val="center" w:pos="4590"/>
        </w:tabs>
        <w:spacing w:line="480" w:lineRule="exact"/>
        <w:ind w:right="-874" w:rightChars="-416"/>
        <w:rPr>
          <w:rFonts w:ascii="宋体" w:hAnsi="宋体"/>
          <w:color w:val="auto"/>
          <w:sz w:val="28"/>
          <w:szCs w:val="28"/>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Droid Sans Fallback">
    <w:panose1 w:val="020B0502000000000001"/>
    <w:charset w:val="86"/>
    <w:family w:val="auto"/>
    <w:pitch w:val="default"/>
    <w:sig w:usb0="910002FF" w:usb1="2BDFFCFB" w:usb2="00000036" w:usb3="00000000" w:csb0="203F01FF" w:csb1="D7FF0000"/>
  </w:font>
  <w:font w:name="文鼎CS书宋二">
    <w:altName w:val="方正书宋_GBK"/>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EDAFB"/>
    <w:multiLevelType w:val="singleLevel"/>
    <w:tmpl w:val="0D4EDAFB"/>
    <w:lvl w:ilvl="0" w:tentative="0">
      <w:start w:val="5"/>
      <w:numFmt w:val="decimal"/>
      <w:suff w:val="nothing"/>
      <w:lvlText w:val="%1、"/>
      <w:lvlJc w:val="left"/>
    </w:lvl>
  </w:abstractNum>
  <w:abstractNum w:abstractNumId="1">
    <w:nsid w:val="42F6D4CA"/>
    <w:multiLevelType w:val="singleLevel"/>
    <w:tmpl w:val="42F6D4CA"/>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DI0ZWExNGZkY2ZjZDQxYzU1Njg1MzI3M2Q1YWQifQ=="/>
  </w:docVars>
  <w:rsids>
    <w:rsidRoot w:val="0C023797"/>
    <w:rsid w:val="0C023797"/>
    <w:rsid w:val="59F5D46F"/>
    <w:rsid w:val="5FFC6610"/>
    <w:rsid w:val="77DF96E0"/>
    <w:rsid w:val="79FF1CE8"/>
    <w:rsid w:val="93FFB007"/>
    <w:rsid w:val="AF68F4C0"/>
    <w:rsid w:val="EBEF7319"/>
    <w:rsid w:val="F777B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Normal (Web)"/>
    <w:basedOn w:val="1"/>
    <w:qFormat/>
    <w:uiPriority w:val="0"/>
    <w:pPr>
      <w:spacing w:beforeAutospacing="1" w:afterAutospacing="1"/>
      <w:jc w:val="left"/>
    </w:pPr>
    <w:rPr>
      <w:kern w:val="0"/>
      <w:sz w:val="24"/>
    </w:rPr>
  </w:style>
  <w:style w:type="paragraph" w:styleId="6">
    <w:name w:val="List Paragraph"/>
    <w:basedOn w:val="1"/>
    <w:qFormat/>
    <w:uiPriority w:val="0"/>
    <w:pPr>
      <w:ind w:firstLine="420" w:firstLineChars="200"/>
      <w:jc w:val="left"/>
    </w:pPr>
    <w:rPr>
      <w:rFonts w:eastAsia="PMingLiU"/>
      <w:sz w:val="24"/>
      <w:lang w:eastAsia="zh-TW"/>
    </w:rPr>
  </w:style>
  <w:style w:type="paragraph" w:customStyle="1" w:styleId="7">
    <w:name w:val="样式 样式 正文缩进 + 首行缩进:  2 字符 + 首行缩进:  2 字符"/>
    <w:basedOn w:val="1"/>
    <w:qFormat/>
    <w:uiPriority w:val="0"/>
    <w:pPr>
      <w:adjustRightInd w:val="0"/>
      <w:ind w:firstLine="200"/>
      <w:textAlignment w:val="baseline"/>
    </w:pPr>
    <w:rPr>
      <w:rFonts w:cs="宋体"/>
      <w:sz w:val="28"/>
    </w:rPr>
  </w:style>
  <w:style w:type="paragraph" w:customStyle="1" w:styleId="8">
    <w:name w:val="Body text|1"/>
    <w:basedOn w:val="1"/>
    <w:qFormat/>
    <w:uiPriority w:val="0"/>
    <w:pPr>
      <w:spacing w:line="434" w:lineRule="auto"/>
      <w:ind w:firstLine="400"/>
    </w:pPr>
    <w:rPr>
      <w:rFonts w:ascii="宋体" w:hAnsi="宋体" w:cs="宋体"/>
      <w:sz w:val="22"/>
      <w:lang w:val="zh-TW" w:eastAsia="zh-TW" w:bidi="zh-TW"/>
    </w:rPr>
  </w:style>
  <w:style w:type="paragraph" w:customStyle="1" w:styleId="9">
    <w:name w:val="内正文"/>
    <w:basedOn w:val="1"/>
    <w:qFormat/>
    <w:uiPriority w:val="0"/>
    <w:pPr>
      <w:ind w:firstLine="420"/>
    </w:pPr>
    <w:rPr>
      <w:rFonts w:eastAsia="文鼎CS书宋二"/>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2024-01-12T09:36:00Z</dcterms:created>
  <dc:creator>贺小鸿</dc:creator>
  <cp:lastModifiedBy>跳跳²</cp:lastModifiedBy>
  <dcterms:modified xsi:type="dcterms:W3CDTF">2024-01-15T19:26:08Z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413E63B0020E46ECAA5C575594BBC060_11</vt:lpwstr>
  </property>
</Properties>
</file>