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right="139" w:firstLine="562"/>
        <w:jc w:val="right"/>
        <w:rPr>
          <w:rFonts w:hint="default" w:ascii="宋体" w:hAnsi="宋体" w:eastAsia="宋体"/>
          <w:b/>
          <w:color w:val="auto"/>
          <w:sz w:val="28"/>
          <w:szCs w:val="28"/>
          <w:highlight w:val="none"/>
          <w:u w:val="single"/>
          <w:lang w:val="en-US" w:eastAsia="zh-CN"/>
        </w:rPr>
      </w:pPr>
      <w:r>
        <w:rPr>
          <w:rFonts w:hint="eastAsia" w:ascii="宋体" w:hAnsi="宋体"/>
          <w:b/>
          <w:color w:val="auto"/>
          <w:sz w:val="28"/>
          <w:szCs w:val="28"/>
          <w:highlight w:val="none"/>
        </w:rPr>
        <w:t>合同编号:</w:t>
      </w:r>
      <w:r>
        <w:rPr>
          <w:rFonts w:hint="eastAsia" w:ascii="宋体" w:hAnsi="宋体"/>
          <w:b/>
          <w:color w:val="auto"/>
          <w:sz w:val="28"/>
          <w:szCs w:val="28"/>
          <w:highlight w:val="none"/>
          <w:u w:val="single"/>
          <w:lang w:val="en-US" w:eastAsia="zh-CN"/>
        </w:rPr>
        <w:t xml:space="preserve">       </w:t>
      </w:r>
    </w:p>
    <w:p>
      <w:pPr>
        <w:spacing w:line="360" w:lineRule="auto"/>
        <w:ind w:right="139" w:firstLine="560"/>
        <w:jc w:val="right"/>
        <w:rPr>
          <w:rFonts w:ascii="宋体" w:hAnsi="宋体"/>
          <w:color w:val="auto"/>
          <w:sz w:val="28"/>
          <w:szCs w:val="28"/>
          <w:highlight w:val="none"/>
        </w:rPr>
      </w:pPr>
      <w:r>
        <w:rPr>
          <w:rFonts w:ascii="Times New Roman" w:hAnsi="Times New Roman"/>
          <w:color w:val="auto"/>
          <w:szCs w:val="24"/>
          <w:highlight w:val="none"/>
        </w:rPr>
        <w:drawing>
          <wp:anchor distT="0" distB="0" distL="114300" distR="114300" simplePos="0" relativeHeight="251659264" behindDoc="0" locked="0" layoutInCell="1" allowOverlap="1">
            <wp:simplePos x="0" y="0"/>
            <wp:positionH relativeFrom="column">
              <wp:posOffset>-10795</wp:posOffset>
            </wp:positionH>
            <wp:positionV relativeFrom="paragraph">
              <wp:posOffset>-143510</wp:posOffset>
            </wp:positionV>
            <wp:extent cx="1068070" cy="1278255"/>
            <wp:effectExtent l="0" t="0" r="0" b="0"/>
            <wp:wrapNone/>
            <wp:docPr id="1" name="图片 1" descr="说明: 工务署VI-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工务署VI-标志"/>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68070" cy="1278255"/>
                    </a:xfrm>
                    <a:prstGeom prst="rect">
                      <a:avLst/>
                    </a:prstGeom>
                    <a:noFill/>
                  </pic:spPr>
                </pic:pic>
              </a:graphicData>
            </a:graphic>
          </wp:anchor>
        </w:drawing>
      </w:r>
    </w:p>
    <w:p>
      <w:pPr>
        <w:spacing w:line="560" w:lineRule="exact"/>
        <w:ind w:firstLine="560"/>
        <w:jc w:val="center"/>
        <w:rPr>
          <w:rFonts w:ascii="宋体" w:hAnsi="宋体"/>
          <w:color w:val="auto"/>
          <w:sz w:val="28"/>
          <w:szCs w:val="28"/>
          <w:highlight w:val="none"/>
        </w:rPr>
      </w:pPr>
      <w:r>
        <w:rPr>
          <w:rFonts w:hint="eastAsia" w:ascii="宋体" w:hAnsi="宋体"/>
          <w:color w:val="auto"/>
          <w:sz w:val="28"/>
          <w:szCs w:val="28"/>
          <w:highlight w:val="none"/>
        </w:rPr>
        <w:t xml:space="preserve">  </w:t>
      </w:r>
    </w:p>
    <w:p>
      <w:pPr>
        <w:adjustRightInd w:val="0"/>
        <w:snapToGrid w:val="0"/>
        <w:spacing w:after="100" w:line="560" w:lineRule="exact"/>
        <w:ind w:firstLine="1204"/>
        <w:jc w:val="center"/>
        <w:rPr>
          <w:rFonts w:ascii="宋体" w:hAnsi="宋体"/>
          <w:b/>
          <w:color w:val="auto"/>
          <w:spacing w:val="40"/>
          <w:sz w:val="52"/>
          <w:szCs w:val="52"/>
          <w:highlight w:val="none"/>
        </w:rPr>
      </w:pPr>
    </w:p>
    <w:p>
      <w:pPr>
        <w:adjustRightInd w:val="0"/>
        <w:snapToGrid w:val="0"/>
        <w:spacing w:after="100" w:line="560" w:lineRule="exact"/>
        <w:ind w:firstLine="1204"/>
        <w:jc w:val="center"/>
        <w:rPr>
          <w:rFonts w:ascii="宋体" w:hAnsi="宋体"/>
          <w:b/>
          <w:color w:val="auto"/>
          <w:spacing w:val="40"/>
          <w:sz w:val="52"/>
          <w:szCs w:val="52"/>
          <w:highlight w:val="none"/>
        </w:rPr>
      </w:pPr>
    </w:p>
    <w:p>
      <w:pPr>
        <w:adjustRightInd w:val="0"/>
        <w:snapToGrid w:val="0"/>
        <w:spacing w:after="100" w:line="560" w:lineRule="exact"/>
        <w:ind w:firstLine="1204"/>
        <w:jc w:val="center"/>
        <w:rPr>
          <w:rFonts w:ascii="宋体" w:hAnsi="宋体"/>
          <w:b/>
          <w:color w:val="auto"/>
          <w:spacing w:val="40"/>
          <w:sz w:val="52"/>
          <w:szCs w:val="52"/>
          <w:highlight w:val="none"/>
        </w:rPr>
      </w:pPr>
    </w:p>
    <w:p>
      <w:pPr>
        <w:adjustRightInd w:val="0"/>
        <w:snapToGrid w:val="0"/>
        <w:spacing w:after="100" w:line="560" w:lineRule="exact"/>
        <w:ind w:firstLine="722"/>
        <w:jc w:val="center"/>
        <w:rPr>
          <w:rFonts w:ascii="宋体" w:hAnsi="宋体"/>
          <w:b/>
          <w:color w:val="auto"/>
          <w:spacing w:val="40"/>
          <w:sz w:val="28"/>
          <w:szCs w:val="28"/>
          <w:highlight w:val="none"/>
        </w:rPr>
      </w:pPr>
    </w:p>
    <w:p>
      <w:pPr>
        <w:adjustRightInd w:val="0"/>
        <w:snapToGrid w:val="0"/>
        <w:spacing w:after="100" w:line="360" w:lineRule="auto"/>
        <w:jc w:val="center"/>
        <w:rPr>
          <w:rFonts w:ascii="宋体" w:hAnsi="宋体"/>
          <w:b/>
          <w:color w:val="auto"/>
          <w:sz w:val="44"/>
          <w:szCs w:val="44"/>
          <w:highlight w:val="none"/>
        </w:rPr>
      </w:pPr>
      <w:r>
        <w:rPr>
          <w:rFonts w:hint="eastAsia" w:ascii="宋体" w:hAnsi="宋体"/>
          <w:b/>
          <w:color w:val="auto"/>
          <w:sz w:val="44"/>
          <w:szCs w:val="44"/>
          <w:highlight w:val="none"/>
        </w:rPr>
        <w:t>深圳市建筑工务署工程设计管理中心</w:t>
      </w:r>
    </w:p>
    <w:p>
      <w:pPr>
        <w:adjustRightInd w:val="0"/>
        <w:snapToGrid w:val="0"/>
        <w:spacing w:after="100" w:line="360" w:lineRule="auto"/>
        <w:jc w:val="center"/>
        <w:rPr>
          <w:rFonts w:ascii="宋体" w:hAnsi="宋体"/>
          <w:b/>
          <w:color w:val="auto"/>
          <w:sz w:val="40"/>
          <w:szCs w:val="44"/>
          <w:highlight w:val="none"/>
        </w:rPr>
      </w:pPr>
      <w:r>
        <w:rPr>
          <w:rFonts w:hint="eastAsia" w:ascii="宋体" w:hAnsi="宋体"/>
          <w:b/>
          <w:color w:val="auto"/>
          <w:sz w:val="40"/>
          <w:szCs w:val="44"/>
          <w:highlight w:val="none"/>
        </w:rPr>
        <w:t>工作坊合同</w:t>
      </w:r>
    </w:p>
    <w:p>
      <w:pPr>
        <w:adjustRightInd w:val="0"/>
        <w:snapToGrid w:val="0"/>
        <w:spacing w:after="100"/>
        <w:jc w:val="center"/>
        <w:rPr>
          <w:rFonts w:hint="eastAsia" w:ascii="宋体" w:hAnsi="宋体"/>
          <w:b/>
          <w:color w:val="auto"/>
          <w:sz w:val="32"/>
          <w:szCs w:val="44"/>
          <w:highlight w:val="none"/>
        </w:rPr>
      </w:pPr>
    </w:p>
    <w:p>
      <w:pPr>
        <w:adjustRightInd w:val="0"/>
        <w:snapToGrid w:val="0"/>
        <w:spacing w:after="100"/>
        <w:jc w:val="center"/>
        <w:rPr>
          <w:rFonts w:hint="eastAsia" w:ascii="宋体" w:hAnsi="宋体"/>
          <w:b/>
          <w:color w:val="auto"/>
          <w:sz w:val="32"/>
          <w:szCs w:val="44"/>
          <w:highlight w:val="none"/>
        </w:rPr>
      </w:pPr>
    </w:p>
    <w:p>
      <w:pPr>
        <w:adjustRightInd w:val="0"/>
        <w:snapToGrid w:val="0"/>
        <w:spacing w:after="100"/>
        <w:jc w:val="center"/>
        <w:rPr>
          <w:rFonts w:hint="eastAsia" w:ascii="宋体" w:hAnsi="宋体"/>
          <w:b/>
          <w:color w:val="auto"/>
          <w:sz w:val="32"/>
          <w:szCs w:val="44"/>
          <w:highlight w:val="none"/>
        </w:rPr>
      </w:pPr>
    </w:p>
    <w:p>
      <w:pPr>
        <w:adjustRightInd w:val="0"/>
        <w:snapToGrid w:val="0"/>
        <w:spacing w:after="100"/>
        <w:jc w:val="center"/>
        <w:rPr>
          <w:rFonts w:hint="eastAsia" w:ascii="宋体" w:hAnsi="宋体"/>
          <w:b/>
          <w:color w:val="auto"/>
          <w:sz w:val="32"/>
          <w:szCs w:val="44"/>
          <w:highlight w:val="none"/>
        </w:rPr>
      </w:pPr>
    </w:p>
    <w:p>
      <w:pPr>
        <w:adjustRightInd w:val="0"/>
        <w:snapToGrid w:val="0"/>
        <w:spacing w:after="100"/>
        <w:jc w:val="center"/>
        <w:rPr>
          <w:rFonts w:ascii="宋体" w:hAnsi="宋体"/>
          <w:b/>
          <w:color w:val="auto"/>
          <w:sz w:val="32"/>
          <w:szCs w:val="44"/>
          <w:highlight w:val="none"/>
        </w:rPr>
      </w:pPr>
      <w:r>
        <w:rPr>
          <w:rFonts w:hint="eastAsia" w:ascii="宋体" w:hAnsi="宋体"/>
          <w:b/>
          <w:color w:val="auto"/>
          <w:sz w:val="32"/>
          <w:szCs w:val="44"/>
          <w:highlight w:val="none"/>
        </w:rPr>
        <w:t xml:space="preserve"> </w:t>
      </w:r>
    </w:p>
    <w:p>
      <w:pPr>
        <w:spacing w:line="360" w:lineRule="auto"/>
        <w:ind w:firstLine="643"/>
        <w:rPr>
          <w:rFonts w:ascii="宋体" w:hAnsi="宋体"/>
          <w:b/>
          <w:color w:val="auto"/>
          <w:sz w:val="32"/>
          <w:szCs w:val="32"/>
          <w:highlight w:val="none"/>
        </w:rPr>
      </w:pPr>
      <w:r>
        <w:rPr>
          <w:rFonts w:hint="eastAsia" w:ascii="宋体" w:hAnsi="宋体"/>
          <w:b/>
          <w:color w:val="auto"/>
          <w:sz w:val="32"/>
          <w:szCs w:val="32"/>
          <w:highlight w:val="none"/>
        </w:rPr>
        <w:t>项目名称：</w:t>
      </w:r>
      <w:r>
        <w:rPr>
          <w:rFonts w:hint="eastAsia" w:ascii="宋体" w:hAnsi="宋体"/>
          <w:b/>
          <w:color w:val="auto"/>
          <w:sz w:val="32"/>
          <w:szCs w:val="32"/>
          <w:highlight w:val="none"/>
          <w:u w:val="single"/>
        </w:rPr>
        <w:t xml:space="preserve">清华大学深圳国际研究生院二期同富裕项目                                      </w:t>
      </w:r>
    </w:p>
    <w:p>
      <w:pPr>
        <w:spacing w:line="360" w:lineRule="auto"/>
        <w:ind w:left="2100" w:leftChars="306" w:hanging="1457" w:firstLineChars="0"/>
        <w:rPr>
          <w:rFonts w:ascii="宋体" w:hAnsi="宋体"/>
          <w:b/>
          <w:color w:val="auto"/>
          <w:sz w:val="32"/>
          <w:szCs w:val="32"/>
          <w:highlight w:val="none"/>
          <w:u w:val="single"/>
        </w:rPr>
      </w:pPr>
      <w:r>
        <w:rPr>
          <w:rFonts w:hint="eastAsia" w:ascii="宋体" w:hAnsi="宋体"/>
          <w:b/>
          <w:color w:val="auto"/>
          <w:sz w:val="32"/>
          <w:szCs w:val="32"/>
          <w:highlight w:val="none"/>
        </w:rPr>
        <w:t>合同名称：</w:t>
      </w:r>
      <w:r>
        <w:rPr>
          <w:rFonts w:hint="eastAsia" w:ascii="宋体" w:hAnsi="宋体"/>
          <w:b/>
          <w:color w:val="auto"/>
          <w:sz w:val="32"/>
          <w:szCs w:val="32"/>
          <w:highlight w:val="none"/>
          <w:u w:val="single"/>
        </w:rPr>
        <w:t>清华大学深圳国际研究生院二期同富裕项目设计工作坊</w:t>
      </w:r>
      <w:r>
        <w:rPr>
          <w:rFonts w:hint="eastAsia" w:ascii="宋体" w:hAnsi="宋体"/>
          <w:b/>
          <w:color w:val="auto"/>
          <w:sz w:val="32"/>
          <w:szCs w:val="32"/>
          <w:highlight w:val="none"/>
          <w:u w:val="single"/>
          <w:lang w:val="en-US" w:eastAsia="zh-CN"/>
        </w:rPr>
        <w:t>合同</w:t>
      </w:r>
      <w:r>
        <w:rPr>
          <w:rFonts w:hint="eastAsia" w:ascii="宋体" w:hAnsi="宋体"/>
          <w:b/>
          <w:color w:val="auto"/>
          <w:sz w:val="32"/>
          <w:szCs w:val="32"/>
          <w:highlight w:val="none"/>
          <w:u w:val="single"/>
        </w:rPr>
        <w:t xml:space="preserve">                                     </w:t>
      </w:r>
    </w:p>
    <w:p>
      <w:pPr>
        <w:spacing w:line="360" w:lineRule="auto"/>
        <w:ind w:firstLine="643"/>
        <w:rPr>
          <w:rFonts w:ascii="宋体" w:hAnsi="宋体"/>
          <w:b/>
          <w:color w:val="auto"/>
          <w:sz w:val="32"/>
          <w:szCs w:val="32"/>
          <w:highlight w:val="none"/>
          <w:u w:val="single"/>
        </w:rPr>
      </w:pPr>
      <w:r>
        <w:rPr>
          <w:rFonts w:ascii="宋体" w:hAnsi="宋体"/>
          <w:b/>
          <w:color w:val="auto"/>
          <w:sz w:val="32"/>
          <w:szCs w:val="32"/>
          <w:highlight w:val="none"/>
        </w:rPr>
        <w:t>发 包</w:t>
      </w:r>
      <w:r>
        <w:rPr>
          <w:rFonts w:hint="eastAsia" w:ascii="宋体" w:hAnsi="宋体"/>
          <w:b/>
          <w:color w:val="auto"/>
          <w:sz w:val="32"/>
          <w:szCs w:val="32"/>
          <w:highlight w:val="none"/>
        </w:rPr>
        <w:t xml:space="preserve"> 人：</w:t>
      </w:r>
      <w:r>
        <w:rPr>
          <w:rFonts w:hint="eastAsia" w:ascii="宋体" w:hAnsi="宋体"/>
          <w:b/>
          <w:color w:val="auto"/>
          <w:sz w:val="32"/>
          <w:szCs w:val="32"/>
          <w:highlight w:val="none"/>
          <w:u w:val="single"/>
        </w:rPr>
        <w:t xml:space="preserve">深圳市建筑工务署工程设计管理中心     </w:t>
      </w:r>
    </w:p>
    <w:p>
      <w:pPr>
        <w:spacing w:line="360" w:lineRule="auto"/>
        <w:ind w:firstLine="643"/>
        <w:rPr>
          <w:rFonts w:ascii="宋体" w:hAnsi="宋体"/>
          <w:b/>
          <w:color w:val="auto"/>
          <w:sz w:val="32"/>
          <w:szCs w:val="32"/>
          <w:highlight w:val="none"/>
        </w:rPr>
      </w:pPr>
      <w:r>
        <w:rPr>
          <w:rFonts w:ascii="宋体" w:hAnsi="宋体"/>
          <w:b/>
          <w:color w:val="auto"/>
          <w:sz w:val="32"/>
          <w:szCs w:val="32"/>
          <w:highlight w:val="none"/>
        </w:rPr>
        <w:t>承 包</w:t>
      </w:r>
      <w:r>
        <w:rPr>
          <w:rFonts w:hint="eastAsia" w:ascii="宋体" w:hAnsi="宋体"/>
          <w:b/>
          <w:color w:val="auto"/>
          <w:sz w:val="32"/>
          <w:szCs w:val="32"/>
          <w:highlight w:val="none"/>
        </w:rPr>
        <w:t xml:space="preserve"> 人：</w:t>
      </w:r>
      <w:r>
        <w:rPr>
          <w:rFonts w:hint="eastAsia" w:ascii="宋体" w:hAnsi="宋体"/>
          <w:b/>
          <w:color w:val="auto"/>
          <w:sz w:val="32"/>
          <w:szCs w:val="32"/>
          <w:highlight w:val="none"/>
          <w:u w:val="single"/>
        </w:rPr>
        <w:t xml:space="preserve">                                      </w:t>
      </w:r>
    </w:p>
    <w:p>
      <w:pPr>
        <w:spacing w:line="360" w:lineRule="auto"/>
        <w:ind w:firstLine="643"/>
        <w:rPr>
          <w:rFonts w:ascii="宋体" w:hAnsi="宋体"/>
          <w:b/>
          <w:color w:val="auto"/>
          <w:sz w:val="32"/>
          <w:szCs w:val="32"/>
          <w:highlight w:val="none"/>
          <w:u w:val="single"/>
        </w:rPr>
      </w:pPr>
      <w:r>
        <w:rPr>
          <w:rFonts w:hint="eastAsia" w:ascii="宋体" w:hAnsi="宋体"/>
          <w:b/>
          <w:color w:val="auto"/>
          <w:sz w:val="32"/>
          <w:szCs w:val="32"/>
          <w:highlight w:val="none"/>
        </w:rPr>
        <w:t>日    期：</w:t>
      </w:r>
      <w:r>
        <w:rPr>
          <w:rFonts w:hint="eastAsia" w:ascii="宋体" w:hAnsi="宋体"/>
          <w:b/>
          <w:color w:val="auto"/>
          <w:sz w:val="32"/>
          <w:szCs w:val="32"/>
          <w:highlight w:val="none"/>
          <w:u w:val="single"/>
        </w:rPr>
        <w:t xml:space="preserve">                                      </w:t>
      </w:r>
    </w:p>
    <w:p>
      <w:pPr>
        <w:adjustRightInd w:val="0"/>
        <w:snapToGrid w:val="0"/>
        <w:spacing w:after="100"/>
        <w:rPr>
          <w:rFonts w:ascii="宋体" w:hAnsi="宋体"/>
          <w:b/>
          <w:color w:val="auto"/>
          <w:sz w:val="32"/>
          <w:szCs w:val="32"/>
          <w:highlight w:val="none"/>
        </w:rPr>
      </w:pPr>
    </w:p>
    <w:p>
      <w:pPr>
        <w:spacing w:line="560" w:lineRule="exact"/>
        <w:ind w:firstLine="560"/>
        <w:rPr>
          <w:rFonts w:ascii="宋体" w:hAnsi="宋体"/>
          <w:color w:val="auto"/>
          <w:sz w:val="28"/>
          <w:szCs w:val="28"/>
          <w:highlight w:val="none"/>
        </w:rPr>
      </w:pPr>
    </w:p>
    <w:p>
      <w:pPr>
        <w:spacing w:line="560" w:lineRule="exact"/>
        <w:ind w:firstLine="560"/>
        <w:jc w:val="center"/>
        <w:rPr>
          <w:rFonts w:hint="eastAsia" w:ascii="宋体" w:hAnsi="宋体"/>
          <w:b/>
          <w:bCs/>
          <w:color w:val="auto"/>
          <w:sz w:val="32"/>
          <w:szCs w:val="36"/>
          <w:highlight w:val="none"/>
        </w:rPr>
      </w:pPr>
    </w:p>
    <w:p>
      <w:pPr>
        <w:spacing w:line="560" w:lineRule="exact"/>
        <w:ind w:firstLine="560"/>
        <w:jc w:val="center"/>
        <w:rPr>
          <w:rFonts w:hint="eastAsia" w:ascii="宋体" w:hAnsi="宋体" w:eastAsia="宋体"/>
          <w:color w:val="auto"/>
          <w:spacing w:val="-11"/>
          <w:sz w:val="52"/>
          <w:szCs w:val="52"/>
          <w:highlight w:val="none"/>
          <w:lang w:val="en-US" w:eastAsia="zh-CN"/>
        </w:rPr>
      </w:pPr>
      <w:r>
        <w:rPr>
          <w:rFonts w:hint="eastAsia" w:ascii="宋体" w:hAnsi="宋体"/>
          <w:b/>
          <w:bCs/>
          <w:color w:val="auto"/>
          <w:spacing w:val="-11"/>
          <w:sz w:val="32"/>
          <w:szCs w:val="36"/>
          <w:highlight w:val="none"/>
        </w:rPr>
        <w:t>清华大学深圳国际研究生院二期同富裕</w:t>
      </w:r>
      <w:r>
        <w:rPr>
          <w:rFonts w:hint="eastAsia" w:ascii="宋体" w:hAnsi="宋体"/>
          <w:b/>
          <w:bCs/>
          <w:color w:val="auto"/>
          <w:spacing w:val="-11"/>
          <w:sz w:val="32"/>
          <w:szCs w:val="36"/>
          <w:highlight w:val="none"/>
        </w:rPr>
        <w:t>项目</w:t>
      </w:r>
      <w:r>
        <w:rPr>
          <w:rFonts w:hint="eastAsia" w:ascii="宋体" w:hAnsi="宋体"/>
          <w:b/>
          <w:bCs/>
          <w:color w:val="auto"/>
          <w:spacing w:val="-11"/>
          <w:sz w:val="32"/>
          <w:szCs w:val="36"/>
          <w:highlight w:val="none"/>
          <w:lang w:val="en-US" w:eastAsia="zh-CN"/>
        </w:rPr>
        <w:t>设计</w:t>
      </w:r>
      <w:r>
        <w:rPr>
          <w:rFonts w:hint="eastAsia" w:ascii="宋体" w:hAnsi="宋体"/>
          <w:b/>
          <w:color w:val="auto"/>
          <w:spacing w:val="-11"/>
          <w:sz w:val="30"/>
          <w:szCs w:val="30"/>
          <w:highlight w:val="none"/>
        </w:rPr>
        <w:t>工作坊</w:t>
      </w:r>
      <w:r>
        <w:rPr>
          <w:rFonts w:hint="eastAsia" w:ascii="宋体" w:hAnsi="宋体"/>
          <w:b/>
          <w:color w:val="auto"/>
          <w:spacing w:val="-11"/>
          <w:sz w:val="30"/>
          <w:szCs w:val="30"/>
          <w:highlight w:val="none"/>
          <w:lang w:val="en-US" w:eastAsia="zh-CN"/>
        </w:rPr>
        <w:t>合同</w:t>
      </w:r>
    </w:p>
    <w:p>
      <w:pPr>
        <w:spacing w:line="360" w:lineRule="auto"/>
        <w:rPr>
          <w:rFonts w:asciiTheme="minorEastAsia" w:hAnsiTheme="minorEastAsia" w:eastAsiaTheme="minorEastAsia"/>
          <w:color w:val="auto"/>
          <w:szCs w:val="21"/>
          <w:highlight w:val="none"/>
        </w:rPr>
      </w:pP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发包</w:t>
      </w:r>
      <w:r>
        <w:rPr>
          <w:rFonts w:hint="eastAsia" w:asciiTheme="minorEastAsia" w:hAnsiTheme="minorEastAsia" w:eastAsiaTheme="minorEastAsia"/>
          <w:color w:val="auto"/>
          <w:szCs w:val="21"/>
          <w:highlight w:val="none"/>
        </w:rPr>
        <w:t>人：</w:t>
      </w:r>
      <w:r>
        <w:rPr>
          <w:rFonts w:hint="eastAsia" w:asciiTheme="minorEastAsia" w:hAnsiTheme="minorEastAsia" w:eastAsiaTheme="minorEastAsia"/>
          <w:color w:val="auto"/>
          <w:szCs w:val="21"/>
          <w:highlight w:val="none"/>
          <w:u w:val="single"/>
        </w:rPr>
        <w:t>深圳市建筑工务署工程设计管理中心</w:t>
      </w:r>
      <w:r>
        <w:rPr>
          <w:rFonts w:hint="eastAsia" w:asciiTheme="minorEastAsia" w:hAnsiTheme="minorEastAsia" w:eastAsiaTheme="minorEastAsia"/>
          <w:color w:val="auto"/>
          <w:szCs w:val="21"/>
          <w:highlight w:val="none"/>
        </w:rPr>
        <w:t xml:space="preserve"> （以下简称“甲方”）</w:t>
      </w:r>
    </w:p>
    <w:p>
      <w:pPr>
        <w:spacing w:line="360" w:lineRule="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承包</w:t>
      </w:r>
      <w:r>
        <w:rPr>
          <w:rFonts w:hint="eastAsia" w:asciiTheme="minorEastAsia" w:hAnsiTheme="minorEastAsia" w:eastAsiaTheme="minorEastAsia"/>
          <w:color w:val="auto"/>
          <w:szCs w:val="21"/>
          <w:highlight w:val="none"/>
        </w:rPr>
        <w:t>人：</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rPr>
        <w:t xml:space="preserve"> </w:t>
      </w:r>
      <w:r>
        <w:rPr>
          <w:rFonts w:hint="eastAsia" w:asciiTheme="minorEastAsia" w:hAnsiTheme="minorEastAsia" w:eastAsiaTheme="minorEastAsia"/>
          <w:color w:val="auto"/>
          <w:szCs w:val="21"/>
          <w:highlight w:val="none"/>
        </w:rPr>
        <w:t xml:space="preserve">（以下简称“乙方”） </w:t>
      </w:r>
    </w:p>
    <w:p>
      <w:pPr>
        <w:spacing w:line="360" w:lineRule="auto"/>
        <w:ind w:firstLine="420" w:firstLineChars="200"/>
        <w:rPr>
          <w:rFonts w:hint="eastAsia"/>
          <w:color w:val="auto"/>
          <w:highlight w:val="none"/>
        </w:rPr>
      </w:pPr>
      <w:r>
        <w:rPr>
          <w:rFonts w:hint="eastAsia"/>
          <w:color w:val="auto"/>
          <w:highlight w:val="none"/>
        </w:rPr>
        <w:t>根据《中华人民共和国</w:t>
      </w:r>
      <w:r>
        <w:rPr>
          <w:rFonts w:hint="eastAsia"/>
          <w:color w:val="auto"/>
          <w:highlight w:val="none"/>
          <w:lang w:val="en-US" w:eastAsia="zh-CN"/>
        </w:rPr>
        <w:t>民法典</w:t>
      </w:r>
      <w:r>
        <w:rPr>
          <w:rFonts w:hint="eastAsia"/>
          <w:color w:val="auto"/>
          <w:highlight w:val="none"/>
        </w:rPr>
        <w:t>》《中华人民共和国建筑法》及国家、</w:t>
      </w:r>
      <w:r>
        <w:rPr>
          <w:color w:val="auto"/>
          <w:highlight w:val="none"/>
        </w:rPr>
        <w:t>广东省、</w:t>
      </w:r>
      <w:r>
        <w:rPr>
          <w:rFonts w:hint="eastAsia"/>
          <w:color w:val="auto"/>
          <w:highlight w:val="none"/>
        </w:rPr>
        <w:t>深圳市现行有关法规、规章</w:t>
      </w:r>
      <w:r>
        <w:rPr>
          <w:rFonts w:hint="eastAsia" w:asciiTheme="minorEastAsia" w:hAnsiTheme="minorEastAsia" w:eastAsiaTheme="minorEastAsia"/>
          <w:color w:val="auto"/>
          <w:szCs w:val="21"/>
          <w:highlight w:val="none"/>
        </w:rPr>
        <w:t>和规定</w:t>
      </w:r>
      <w:r>
        <w:rPr>
          <w:rFonts w:hint="eastAsia"/>
          <w:color w:val="auto"/>
          <w:highlight w:val="none"/>
        </w:rPr>
        <w:t>，</w:t>
      </w:r>
      <w:r>
        <w:rPr>
          <w:rFonts w:hint="eastAsia" w:asciiTheme="minorEastAsia" w:hAnsiTheme="minorEastAsia" w:eastAsiaTheme="minorEastAsia"/>
          <w:color w:val="auto"/>
          <w:szCs w:val="21"/>
          <w:highlight w:val="none"/>
        </w:rPr>
        <w:t>遵循平等、自愿、公平和诚实信用的原则，</w:t>
      </w:r>
      <w:r>
        <w:rPr>
          <w:rFonts w:hint="eastAsia"/>
          <w:color w:val="auto"/>
          <w:highlight w:val="none"/>
        </w:rPr>
        <w:t>甲方委托乙方完成本项目</w:t>
      </w:r>
      <w:r>
        <w:rPr>
          <w:rFonts w:hint="eastAsia"/>
          <w:color w:val="auto"/>
          <w:highlight w:val="none"/>
          <w:lang w:eastAsia="zh-CN"/>
        </w:rPr>
        <w:t>工作坊</w:t>
      </w:r>
      <w:r>
        <w:rPr>
          <w:rFonts w:hint="eastAsia"/>
          <w:color w:val="auto"/>
          <w:highlight w:val="none"/>
          <w:lang w:val="en-US" w:eastAsia="zh-CN"/>
        </w:rPr>
        <w:t>及相关</w:t>
      </w:r>
      <w:r>
        <w:rPr>
          <w:rFonts w:hint="eastAsia"/>
          <w:color w:val="auto"/>
          <w:highlight w:val="none"/>
        </w:rPr>
        <w:t>工作</w:t>
      </w:r>
      <w:r>
        <w:rPr>
          <w:rFonts w:hint="eastAsia"/>
          <w:color w:val="auto"/>
          <w:highlight w:val="none"/>
          <w:lang w:eastAsia="zh-CN"/>
        </w:rPr>
        <w:t>。</w:t>
      </w:r>
      <w:r>
        <w:rPr>
          <w:rFonts w:hint="eastAsia" w:asciiTheme="minorEastAsia" w:hAnsiTheme="minorEastAsia" w:eastAsiaTheme="minorEastAsia"/>
          <w:color w:val="auto"/>
          <w:szCs w:val="21"/>
          <w:highlight w:val="none"/>
        </w:rPr>
        <w:t>经甲乙双方协商一致，订立本合同</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lang w:val="en-US" w:eastAsia="zh-CN"/>
        </w:rPr>
        <w:t>以资共同遵守</w:t>
      </w:r>
      <w:r>
        <w:rPr>
          <w:rFonts w:hint="eastAsia" w:asciiTheme="minorEastAsia" w:hAnsiTheme="minorEastAsia" w:eastAsiaTheme="minorEastAsia"/>
          <w:color w:val="auto"/>
          <w:szCs w:val="21"/>
          <w:highlight w:val="none"/>
        </w:rPr>
        <w:t>。</w:t>
      </w:r>
      <w:bookmarkStart w:id="0" w:name="_Toc93808655"/>
    </w:p>
    <w:p>
      <w:pPr>
        <w:keepNext w:val="0"/>
        <w:keepLines w:val="0"/>
        <w:pageBreakBefore w:val="0"/>
        <w:numPr>
          <w:ilvl w:val="0"/>
          <w:numId w:val="1"/>
        </w:numPr>
        <w:kinsoku/>
        <w:wordWrap/>
        <w:overflowPunct/>
        <w:topLinePunct w:val="0"/>
        <w:autoSpaceDE/>
        <w:autoSpaceDN/>
        <w:bidi w:val="0"/>
        <w:adjustRightInd/>
        <w:snapToGrid/>
        <w:spacing w:line="360" w:lineRule="auto"/>
        <w:ind w:firstLine="422" w:firstLineChars="200"/>
        <w:textAlignment w:val="auto"/>
        <w:rPr>
          <w:rFonts w:hint="eastAsia" w:asciiTheme="majorEastAsia" w:hAnsiTheme="majorEastAsia" w:eastAsiaTheme="majorEastAsia"/>
          <w:b/>
          <w:color w:val="auto"/>
          <w:highlight w:val="none"/>
          <w:lang w:val="en-US" w:eastAsia="zh-CN"/>
        </w:rPr>
      </w:pPr>
      <w:r>
        <w:rPr>
          <w:rFonts w:hint="eastAsia" w:asciiTheme="majorEastAsia" w:hAnsiTheme="majorEastAsia" w:eastAsiaTheme="majorEastAsia"/>
          <w:b/>
          <w:color w:val="auto"/>
          <w:highlight w:val="none"/>
          <w:lang w:val="en-US" w:eastAsia="zh-CN"/>
        </w:rPr>
        <w:t xml:space="preserve"> 项目概况</w:t>
      </w:r>
    </w:p>
    <w:p>
      <w:pPr>
        <w:keepNext w:val="0"/>
        <w:keepLines w:val="0"/>
        <w:pageBreakBefore w:val="0"/>
        <w:kinsoku/>
        <w:wordWrap/>
        <w:overflowPunct/>
        <w:topLinePunct w:val="0"/>
        <w:autoSpaceDE/>
        <w:autoSpaceDN/>
        <w:bidi w:val="0"/>
        <w:adjustRightInd/>
        <w:snapToGrid/>
        <w:spacing w:line="360" w:lineRule="auto"/>
        <w:ind w:left="422"/>
        <w:textAlignment w:val="auto"/>
        <w:rPr>
          <w:rFonts w:hint="default" w:ascii="宋体" w:hAnsi="宋体" w:eastAsia="宋体"/>
          <w:color w:val="auto"/>
          <w:szCs w:val="21"/>
          <w:highlight w:val="none"/>
          <w:lang w:val="en-US" w:eastAsia="zh-CN"/>
        </w:rPr>
      </w:pPr>
      <w:r>
        <w:rPr>
          <w:rFonts w:ascii="宋体" w:hAnsi="宋体"/>
          <w:color w:val="auto"/>
          <w:szCs w:val="21"/>
          <w:highlight w:val="none"/>
        </w:rPr>
        <w:t>1.1</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项目名称：</w:t>
      </w:r>
      <w:r>
        <w:rPr>
          <w:rFonts w:hint="eastAsia" w:ascii="宋体" w:hAnsi="宋体"/>
          <w:color w:val="auto"/>
          <w:szCs w:val="21"/>
          <w:highlight w:val="none"/>
          <w:u w:val="single"/>
        </w:rPr>
        <w:t>清华大学深圳国际研究生院二期同富裕项目</w:t>
      </w:r>
      <w:r>
        <w:rPr>
          <w:rFonts w:hint="eastAsia" w:ascii="宋体" w:hAnsi="宋体"/>
          <w:color w:val="auto"/>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olor w:val="auto"/>
          <w:szCs w:val="21"/>
          <w:highlight w:val="none"/>
        </w:rPr>
      </w:pPr>
      <w:r>
        <w:rPr>
          <w:rFonts w:ascii="宋体" w:hAnsi="宋体"/>
          <w:color w:val="auto"/>
          <w:szCs w:val="21"/>
          <w:highlight w:val="none"/>
        </w:rPr>
        <w:t>1.2</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项目地点：</w:t>
      </w:r>
      <w:r>
        <w:rPr>
          <w:rFonts w:hint="eastAsia" w:ascii="宋体" w:hAnsi="宋体" w:eastAsia="宋体" w:cs="Times New Roman"/>
          <w:color w:val="auto"/>
          <w:szCs w:val="21"/>
          <w:highlight w:val="none"/>
          <w:u w:val="single"/>
        </w:rPr>
        <w:t>深圳大学城东侧，南临留仙大道，西侧为丽水路</w:t>
      </w:r>
    </w:p>
    <w:p>
      <w:pPr>
        <w:keepNext w:val="0"/>
        <w:keepLines w:val="0"/>
        <w:pageBreakBefore w:val="0"/>
        <w:numPr>
          <w:ilvl w:val="0"/>
          <w:numId w:val="0"/>
        </w:numPr>
        <w:kinsoku/>
        <w:wordWrap/>
        <w:overflowPunct/>
        <w:topLinePunct w:val="0"/>
        <w:autoSpaceDE/>
        <w:autoSpaceDN/>
        <w:bidi w:val="0"/>
        <w:adjustRightInd/>
        <w:snapToGrid/>
        <w:spacing w:line="360" w:lineRule="auto"/>
        <w:ind w:left="1896" w:leftChars="200" w:hanging="1476" w:hangingChars="703"/>
        <w:textAlignment w:val="auto"/>
        <w:rPr>
          <w:rFonts w:ascii="宋体" w:hAnsi="宋体" w:eastAsia="宋体" w:cs="Times New Roman"/>
          <w:color w:val="auto"/>
          <w:kern w:val="2"/>
          <w:sz w:val="21"/>
          <w:szCs w:val="21"/>
          <w:highlight w:val="none"/>
          <w:u w:val="single"/>
          <w:lang w:val="en-US" w:eastAsia="zh-CN" w:bidi="ar-SA"/>
        </w:rPr>
      </w:pPr>
      <w:r>
        <w:rPr>
          <w:rFonts w:ascii="宋体" w:hAnsi="宋体"/>
          <w:color w:val="auto"/>
          <w:szCs w:val="21"/>
          <w:highlight w:val="none"/>
        </w:rPr>
        <w:t>1.3</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建设内容：</w:t>
      </w:r>
      <w:r>
        <w:rPr>
          <w:rFonts w:hint="eastAsia" w:ascii="宋体" w:hAnsi="宋体" w:eastAsia="宋体" w:cs="Times New Roman"/>
          <w:color w:val="auto"/>
          <w:szCs w:val="21"/>
          <w:highlight w:val="none"/>
          <w:u w:val="single"/>
        </w:rPr>
        <w:t>总建筑面积105662平方米，其中地上建筑面积91609平方米（必配校舍59424平方米、选配校舍25345平方米、架空连廊6840平方米），地下车库及设备用房14053平方米。</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第二条  </w:t>
      </w:r>
      <w:r>
        <w:rPr>
          <w:rFonts w:hint="eastAsia" w:asciiTheme="majorEastAsia" w:hAnsiTheme="majorEastAsia" w:eastAsiaTheme="majorEastAsia"/>
          <w:b/>
          <w:color w:val="auto"/>
          <w:highlight w:val="none"/>
        </w:rPr>
        <w:t>编制依据</w:t>
      </w:r>
      <w:bookmarkEnd w:id="0"/>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ajorEastAsia" w:hAnsiTheme="majorEastAsia" w:eastAsiaTheme="majorEastAsia"/>
          <w:color w:val="auto"/>
          <w:highlight w:val="none"/>
        </w:rPr>
      </w:pPr>
      <w:r>
        <w:rPr>
          <w:rFonts w:asciiTheme="majorEastAsia" w:hAnsiTheme="majorEastAsia" w:eastAsiaTheme="majorEastAsia"/>
          <w:color w:val="auto"/>
          <w:highlight w:val="none"/>
        </w:rPr>
        <w:t>2</w:t>
      </w:r>
      <w:r>
        <w:rPr>
          <w:rFonts w:hint="eastAsia" w:asciiTheme="majorEastAsia" w:hAnsiTheme="majorEastAsia" w:eastAsiaTheme="majorEastAsia"/>
          <w:color w:val="auto"/>
          <w:highlight w:val="none"/>
        </w:rPr>
        <w:t>.1  招标文件、补遗书和答疑书等（如有）；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ajorEastAsia" w:hAnsiTheme="majorEastAsia" w:eastAsiaTheme="majorEastAsia"/>
          <w:color w:val="auto"/>
          <w:highlight w:val="none"/>
        </w:rPr>
      </w:pPr>
      <w:r>
        <w:rPr>
          <w:rFonts w:asciiTheme="majorEastAsia" w:hAnsiTheme="majorEastAsia" w:eastAsiaTheme="majorEastAsia"/>
          <w:color w:val="auto"/>
          <w:highlight w:val="none"/>
        </w:rPr>
        <w:t>2</w:t>
      </w:r>
      <w:r>
        <w:rPr>
          <w:rFonts w:hint="eastAsia" w:asciiTheme="majorEastAsia" w:hAnsiTheme="majorEastAsia" w:eastAsiaTheme="majorEastAsia"/>
          <w:color w:val="auto"/>
          <w:highlight w:val="none"/>
        </w:rPr>
        <w:t>.2  甲方提交的基础资料；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ajorEastAsia" w:hAnsiTheme="majorEastAsia" w:eastAsiaTheme="majorEastAsia"/>
          <w:color w:val="auto"/>
          <w:highlight w:val="none"/>
        </w:rPr>
      </w:pPr>
      <w:r>
        <w:rPr>
          <w:rFonts w:asciiTheme="majorEastAsia" w:hAnsiTheme="majorEastAsia" w:eastAsiaTheme="majorEastAsia"/>
          <w:color w:val="auto"/>
          <w:highlight w:val="none"/>
        </w:rPr>
        <w:t>2</w:t>
      </w:r>
      <w:r>
        <w:rPr>
          <w:rFonts w:hint="eastAsia" w:asciiTheme="majorEastAsia" w:hAnsiTheme="majorEastAsia" w:eastAsiaTheme="majorEastAsia"/>
          <w:color w:val="auto"/>
          <w:highlight w:val="none"/>
        </w:rPr>
        <w:t>.3  投标文件（如有）；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ajorEastAsia" w:hAnsiTheme="majorEastAsia" w:eastAsiaTheme="majorEastAsia"/>
          <w:color w:val="auto"/>
          <w:highlight w:val="none"/>
        </w:rPr>
      </w:pPr>
      <w:r>
        <w:rPr>
          <w:rFonts w:asciiTheme="majorEastAsia" w:hAnsiTheme="majorEastAsia" w:eastAsiaTheme="majorEastAsia"/>
          <w:color w:val="auto"/>
          <w:highlight w:val="none"/>
        </w:rPr>
        <w:t>2</w:t>
      </w:r>
      <w:r>
        <w:rPr>
          <w:rFonts w:hint="eastAsia" w:asciiTheme="majorEastAsia" w:hAnsiTheme="majorEastAsia" w:eastAsiaTheme="majorEastAsia"/>
          <w:color w:val="auto"/>
          <w:highlight w:val="none"/>
        </w:rPr>
        <w:t>.4  国家及地方现行有关规范、规程和规定；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2.5 </w:t>
      </w:r>
      <w:r>
        <w:rPr>
          <w:rFonts w:hint="eastAsia" w:asciiTheme="majorEastAsia" w:hAnsiTheme="majorEastAsia" w:eastAsiaTheme="majorEastAsia"/>
          <w:color w:val="auto"/>
          <w:highlight w:val="none"/>
        </w:rPr>
        <w:t xml:space="preserve"> 深圳市建筑工务署和甲方发布的规范、规程和规定；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olor w:val="auto"/>
          <w:highlight w:val="none"/>
        </w:rPr>
      </w:pPr>
      <w:r>
        <w:rPr>
          <w:rFonts w:asciiTheme="majorEastAsia" w:hAnsiTheme="majorEastAsia" w:eastAsiaTheme="majorEastAsia"/>
          <w:color w:val="auto"/>
          <w:highlight w:val="none"/>
        </w:rPr>
        <w:t>2</w:t>
      </w:r>
      <w:r>
        <w:rPr>
          <w:rFonts w:hint="eastAsia" w:asciiTheme="majorEastAsia" w:hAnsiTheme="majorEastAsia" w:eastAsiaTheme="majorEastAsia"/>
          <w:color w:val="auto"/>
          <w:highlight w:val="none"/>
        </w:rPr>
        <w:t>.</w:t>
      </w:r>
      <w:r>
        <w:rPr>
          <w:rFonts w:asciiTheme="majorEastAsia" w:hAnsiTheme="majorEastAsia" w:eastAsiaTheme="majorEastAsia"/>
          <w:color w:val="auto"/>
          <w:highlight w:val="none"/>
        </w:rPr>
        <w:t>6</w:t>
      </w:r>
      <w:r>
        <w:rPr>
          <w:rFonts w:hint="eastAsia" w:asciiTheme="majorEastAsia" w:hAnsiTheme="majorEastAsia" w:eastAsiaTheme="majorEastAsia"/>
          <w:color w:val="auto"/>
          <w:highlight w:val="none"/>
        </w:rPr>
        <w:t xml:space="preserve">  其他有关资料。</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合同期内，如以上规范及技术要求存在更新的版本，则按最新版本执行。</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宋体" w:hAnsi="宋体"/>
          <w:b/>
          <w:color w:val="auto"/>
          <w:szCs w:val="21"/>
          <w:highlight w:val="none"/>
        </w:rPr>
      </w:pPr>
      <w:bookmarkStart w:id="1" w:name="_Toc93808656"/>
      <w:bookmarkStart w:id="2" w:name="_Toc93808657"/>
      <w:r>
        <w:rPr>
          <w:rFonts w:hint="eastAsia" w:ascii="宋体" w:hAnsi="宋体"/>
          <w:b/>
          <w:color w:val="auto"/>
          <w:szCs w:val="21"/>
          <w:highlight w:val="none"/>
        </w:rPr>
        <w:t>第三条  合同文件的组成和优先次序</w:t>
      </w:r>
      <w:bookmarkEnd w:id="1"/>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ascii="宋体" w:hAnsi="宋体" w:cs="宋体"/>
          <w:color w:val="auto"/>
          <w:highlight w:val="none"/>
        </w:rPr>
        <w:t>3.1</w:t>
      </w:r>
      <w:r>
        <w:rPr>
          <w:rFonts w:hint="eastAsia" w:ascii="Calibri" w:eastAsia="宋体"/>
          <w:color w:val="auto"/>
          <w:highlight w:val="none"/>
          <w:lang w:val="en-US" w:eastAsia="zh-CN"/>
        </w:rPr>
        <w:t xml:space="preserve"> 以下文件均为本合同的构成文件。</w:t>
      </w:r>
      <w:r>
        <w:rPr>
          <w:rFonts w:hint="eastAsia"/>
          <w:color w:val="auto"/>
          <w:highlight w:val="none"/>
        </w:rPr>
        <w:t>构成本合同的</w:t>
      </w:r>
      <w:r>
        <w:rPr>
          <w:rFonts w:hint="eastAsia" w:ascii="Calibri" w:eastAsia="宋体"/>
          <w:color w:val="auto"/>
          <w:highlight w:val="none"/>
          <w:lang w:val="en-US" w:eastAsia="zh-CN"/>
        </w:rPr>
        <w:t>各项</w:t>
      </w:r>
      <w:r>
        <w:rPr>
          <w:rFonts w:hint="eastAsia"/>
          <w:color w:val="auto"/>
          <w:highlight w:val="none"/>
        </w:rPr>
        <w:t>文件可视为是能互相说明的，如果合同文件存在歧义或不一致，则根据如下优先次序判断：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ascii="宋体" w:hAnsi="宋体" w:cs="宋体"/>
          <w:color w:val="auto"/>
          <w:highlight w:val="none"/>
          <w:lang w:val="en-US" w:eastAsia="zh-CN"/>
        </w:rPr>
        <w:t>3.1.1</w:t>
      </w:r>
      <w:r>
        <w:rPr>
          <w:rFonts w:hint="eastAsia" w:ascii="宋体" w:hAnsi="宋体" w:cs="宋体"/>
          <w:color w:val="auto"/>
          <w:highlight w:val="none"/>
        </w:rPr>
        <w:t xml:space="preserve"> </w:t>
      </w:r>
      <w:r>
        <w:rPr>
          <w:rFonts w:hint="eastAsia"/>
          <w:color w:val="auto"/>
          <w:highlight w:val="none"/>
        </w:rPr>
        <w:t>本合同</w:t>
      </w:r>
      <w:r>
        <w:rPr>
          <w:rFonts w:hint="eastAsia" w:asciiTheme="minorEastAsia" w:hAnsiTheme="minorEastAsia" w:eastAsiaTheme="minorEastAsia"/>
          <w:color w:val="auto"/>
          <w:szCs w:val="21"/>
          <w:highlight w:val="none"/>
        </w:rPr>
        <w:t>及其补充协议</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color w:val="auto"/>
          <w:highlight w:val="none"/>
        </w:rPr>
      </w:pPr>
      <w:r>
        <w:rPr>
          <w:rFonts w:hint="eastAsia" w:ascii="宋体" w:hAnsi="宋体" w:cs="宋体"/>
          <w:color w:val="auto"/>
          <w:highlight w:val="none"/>
          <w:lang w:val="en-US" w:eastAsia="zh-CN"/>
        </w:rPr>
        <w:t>3.1.2</w:t>
      </w:r>
      <w:r>
        <w:rPr>
          <w:rFonts w:hint="eastAsia"/>
          <w:color w:val="auto"/>
          <w:highlight w:val="none"/>
        </w:rPr>
        <w:t xml:space="preserve"> 中标通知书</w:t>
      </w:r>
      <w:r>
        <w:rPr>
          <w:rFonts w:hint="eastAsia" w:asciiTheme="minorEastAsia" w:hAnsiTheme="minorEastAsia" w:eastAsiaTheme="minorEastAsia"/>
          <w:color w:val="auto"/>
          <w:szCs w:val="21"/>
          <w:highlight w:val="none"/>
        </w:rPr>
        <w:t>（如有）</w:t>
      </w:r>
      <w:r>
        <w:rPr>
          <w:rFonts w:hint="eastAsia"/>
          <w:color w:val="auto"/>
          <w:highlight w:val="none"/>
        </w:rPr>
        <w:t>；</w:t>
      </w:r>
      <w:r>
        <w:rPr>
          <w:color w:val="auto"/>
          <w:highlight w:val="none"/>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ascii="宋体" w:hAnsi="宋体" w:cs="宋体"/>
          <w:color w:val="auto"/>
          <w:highlight w:val="none"/>
          <w:lang w:val="en-US" w:eastAsia="zh-CN"/>
        </w:rPr>
        <w:t xml:space="preserve">3.1.3 </w:t>
      </w:r>
      <w:r>
        <w:rPr>
          <w:rFonts w:hint="eastAsia" w:ascii="Calibri" w:eastAsia="宋体"/>
          <w:color w:val="auto"/>
          <w:highlight w:val="none"/>
          <w:lang w:val="en-US" w:eastAsia="zh-CN"/>
        </w:rPr>
        <w:t>投</w:t>
      </w:r>
      <w:r>
        <w:rPr>
          <w:rFonts w:hint="eastAsia"/>
          <w:color w:val="auto"/>
          <w:highlight w:val="none"/>
        </w:rPr>
        <w:t>标文件及其附件（含补遗</w:t>
      </w:r>
      <w:r>
        <w:rPr>
          <w:rFonts w:hint="eastAsia"/>
          <w:color w:val="auto"/>
          <w:highlight w:val="none"/>
          <w:lang w:val="en-US" w:eastAsia="zh-CN"/>
        </w:rPr>
        <w:t>答疑</w:t>
      </w:r>
      <w:r>
        <w:rPr>
          <w:rFonts w:hint="eastAsia"/>
          <w:color w:val="auto"/>
          <w:highlight w:val="none"/>
        </w:rPr>
        <w:t>文件）（如有）；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color w:val="auto"/>
          <w:highlight w:val="none"/>
          <w:lang w:val="en-US" w:eastAsia="zh-CN"/>
        </w:rPr>
      </w:pPr>
      <w:r>
        <w:rPr>
          <w:rFonts w:hint="eastAsia" w:ascii="宋体" w:hAnsi="宋体" w:cs="宋体"/>
          <w:color w:val="auto"/>
          <w:highlight w:val="none"/>
          <w:lang w:val="en-US" w:eastAsia="zh-CN"/>
        </w:rPr>
        <w:t>3.1.4</w:t>
      </w:r>
      <w:r>
        <w:rPr>
          <w:rFonts w:hint="eastAsia" w:ascii="Calibri" w:eastAsia="宋体"/>
          <w:color w:val="auto"/>
          <w:highlight w:val="none"/>
          <w:lang w:val="en-US" w:eastAsia="zh-CN"/>
        </w:rPr>
        <w:t xml:space="preserve"> </w:t>
      </w:r>
      <w:r>
        <w:rPr>
          <w:rFonts w:hint="eastAsia"/>
          <w:color w:val="auto"/>
          <w:highlight w:val="none"/>
          <w:lang w:val="en-US" w:eastAsia="zh-CN"/>
        </w:rPr>
        <w:t>甲方</w:t>
      </w:r>
      <w:r>
        <w:rPr>
          <w:rFonts w:hint="eastAsia" w:ascii="Calibri" w:eastAsia="宋体"/>
          <w:color w:val="auto"/>
          <w:highlight w:val="none"/>
          <w:lang w:val="en-US" w:eastAsia="zh-CN"/>
        </w:rPr>
        <w:t>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ascii="宋体" w:hAnsi="宋体" w:cs="宋体"/>
          <w:color w:val="auto"/>
          <w:highlight w:val="none"/>
          <w:lang w:val="en-US" w:eastAsia="zh-CN"/>
        </w:rPr>
        <w:t>3.1.5</w:t>
      </w:r>
      <w:r>
        <w:rPr>
          <w:rFonts w:hint="eastAsia" w:ascii="Calibri" w:eastAsia="宋体"/>
          <w:color w:val="auto"/>
          <w:highlight w:val="none"/>
          <w:lang w:val="en-US" w:eastAsia="zh-CN"/>
        </w:rPr>
        <w:t xml:space="preserve"> 招</w:t>
      </w:r>
      <w:r>
        <w:rPr>
          <w:rFonts w:hint="eastAsia"/>
          <w:color w:val="auto"/>
          <w:highlight w:val="none"/>
        </w:rPr>
        <w:t>标文件及其附件</w:t>
      </w:r>
      <w:bookmarkStart w:id="3" w:name="_Hlk23080479"/>
      <w:r>
        <w:rPr>
          <w:rFonts w:hint="eastAsia" w:asciiTheme="minorEastAsia" w:hAnsiTheme="minorEastAsia" w:eastAsiaTheme="minorEastAsia"/>
          <w:color w:val="auto"/>
          <w:szCs w:val="21"/>
          <w:highlight w:val="none"/>
        </w:rPr>
        <w:t>（含补遗</w:t>
      </w:r>
      <w:r>
        <w:rPr>
          <w:rFonts w:hint="eastAsia"/>
          <w:color w:val="auto"/>
          <w:highlight w:val="none"/>
          <w:lang w:val="en-US" w:eastAsia="zh-CN"/>
        </w:rPr>
        <w:t>答疑</w:t>
      </w:r>
      <w:r>
        <w:rPr>
          <w:rFonts w:hint="eastAsia" w:asciiTheme="minorEastAsia" w:hAnsiTheme="minorEastAsia" w:eastAsiaTheme="minorEastAsia"/>
          <w:color w:val="auto"/>
          <w:szCs w:val="21"/>
          <w:highlight w:val="none"/>
        </w:rPr>
        <w:t>文件）</w:t>
      </w:r>
      <w:bookmarkEnd w:id="3"/>
      <w:r>
        <w:rPr>
          <w:rFonts w:hint="eastAsia"/>
          <w:color w:val="auto"/>
          <w:highlight w:val="none"/>
        </w:rPr>
        <w:t>（如有）；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eastAsia="宋体"/>
          <w:color w:val="auto"/>
          <w:highlight w:val="none"/>
          <w:lang w:val="en-US" w:eastAsia="zh-CN"/>
        </w:rPr>
      </w:pPr>
      <w:r>
        <w:rPr>
          <w:rFonts w:hint="eastAsia" w:ascii="宋体" w:hAnsi="宋体" w:cs="宋体"/>
          <w:color w:val="auto"/>
          <w:highlight w:val="none"/>
          <w:lang w:val="en-US" w:eastAsia="zh-CN"/>
        </w:rPr>
        <w:t xml:space="preserve">3.1.6 </w:t>
      </w:r>
      <w:r>
        <w:rPr>
          <w:rFonts w:hint="eastAsia" w:ascii="Calibri" w:eastAsia="宋体"/>
          <w:color w:val="auto"/>
          <w:highlight w:val="none"/>
          <w:lang w:val="en-US" w:eastAsia="zh-CN"/>
        </w:rPr>
        <w:t>标准、规范及规程等有关技术文件、</w:t>
      </w:r>
      <w:r>
        <w:rPr>
          <w:rFonts w:hint="eastAsia"/>
          <w:color w:val="auto"/>
          <w:highlight w:val="none"/>
          <w:lang w:val="en-US" w:eastAsia="zh-CN"/>
        </w:rPr>
        <w:t>甲方</w:t>
      </w:r>
      <w:r>
        <w:rPr>
          <w:rFonts w:hint="eastAsia" w:ascii="Calibri" w:eastAsia="宋体"/>
          <w:color w:val="auto"/>
          <w:highlight w:val="none"/>
          <w:lang w:val="en-US" w:eastAsia="zh-CN"/>
        </w:rPr>
        <w:t>设计指引；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rPr>
      </w:pPr>
      <w:r>
        <w:rPr>
          <w:rFonts w:hint="eastAsia" w:ascii="宋体" w:hAnsi="宋体" w:cs="宋体"/>
          <w:color w:val="auto"/>
          <w:highlight w:val="none"/>
          <w:lang w:val="en-US" w:eastAsia="zh-CN"/>
        </w:rPr>
        <w:t>3.1.7</w:t>
      </w:r>
      <w:r>
        <w:rPr>
          <w:rFonts w:hint="eastAsia" w:ascii="Calibri" w:eastAsia="宋体"/>
          <w:color w:val="auto"/>
          <w:highlight w:val="none"/>
          <w:lang w:val="en-US" w:eastAsia="zh-CN"/>
        </w:rPr>
        <w:t xml:space="preserve"> </w:t>
      </w:r>
      <w:r>
        <w:rPr>
          <w:rFonts w:hint="eastAsia"/>
          <w:color w:val="auto"/>
          <w:highlight w:val="none"/>
        </w:rPr>
        <w:t>本合同当事各方各类有约束力的往来函件；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3.2 上述各项合同文件包括合同当事人就该项合同文件所作出的补充和修改，属于同一类内容的文件，应以最新签署的为准。</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第四条  </w:t>
      </w:r>
      <w:r>
        <w:rPr>
          <w:rFonts w:hint="eastAsia" w:asciiTheme="majorEastAsia" w:hAnsiTheme="majorEastAsia" w:eastAsiaTheme="majorEastAsia"/>
          <w:b/>
          <w:color w:val="auto"/>
          <w:highlight w:val="none"/>
        </w:rPr>
        <w:t>工作</w:t>
      </w:r>
      <w:bookmarkEnd w:id="2"/>
      <w:r>
        <w:rPr>
          <w:rFonts w:hint="eastAsia" w:asciiTheme="majorEastAsia" w:hAnsiTheme="majorEastAsia" w:eastAsiaTheme="majorEastAsia"/>
          <w:b/>
          <w:color w:val="auto"/>
          <w:highlight w:val="none"/>
        </w:rPr>
        <w:t>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工作内容包括前期调研、配合任务书编制、专家工作坊、招标文件发布及宣传工作、资格预审及现场踏勘、方案可实施论证专篇技术清标会、方案评审、场地及周边城市信息模型、全过程服务及成果汇编等。本项目的工作</w:t>
      </w:r>
      <w:r>
        <w:rPr>
          <w:rFonts w:hint="eastAsia" w:asciiTheme="minorEastAsia" w:hAnsiTheme="minorEastAsia" w:eastAsiaTheme="minorEastAsia"/>
          <w:color w:val="auto"/>
          <w:highlight w:val="none"/>
          <w:lang w:val="en-US" w:eastAsia="zh-CN"/>
        </w:rPr>
        <w:t>内容</w:t>
      </w:r>
      <w:r>
        <w:rPr>
          <w:rFonts w:hint="eastAsia" w:asciiTheme="minorEastAsia" w:hAnsiTheme="minorEastAsia" w:eastAsiaTheme="minorEastAsia"/>
          <w:color w:val="auto"/>
          <w:highlight w:val="none"/>
        </w:rPr>
        <w:t>包括但不限于：</w:t>
      </w:r>
      <w:bookmarkStart w:id="4" w:name="_Toc93808659"/>
    </w:p>
    <w:p>
      <w:pPr>
        <w:pStyle w:val="2"/>
        <w:rPr>
          <w:rFonts w:hint="eastAsia"/>
          <w:color w:val="auto"/>
          <w:sz w:val="21"/>
          <w:szCs w:val="21"/>
          <w:highlight w:val="none"/>
        </w:rPr>
      </w:pPr>
      <w:r>
        <w:rPr>
          <w:rFonts w:hint="eastAsia"/>
          <w:color w:val="auto"/>
          <w:sz w:val="21"/>
          <w:szCs w:val="21"/>
          <w:highlight w:val="none"/>
        </w:rPr>
        <w:t>1.前期调研：</w:t>
      </w:r>
    </w:p>
    <w:p>
      <w:pPr>
        <w:pStyle w:val="2"/>
        <w:rPr>
          <w:rFonts w:hint="eastAsia"/>
          <w:color w:val="auto"/>
          <w:sz w:val="21"/>
          <w:szCs w:val="21"/>
          <w:highlight w:val="none"/>
        </w:rPr>
      </w:pPr>
      <w:r>
        <w:rPr>
          <w:rFonts w:hint="eastAsia"/>
          <w:color w:val="auto"/>
          <w:sz w:val="21"/>
          <w:szCs w:val="21"/>
          <w:highlight w:val="none"/>
        </w:rPr>
        <w:t>(1)与使用方沟通需求；</w:t>
      </w:r>
    </w:p>
    <w:p>
      <w:pPr>
        <w:pStyle w:val="2"/>
        <w:rPr>
          <w:rFonts w:hint="eastAsia"/>
          <w:color w:val="auto"/>
          <w:sz w:val="21"/>
          <w:szCs w:val="21"/>
          <w:highlight w:val="none"/>
        </w:rPr>
      </w:pPr>
      <w:r>
        <w:rPr>
          <w:rFonts w:hint="eastAsia"/>
          <w:color w:val="auto"/>
          <w:sz w:val="21"/>
          <w:szCs w:val="21"/>
          <w:highlight w:val="none"/>
        </w:rPr>
        <w:t>(2)收集国内外优秀的类似建筑及其设计团队、主创 ；</w:t>
      </w:r>
    </w:p>
    <w:p>
      <w:pPr>
        <w:pStyle w:val="2"/>
        <w:rPr>
          <w:rFonts w:hint="eastAsia"/>
          <w:color w:val="auto"/>
          <w:sz w:val="21"/>
          <w:szCs w:val="21"/>
          <w:highlight w:val="none"/>
        </w:rPr>
      </w:pPr>
      <w:r>
        <w:rPr>
          <w:rFonts w:hint="eastAsia"/>
          <w:color w:val="auto"/>
          <w:sz w:val="21"/>
          <w:szCs w:val="21"/>
          <w:highlight w:val="none"/>
        </w:rPr>
        <w:t>（3）整理国内外大学校园规划、建筑、室内、景观设计发展趋势及创新技术；整理国内外大学同类建筑的设计特点和使用要求，如国内外大学师生宿舍的空间组织模式，图书馆和室内体育用房等的空间布局特点和设计特色等相关资料；</w:t>
      </w:r>
    </w:p>
    <w:p>
      <w:pPr>
        <w:pStyle w:val="2"/>
        <w:rPr>
          <w:rFonts w:hint="eastAsia"/>
          <w:color w:val="auto"/>
          <w:sz w:val="21"/>
          <w:szCs w:val="21"/>
          <w:highlight w:val="none"/>
        </w:rPr>
      </w:pPr>
      <w:r>
        <w:rPr>
          <w:rFonts w:hint="eastAsia"/>
          <w:color w:val="auto"/>
          <w:sz w:val="21"/>
          <w:szCs w:val="21"/>
          <w:highlight w:val="none"/>
        </w:rPr>
        <w:t>(4)针对本项目所在区域的上位规划和区域发展相关政策，提取与项目建设定位、规划条件、发展方向及空间生态规划等相关内容。</w:t>
      </w:r>
    </w:p>
    <w:p>
      <w:pPr>
        <w:pStyle w:val="2"/>
        <w:rPr>
          <w:rFonts w:hint="eastAsia"/>
          <w:color w:val="auto"/>
          <w:sz w:val="21"/>
          <w:szCs w:val="21"/>
          <w:highlight w:val="none"/>
        </w:rPr>
      </w:pPr>
      <w:r>
        <w:rPr>
          <w:rFonts w:hint="eastAsia"/>
          <w:color w:val="auto"/>
          <w:sz w:val="21"/>
          <w:szCs w:val="21"/>
          <w:highlight w:val="none"/>
        </w:rPr>
        <w:t>(5)形成调研报告。</w:t>
      </w:r>
    </w:p>
    <w:p>
      <w:pPr>
        <w:pStyle w:val="2"/>
        <w:rPr>
          <w:rFonts w:hint="eastAsia"/>
          <w:color w:val="auto"/>
          <w:sz w:val="21"/>
          <w:szCs w:val="21"/>
          <w:highlight w:val="none"/>
        </w:rPr>
      </w:pPr>
      <w:r>
        <w:rPr>
          <w:rFonts w:hint="eastAsia"/>
          <w:color w:val="auto"/>
          <w:sz w:val="21"/>
          <w:szCs w:val="21"/>
          <w:highlight w:val="none"/>
        </w:rPr>
        <w:t>2.配合任务书编制：</w:t>
      </w:r>
    </w:p>
    <w:p>
      <w:pPr>
        <w:pStyle w:val="2"/>
        <w:rPr>
          <w:rFonts w:hint="eastAsia"/>
          <w:color w:val="auto"/>
          <w:sz w:val="21"/>
          <w:szCs w:val="21"/>
          <w:highlight w:val="none"/>
        </w:rPr>
      </w:pPr>
      <w:r>
        <w:rPr>
          <w:rFonts w:hint="eastAsia"/>
          <w:color w:val="auto"/>
          <w:sz w:val="21"/>
          <w:szCs w:val="21"/>
          <w:highlight w:val="none"/>
        </w:rPr>
        <w:t>(1)根据调研报告及使用单位需求，对校方提供的设计任务书初稿进行完善；</w:t>
      </w:r>
    </w:p>
    <w:p>
      <w:pPr>
        <w:pStyle w:val="2"/>
        <w:rPr>
          <w:rFonts w:hint="eastAsia"/>
          <w:color w:val="auto"/>
          <w:sz w:val="21"/>
          <w:szCs w:val="21"/>
          <w:highlight w:val="none"/>
        </w:rPr>
      </w:pPr>
      <w:r>
        <w:rPr>
          <w:rFonts w:hint="eastAsia"/>
          <w:color w:val="auto"/>
          <w:sz w:val="21"/>
          <w:szCs w:val="21"/>
          <w:highlight w:val="none"/>
        </w:rPr>
        <w:t>(2)根据专家讨论的意见和结论，完成设计任务书终稿。</w:t>
      </w:r>
    </w:p>
    <w:p>
      <w:pPr>
        <w:pStyle w:val="2"/>
        <w:rPr>
          <w:rFonts w:hint="eastAsia"/>
          <w:color w:val="auto"/>
          <w:sz w:val="21"/>
          <w:szCs w:val="21"/>
          <w:highlight w:val="none"/>
        </w:rPr>
      </w:pPr>
      <w:r>
        <w:rPr>
          <w:rFonts w:hint="eastAsia"/>
          <w:color w:val="auto"/>
          <w:sz w:val="21"/>
          <w:szCs w:val="21"/>
          <w:highlight w:val="none"/>
        </w:rPr>
        <w:t>3.专家工作坊：</w:t>
      </w:r>
    </w:p>
    <w:p>
      <w:pPr>
        <w:pStyle w:val="2"/>
        <w:rPr>
          <w:rFonts w:hint="eastAsia"/>
          <w:color w:val="auto"/>
          <w:sz w:val="21"/>
          <w:szCs w:val="21"/>
          <w:highlight w:val="none"/>
        </w:rPr>
      </w:pPr>
      <w:r>
        <w:rPr>
          <w:rFonts w:hint="eastAsia"/>
          <w:color w:val="auto"/>
          <w:sz w:val="21"/>
          <w:szCs w:val="21"/>
          <w:highlight w:val="none"/>
        </w:rPr>
        <w:t>招标文件发布之前，组织一次专家讨论，邀请国内知名专家 5 名，进行讨论并编制形成相关文件：</w:t>
      </w:r>
    </w:p>
    <w:p>
      <w:pPr>
        <w:pStyle w:val="2"/>
        <w:rPr>
          <w:rFonts w:hint="eastAsia"/>
          <w:color w:val="auto"/>
          <w:sz w:val="21"/>
          <w:szCs w:val="21"/>
          <w:highlight w:val="none"/>
        </w:rPr>
      </w:pPr>
      <w:r>
        <w:rPr>
          <w:rFonts w:hint="eastAsia"/>
          <w:color w:val="auto"/>
          <w:sz w:val="21"/>
          <w:szCs w:val="21"/>
          <w:highlight w:val="none"/>
        </w:rPr>
        <w:t>（1）对设计任务书分析讨论并提出改善意见，确定设计标准、设计原则等问题；</w:t>
      </w:r>
    </w:p>
    <w:p>
      <w:pPr>
        <w:pStyle w:val="2"/>
        <w:rPr>
          <w:rFonts w:hint="eastAsia"/>
          <w:color w:val="auto"/>
          <w:sz w:val="21"/>
          <w:szCs w:val="21"/>
          <w:highlight w:val="none"/>
        </w:rPr>
      </w:pPr>
      <w:r>
        <w:rPr>
          <w:rFonts w:hint="eastAsia"/>
          <w:color w:val="auto"/>
          <w:sz w:val="21"/>
          <w:szCs w:val="21"/>
          <w:highlight w:val="none"/>
        </w:rPr>
        <w:t>（2）研究用地条件对项目的影响，结合深圳地域特点、用地上位规划，提出项目设计要点；</w:t>
      </w:r>
    </w:p>
    <w:p>
      <w:pPr>
        <w:pStyle w:val="2"/>
        <w:rPr>
          <w:rFonts w:hint="eastAsia"/>
          <w:color w:val="auto"/>
          <w:sz w:val="21"/>
          <w:szCs w:val="21"/>
          <w:highlight w:val="none"/>
        </w:rPr>
      </w:pPr>
      <w:r>
        <w:rPr>
          <w:rFonts w:hint="eastAsia"/>
          <w:color w:val="auto"/>
          <w:sz w:val="21"/>
          <w:szCs w:val="21"/>
          <w:highlight w:val="none"/>
        </w:rPr>
        <w:t xml:space="preserve">（3）对设计需求与标准进行审核，对项目理念定位及功能进行梳理和总结； </w:t>
      </w:r>
    </w:p>
    <w:p>
      <w:pPr>
        <w:pStyle w:val="2"/>
        <w:rPr>
          <w:rFonts w:hint="eastAsia"/>
          <w:color w:val="auto"/>
          <w:sz w:val="21"/>
          <w:szCs w:val="21"/>
          <w:highlight w:val="none"/>
        </w:rPr>
      </w:pPr>
      <w:r>
        <w:rPr>
          <w:rFonts w:hint="eastAsia"/>
          <w:color w:val="auto"/>
          <w:sz w:val="21"/>
          <w:szCs w:val="21"/>
          <w:highlight w:val="none"/>
        </w:rPr>
        <w:t>（4）结合地域特点及功能需求，对绿色低碳校园建设目标及技术要求提出合理性建议及指导。</w:t>
      </w:r>
    </w:p>
    <w:p>
      <w:pPr>
        <w:pStyle w:val="2"/>
        <w:rPr>
          <w:rFonts w:hint="eastAsia"/>
          <w:color w:val="auto"/>
          <w:sz w:val="21"/>
          <w:szCs w:val="21"/>
          <w:highlight w:val="none"/>
        </w:rPr>
      </w:pPr>
      <w:r>
        <w:rPr>
          <w:rFonts w:hint="eastAsia"/>
          <w:color w:val="auto"/>
          <w:sz w:val="21"/>
          <w:szCs w:val="21"/>
          <w:highlight w:val="none"/>
        </w:rPr>
        <w:t>4.招标文件发布及宣传工作：</w:t>
      </w:r>
    </w:p>
    <w:p>
      <w:pPr>
        <w:pStyle w:val="2"/>
        <w:rPr>
          <w:rFonts w:hint="eastAsia"/>
          <w:color w:val="auto"/>
          <w:sz w:val="21"/>
          <w:szCs w:val="21"/>
          <w:highlight w:val="none"/>
        </w:rPr>
      </w:pPr>
      <w:r>
        <w:rPr>
          <w:rFonts w:hint="eastAsia"/>
          <w:color w:val="auto"/>
          <w:sz w:val="21"/>
          <w:szCs w:val="21"/>
          <w:highlight w:val="none"/>
        </w:rPr>
        <w:t>(1)编制、排版资格预审文件、招标文件、答疑补遗文件，制作视频文件。</w:t>
      </w:r>
    </w:p>
    <w:p>
      <w:pPr>
        <w:pStyle w:val="2"/>
        <w:rPr>
          <w:rFonts w:hint="eastAsia"/>
          <w:color w:val="auto"/>
          <w:sz w:val="21"/>
          <w:szCs w:val="21"/>
          <w:highlight w:val="none"/>
        </w:rPr>
      </w:pPr>
      <w:r>
        <w:rPr>
          <w:rFonts w:hint="eastAsia"/>
          <w:color w:val="auto"/>
          <w:sz w:val="21"/>
          <w:szCs w:val="21"/>
          <w:highlight w:val="none"/>
        </w:rPr>
        <w:t>(2)对项目基地进行调研和现场踏勘，对基地概况整理和航拍展示，搜集相关资料。</w:t>
      </w:r>
    </w:p>
    <w:p>
      <w:pPr>
        <w:pStyle w:val="2"/>
        <w:rPr>
          <w:rFonts w:hint="eastAsia"/>
          <w:color w:val="auto"/>
          <w:sz w:val="21"/>
          <w:szCs w:val="21"/>
          <w:highlight w:val="none"/>
        </w:rPr>
      </w:pPr>
      <w:r>
        <w:rPr>
          <w:rFonts w:hint="eastAsia"/>
          <w:color w:val="auto"/>
          <w:sz w:val="21"/>
          <w:szCs w:val="21"/>
          <w:highlight w:val="none"/>
        </w:rPr>
        <w:t>(3)发布预公告、相关微信公众号推文、讲座宣传等；并在知名建筑工程设计招标网上发布本项目设计招标信息，并搜集、整理报名信息。</w:t>
      </w:r>
    </w:p>
    <w:p>
      <w:pPr>
        <w:pStyle w:val="2"/>
        <w:rPr>
          <w:rFonts w:hint="eastAsia"/>
          <w:color w:val="auto"/>
          <w:sz w:val="21"/>
          <w:szCs w:val="21"/>
          <w:highlight w:val="none"/>
        </w:rPr>
      </w:pPr>
      <w:r>
        <w:rPr>
          <w:rFonts w:hint="eastAsia"/>
          <w:color w:val="auto"/>
          <w:sz w:val="21"/>
          <w:szCs w:val="21"/>
          <w:highlight w:val="none"/>
        </w:rPr>
        <w:t>(4)协助设计过程的跟踪、答疑，协助甲方与投标单位进行沟通。</w:t>
      </w:r>
    </w:p>
    <w:p>
      <w:pPr>
        <w:pStyle w:val="2"/>
        <w:rPr>
          <w:rFonts w:hint="eastAsia"/>
          <w:color w:val="auto"/>
          <w:sz w:val="21"/>
          <w:szCs w:val="21"/>
          <w:highlight w:val="none"/>
        </w:rPr>
      </w:pPr>
      <w:r>
        <w:rPr>
          <w:rFonts w:hint="eastAsia"/>
          <w:color w:val="auto"/>
          <w:sz w:val="21"/>
          <w:szCs w:val="21"/>
          <w:highlight w:val="none"/>
        </w:rPr>
        <w:t>(5)协助组织投标成果的接收与整理。</w:t>
      </w:r>
    </w:p>
    <w:p>
      <w:pPr>
        <w:pStyle w:val="2"/>
        <w:rPr>
          <w:rFonts w:hint="eastAsia"/>
          <w:color w:val="auto"/>
          <w:sz w:val="21"/>
          <w:szCs w:val="21"/>
          <w:highlight w:val="none"/>
        </w:rPr>
      </w:pPr>
      <w:r>
        <w:rPr>
          <w:rFonts w:hint="eastAsia"/>
          <w:color w:val="auto"/>
          <w:sz w:val="21"/>
          <w:szCs w:val="21"/>
          <w:highlight w:val="none"/>
        </w:rPr>
        <w:t>(6)协助组织资格答疑会议、座谈等工作。</w:t>
      </w:r>
    </w:p>
    <w:p>
      <w:pPr>
        <w:pStyle w:val="2"/>
        <w:rPr>
          <w:rFonts w:hint="eastAsia"/>
          <w:color w:val="auto"/>
          <w:sz w:val="21"/>
          <w:szCs w:val="21"/>
          <w:highlight w:val="none"/>
        </w:rPr>
      </w:pPr>
      <w:r>
        <w:rPr>
          <w:rFonts w:hint="eastAsia"/>
          <w:color w:val="auto"/>
          <w:sz w:val="21"/>
          <w:szCs w:val="21"/>
          <w:highlight w:val="none"/>
        </w:rPr>
        <w:t>5.资格预审及现场踏勘</w:t>
      </w:r>
    </w:p>
    <w:p>
      <w:pPr>
        <w:pStyle w:val="2"/>
        <w:rPr>
          <w:rFonts w:hint="eastAsia"/>
          <w:color w:val="auto"/>
          <w:sz w:val="21"/>
          <w:szCs w:val="21"/>
          <w:highlight w:val="none"/>
        </w:rPr>
      </w:pPr>
      <w:r>
        <w:rPr>
          <w:rFonts w:hint="eastAsia"/>
          <w:color w:val="auto"/>
          <w:sz w:val="21"/>
          <w:szCs w:val="21"/>
          <w:highlight w:val="none"/>
        </w:rPr>
        <w:t>（1)负责国内知名专家 5 名的专家住宿、劳务费、专家助理费用、交通及餐饮；</w:t>
      </w:r>
    </w:p>
    <w:p>
      <w:pPr>
        <w:pStyle w:val="2"/>
        <w:rPr>
          <w:rFonts w:hint="eastAsia"/>
          <w:color w:val="auto"/>
          <w:sz w:val="21"/>
          <w:szCs w:val="21"/>
          <w:highlight w:val="none"/>
        </w:rPr>
      </w:pPr>
      <w:r>
        <w:rPr>
          <w:rFonts w:hint="eastAsia"/>
          <w:color w:val="auto"/>
          <w:sz w:val="21"/>
          <w:szCs w:val="21"/>
          <w:highlight w:val="none"/>
        </w:rPr>
        <w:t>（2）负责组织对项目基地的调研和现场踏勘，对基地概况的整理和航拍展示，以及答疑会会议策划及组织。</w:t>
      </w:r>
    </w:p>
    <w:p>
      <w:pPr>
        <w:pStyle w:val="2"/>
        <w:rPr>
          <w:rFonts w:hint="eastAsia"/>
          <w:color w:val="auto"/>
          <w:sz w:val="21"/>
          <w:szCs w:val="21"/>
          <w:highlight w:val="none"/>
        </w:rPr>
      </w:pPr>
      <w:r>
        <w:rPr>
          <w:rFonts w:hint="eastAsia"/>
          <w:color w:val="auto"/>
          <w:sz w:val="21"/>
          <w:szCs w:val="21"/>
          <w:highlight w:val="none"/>
        </w:rPr>
        <w:t>（3）负责会务工作、速记、摄影、摄像、会议场地租赁、车辆租赁费、会议餐费。</w:t>
      </w:r>
    </w:p>
    <w:p>
      <w:pPr>
        <w:pStyle w:val="2"/>
        <w:rPr>
          <w:rFonts w:hint="eastAsia"/>
          <w:color w:val="auto"/>
          <w:sz w:val="21"/>
          <w:szCs w:val="21"/>
          <w:highlight w:val="none"/>
        </w:rPr>
      </w:pPr>
      <w:r>
        <w:rPr>
          <w:rFonts w:hint="eastAsia"/>
          <w:color w:val="auto"/>
          <w:sz w:val="21"/>
          <w:szCs w:val="21"/>
          <w:highlight w:val="none"/>
        </w:rPr>
        <w:t>（4）次数： 1 次。</w:t>
      </w:r>
    </w:p>
    <w:p>
      <w:pPr>
        <w:pStyle w:val="2"/>
        <w:rPr>
          <w:rFonts w:hint="eastAsia"/>
          <w:color w:val="auto"/>
          <w:sz w:val="21"/>
          <w:szCs w:val="21"/>
          <w:highlight w:val="none"/>
        </w:rPr>
      </w:pPr>
      <w:r>
        <w:rPr>
          <w:rFonts w:hint="eastAsia"/>
          <w:color w:val="auto"/>
          <w:sz w:val="21"/>
          <w:szCs w:val="21"/>
          <w:highlight w:val="none"/>
        </w:rPr>
        <w:t>6.方案可实施论证专篇技术清标会</w:t>
      </w:r>
    </w:p>
    <w:p>
      <w:pPr>
        <w:pStyle w:val="2"/>
        <w:rPr>
          <w:rFonts w:hint="eastAsia"/>
          <w:color w:val="auto"/>
          <w:sz w:val="21"/>
          <w:szCs w:val="21"/>
          <w:highlight w:val="none"/>
        </w:rPr>
      </w:pPr>
      <w:r>
        <w:rPr>
          <w:rFonts w:hint="eastAsia"/>
          <w:color w:val="auto"/>
          <w:sz w:val="21"/>
          <w:szCs w:val="21"/>
          <w:highlight w:val="none"/>
        </w:rPr>
        <w:t>（1）负责会务组织工作、摄影、摄像、会议餐费（含茶歇）等。</w:t>
      </w:r>
    </w:p>
    <w:p>
      <w:pPr>
        <w:pStyle w:val="2"/>
        <w:rPr>
          <w:rFonts w:hint="eastAsia"/>
          <w:color w:val="auto"/>
          <w:sz w:val="21"/>
          <w:szCs w:val="21"/>
          <w:highlight w:val="none"/>
        </w:rPr>
      </w:pPr>
      <w:r>
        <w:rPr>
          <w:rFonts w:hint="eastAsia"/>
          <w:color w:val="auto"/>
          <w:sz w:val="21"/>
          <w:szCs w:val="21"/>
          <w:highlight w:val="none"/>
        </w:rPr>
        <w:t>（2）次数： 1 次。</w:t>
      </w:r>
    </w:p>
    <w:p>
      <w:pPr>
        <w:pStyle w:val="2"/>
        <w:rPr>
          <w:rFonts w:hint="eastAsia"/>
          <w:color w:val="auto"/>
          <w:sz w:val="21"/>
          <w:szCs w:val="21"/>
          <w:highlight w:val="none"/>
        </w:rPr>
      </w:pPr>
      <w:r>
        <w:rPr>
          <w:rFonts w:hint="eastAsia"/>
          <w:color w:val="auto"/>
          <w:sz w:val="21"/>
          <w:szCs w:val="21"/>
          <w:highlight w:val="none"/>
        </w:rPr>
        <w:t>7.方案评审</w:t>
      </w:r>
    </w:p>
    <w:p>
      <w:pPr>
        <w:pStyle w:val="2"/>
        <w:rPr>
          <w:rFonts w:hint="eastAsia"/>
          <w:color w:val="auto"/>
          <w:sz w:val="21"/>
          <w:szCs w:val="21"/>
          <w:highlight w:val="none"/>
        </w:rPr>
      </w:pPr>
      <w:r>
        <w:rPr>
          <w:rFonts w:hint="eastAsia"/>
          <w:color w:val="auto"/>
          <w:sz w:val="21"/>
          <w:szCs w:val="21"/>
          <w:highlight w:val="none"/>
        </w:rPr>
        <w:t>(1)负责国内外知名专家 6 名的专家住宿、劳务费、专家助理费用、交通及餐饮；　</w:t>
      </w:r>
    </w:p>
    <w:p>
      <w:pPr>
        <w:pStyle w:val="2"/>
        <w:rPr>
          <w:rFonts w:hint="eastAsia"/>
          <w:color w:val="auto"/>
          <w:sz w:val="21"/>
          <w:szCs w:val="21"/>
          <w:highlight w:val="none"/>
        </w:rPr>
      </w:pPr>
      <w:r>
        <w:rPr>
          <w:rFonts w:hint="eastAsia"/>
          <w:color w:val="auto"/>
          <w:sz w:val="21"/>
          <w:szCs w:val="21"/>
          <w:highlight w:val="none"/>
        </w:rPr>
        <w:t>(2)负责评审会议的会务组织、资料准备、主持等会务工作，负责速记，摄影、摄像、同声传译、</w:t>
      </w:r>
      <w:bookmarkStart w:id="13" w:name="_GoBack"/>
      <w:bookmarkEnd w:id="13"/>
      <w:r>
        <w:rPr>
          <w:rFonts w:hint="eastAsia"/>
          <w:color w:val="auto"/>
          <w:sz w:val="21"/>
          <w:szCs w:val="21"/>
          <w:highlight w:val="none"/>
        </w:rPr>
        <w:t>翻译、车辆租赁费、会议场地租赁费、会议餐费；</w:t>
      </w:r>
    </w:p>
    <w:p>
      <w:pPr>
        <w:pStyle w:val="2"/>
        <w:rPr>
          <w:rFonts w:hint="eastAsia"/>
          <w:color w:val="auto"/>
          <w:sz w:val="21"/>
          <w:szCs w:val="21"/>
          <w:highlight w:val="none"/>
        </w:rPr>
      </w:pPr>
      <w:r>
        <w:rPr>
          <w:rFonts w:hint="eastAsia"/>
          <w:color w:val="auto"/>
          <w:sz w:val="21"/>
          <w:szCs w:val="21"/>
          <w:highlight w:val="none"/>
        </w:rPr>
        <w:t>(3)整理方案评审资料，协助发布方案评审结果；</w:t>
      </w:r>
    </w:p>
    <w:p>
      <w:pPr>
        <w:pStyle w:val="2"/>
        <w:rPr>
          <w:rFonts w:hint="eastAsia"/>
          <w:color w:val="auto"/>
          <w:sz w:val="21"/>
          <w:szCs w:val="21"/>
          <w:highlight w:val="none"/>
        </w:rPr>
      </w:pPr>
      <w:r>
        <w:rPr>
          <w:rFonts w:hint="eastAsia"/>
          <w:color w:val="auto"/>
          <w:sz w:val="21"/>
          <w:szCs w:val="21"/>
          <w:highlight w:val="none"/>
        </w:rPr>
        <w:t>(5）次数： 1 次。</w:t>
      </w:r>
    </w:p>
    <w:p>
      <w:pPr>
        <w:pStyle w:val="2"/>
        <w:rPr>
          <w:rFonts w:hint="eastAsia"/>
          <w:color w:val="auto"/>
          <w:sz w:val="21"/>
          <w:szCs w:val="21"/>
          <w:highlight w:val="none"/>
        </w:rPr>
      </w:pPr>
      <w:r>
        <w:rPr>
          <w:rFonts w:hint="eastAsia"/>
          <w:color w:val="auto"/>
          <w:sz w:val="21"/>
          <w:szCs w:val="21"/>
          <w:highlight w:val="none"/>
        </w:rPr>
        <w:t>8.场地及周边城市信息模型：</w:t>
      </w:r>
    </w:p>
    <w:p>
      <w:pPr>
        <w:pStyle w:val="2"/>
        <w:rPr>
          <w:rFonts w:hint="eastAsia"/>
          <w:color w:val="auto"/>
          <w:sz w:val="21"/>
          <w:szCs w:val="21"/>
          <w:highlight w:val="none"/>
        </w:rPr>
      </w:pPr>
      <w:r>
        <w:rPr>
          <w:rFonts w:hint="eastAsia"/>
          <w:color w:val="auto"/>
          <w:sz w:val="21"/>
          <w:szCs w:val="21"/>
          <w:highlight w:val="none"/>
        </w:rPr>
        <w:t xml:space="preserve">采集项目周边（用地红线外）约 </w:t>
      </w:r>
      <w:r>
        <w:rPr>
          <w:rFonts w:hint="eastAsia"/>
          <w:color w:val="auto"/>
          <w:sz w:val="21"/>
          <w:szCs w:val="21"/>
          <w:highlight w:val="none"/>
          <w:lang w:val="en-US" w:eastAsia="zh-CN"/>
        </w:rPr>
        <w:t>2</w:t>
      </w:r>
      <w:r>
        <w:rPr>
          <w:rFonts w:hint="eastAsia"/>
          <w:color w:val="auto"/>
          <w:sz w:val="21"/>
          <w:szCs w:val="21"/>
          <w:highlight w:val="none"/>
        </w:rPr>
        <w:t xml:space="preserve"> km²范围内的城市信息，建立数据模型。</w:t>
      </w:r>
    </w:p>
    <w:p>
      <w:pPr>
        <w:pStyle w:val="2"/>
        <w:rPr>
          <w:rFonts w:hint="eastAsia"/>
          <w:color w:val="auto"/>
          <w:sz w:val="21"/>
          <w:szCs w:val="21"/>
          <w:highlight w:val="none"/>
        </w:rPr>
      </w:pPr>
      <w:r>
        <w:rPr>
          <w:rFonts w:hint="eastAsia"/>
          <w:color w:val="auto"/>
          <w:sz w:val="21"/>
          <w:szCs w:val="21"/>
          <w:highlight w:val="none"/>
        </w:rPr>
        <w:t>（1）通过无人机搭载专业倾斜摄影航摄镜头，在只有漫射光（阴天）的情况下，获取目标范围高分辨率多视角影像，倾斜摄影数据生成之后分辨率不低于3cm，利用倾斜摄影实景三维建模软件对获取的倾斜航空影像进行建模生产，构建实景三维模型。</w:t>
      </w:r>
    </w:p>
    <w:p>
      <w:pPr>
        <w:pStyle w:val="2"/>
        <w:rPr>
          <w:rFonts w:hint="eastAsia"/>
          <w:color w:val="auto"/>
          <w:sz w:val="21"/>
          <w:szCs w:val="21"/>
          <w:highlight w:val="none"/>
        </w:rPr>
      </w:pPr>
      <w:r>
        <w:rPr>
          <w:rFonts w:hint="eastAsia"/>
          <w:color w:val="auto"/>
          <w:sz w:val="21"/>
          <w:szCs w:val="21"/>
          <w:highlight w:val="none"/>
        </w:rPr>
        <w:t>（2）负责将业主提供的相关模型通过格式转换等方式导入至倾斜摄影成果文件；负责将业主提供的相关周边建筑规划图纸和影响资料通过建立简易体块模型的方式导入至倾斜摄影成果文件。</w:t>
      </w:r>
    </w:p>
    <w:p>
      <w:pPr>
        <w:pStyle w:val="2"/>
        <w:rPr>
          <w:rFonts w:hint="eastAsia"/>
          <w:color w:val="auto"/>
          <w:sz w:val="21"/>
          <w:szCs w:val="21"/>
          <w:highlight w:val="none"/>
        </w:rPr>
      </w:pPr>
      <w:r>
        <w:rPr>
          <w:rFonts w:hint="eastAsia"/>
          <w:color w:val="auto"/>
          <w:sz w:val="21"/>
          <w:szCs w:val="21"/>
          <w:highlight w:val="none"/>
        </w:rPr>
        <w:t>（3）如发生主体建筑有外物遮挡的情况，需要无人机补全采集丢失信息，最终提供的倾斜摄影成果文件确保不会在空中留下独立物体或多余的多边形。</w:t>
      </w:r>
    </w:p>
    <w:p>
      <w:pPr>
        <w:pStyle w:val="2"/>
        <w:rPr>
          <w:rFonts w:hint="eastAsia"/>
          <w:color w:val="auto"/>
          <w:sz w:val="21"/>
          <w:szCs w:val="21"/>
          <w:highlight w:val="none"/>
        </w:rPr>
      </w:pPr>
      <w:r>
        <w:rPr>
          <w:rFonts w:hint="eastAsia"/>
          <w:color w:val="auto"/>
          <w:sz w:val="21"/>
          <w:szCs w:val="21"/>
          <w:highlight w:val="none"/>
        </w:rPr>
        <w:t>（4）通过格式转换、模型轻量化等方式，确保倾斜摄影成果文件顺利载入工务署相关汇报平台，并流畅使用；成果文件应提供osgb、3dtiles或fbx等格式文件，确保贴图不会丢失，文件大小控制在50GB以内。</w:t>
      </w:r>
    </w:p>
    <w:p>
      <w:pPr>
        <w:pStyle w:val="2"/>
        <w:rPr>
          <w:rFonts w:hint="eastAsia"/>
          <w:color w:val="auto"/>
          <w:sz w:val="21"/>
          <w:szCs w:val="21"/>
          <w:highlight w:val="none"/>
        </w:rPr>
      </w:pPr>
      <w:r>
        <w:rPr>
          <w:rFonts w:hint="eastAsia"/>
          <w:color w:val="auto"/>
          <w:sz w:val="21"/>
          <w:szCs w:val="21"/>
          <w:highlight w:val="none"/>
        </w:rPr>
        <w:t>（5）负责将倾斜摄影数据导入3ds max软件进行动画预览路径制作，无需渲染成片；提交的3ds max文件大小最好控制在2GB内，模型不能破面，穿模。</w:t>
      </w:r>
    </w:p>
    <w:p>
      <w:pPr>
        <w:pStyle w:val="2"/>
        <w:rPr>
          <w:rFonts w:hint="eastAsia"/>
          <w:color w:val="auto"/>
          <w:sz w:val="21"/>
          <w:szCs w:val="21"/>
          <w:highlight w:val="none"/>
        </w:rPr>
      </w:pPr>
      <w:r>
        <w:rPr>
          <w:rFonts w:hint="eastAsia"/>
          <w:color w:val="auto"/>
          <w:sz w:val="21"/>
          <w:szCs w:val="21"/>
          <w:highlight w:val="none"/>
        </w:rPr>
        <w:t>9.全过程服务及成果汇编：</w:t>
      </w:r>
    </w:p>
    <w:p>
      <w:pPr>
        <w:pStyle w:val="2"/>
        <w:rPr>
          <w:rFonts w:hint="eastAsia"/>
          <w:color w:val="auto"/>
          <w:sz w:val="21"/>
          <w:szCs w:val="21"/>
          <w:highlight w:val="none"/>
        </w:rPr>
      </w:pPr>
      <w:r>
        <w:rPr>
          <w:rFonts w:hint="eastAsia"/>
          <w:color w:val="auto"/>
          <w:sz w:val="21"/>
          <w:szCs w:val="21"/>
          <w:highlight w:val="none"/>
        </w:rPr>
        <w:t>(1)调研报告、设计任务书、招标工作报告等汇编整理工作。</w:t>
      </w:r>
    </w:p>
    <w:p>
      <w:pPr>
        <w:pStyle w:val="2"/>
        <w:rPr>
          <w:rFonts w:hint="eastAsia"/>
          <w:color w:val="auto"/>
          <w:sz w:val="21"/>
          <w:szCs w:val="21"/>
          <w:highlight w:val="none"/>
        </w:rPr>
      </w:pPr>
      <w:r>
        <w:rPr>
          <w:rFonts w:hint="eastAsia"/>
          <w:color w:val="auto"/>
          <w:sz w:val="21"/>
          <w:szCs w:val="21"/>
          <w:highlight w:val="none"/>
        </w:rPr>
        <w:t>(2)上述未包含内容，如全过程沟通、招标配合及其他工作协助，网页维护，沟通协调，文件翻译等。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备注：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1.若招标过程中取消上述的一些过程或评审会议，合同结算价格针对相应的条款的金额作出相应扣减，扣除计算原则如下：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（1）资格预审：6万元；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（2）组织现场踏勘：2万元；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（3）专家工作坊：5万元；</w:t>
      </w:r>
    </w:p>
    <w:p>
      <w:pPr>
        <w:pStyle w:val="2"/>
        <w:rPr>
          <w:rFonts w:hint="eastAsia"/>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val="en-US" w:eastAsia="zh-CN"/>
        </w:rPr>
        <w:t>（4）场地及周边城市信息模型：8万元。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rPr>
          <w:rFonts w:hint="eastAsia" w:asciiTheme="majorEastAsia" w:hAnsiTheme="majorEastAsia" w:eastAsiaTheme="majorEastAsia"/>
          <w:b/>
          <w:color w:val="auto"/>
          <w:highlight w:val="none"/>
          <w:lang w:val="en-US" w:eastAsia="zh-CN"/>
        </w:rPr>
      </w:pPr>
      <w:r>
        <w:rPr>
          <w:rFonts w:hint="eastAsia" w:asciiTheme="majorEastAsia" w:hAnsiTheme="majorEastAsia" w:eastAsiaTheme="majorEastAsia"/>
          <w:b/>
          <w:color w:val="auto"/>
          <w:highlight w:val="none"/>
          <w:lang w:val="en-US" w:eastAsia="zh-CN"/>
        </w:rPr>
        <w:t xml:space="preserve">第五条  </w:t>
      </w:r>
      <w:bookmarkEnd w:id="4"/>
      <w:r>
        <w:rPr>
          <w:rFonts w:hint="eastAsia" w:asciiTheme="majorEastAsia" w:hAnsiTheme="majorEastAsia" w:eastAsiaTheme="majorEastAsia"/>
          <w:b/>
          <w:color w:val="auto"/>
          <w:highlight w:val="none"/>
          <w:lang w:val="en-US" w:eastAsia="zh-CN"/>
        </w:rPr>
        <w:t>工作成果</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5</w:t>
      </w:r>
      <w:r>
        <w:rPr>
          <w:rFonts w:asciiTheme="minorEastAsia" w:hAnsiTheme="minorEastAsia" w:eastAsiaTheme="minorEastAsia"/>
          <w:bCs/>
          <w:color w:val="auto"/>
          <w:highlight w:val="none"/>
        </w:rPr>
        <w:t>.1</w:t>
      </w:r>
      <w:r>
        <w:rPr>
          <w:rFonts w:hint="eastAsia" w:asciiTheme="minorEastAsia" w:hAnsiTheme="minorEastAsia" w:eastAsiaTheme="minorEastAsia"/>
          <w:bCs/>
          <w:color w:val="auto"/>
          <w:highlight w:val="none"/>
        </w:rPr>
        <w:t>乙方向甲方交付的各阶段成果文件格式包括纸质和电子版格式，每种格式数量要求不少于</w:t>
      </w:r>
      <w:r>
        <w:rPr>
          <w:rFonts w:hint="eastAsia" w:asciiTheme="minorEastAsia" w:hAnsiTheme="minorEastAsia" w:eastAsiaTheme="minorEastAsia"/>
          <w:bCs/>
          <w:color w:val="auto"/>
          <w:highlight w:val="none"/>
          <w:u w:val="single"/>
          <w:lang w:val="en-US" w:eastAsia="zh-CN"/>
        </w:rPr>
        <w:t>3</w:t>
      </w:r>
      <w:r>
        <w:rPr>
          <w:rFonts w:hint="eastAsia" w:asciiTheme="minorEastAsia" w:hAnsiTheme="minorEastAsia" w:eastAsiaTheme="minorEastAsia"/>
          <w:bCs/>
          <w:color w:val="auto"/>
          <w:highlight w:val="none"/>
        </w:rPr>
        <w:t>份，包括（但不限于）：</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（1）调研报告；</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（2）设计任务书；</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（3）专家工作坊成果文件；</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w:t>
      </w:r>
      <w:r>
        <w:rPr>
          <w:rFonts w:asciiTheme="minorEastAsia" w:hAnsiTheme="minorEastAsia" w:eastAsiaTheme="minorEastAsia"/>
          <w:bCs/>
          <w:color w:val="auto"/>
          <w:highlight w:val="none"/>
        </w:rPr>
        <w:t>4</w:t>
      </w:r>
      <w:r>
        <w:rPr>
          <w:rFonts w:hint="eastAsia" w:asciiTheme="minorEastAsia" w:hAnsiTheme="minorEastAsia" w:eastAsiaTheme="minorEastAsia"/>
          <w:bCs/>
          <w:color w:val="auto"/>
          <w:highlight w:val="none"/>
        </w:rPr>
        <w:t>）设计招标策划服务建议书；</w:t>
      </w:r>
    </w:p>
    <w:p>
      <w:pPr>
        <w:spacing w:line="360" w:lineRule="auto"/>
        <w:ind w:firstLine="420" w:firstLineChars="200"/>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w:t>
      </w:r>
      <w:r>
        <w:rPr>
          <w:rFonts w:asciiTheme="minorEastAsia" w:hAnsiTheme="minorEastAsia" w:eastAsiaTheme="minorEastAsia"/>
          <w:bCs/>
          <w:color w:val="auto"/>
          <w:highlight w:val="none"/>
        </w:rPr>
        <w:t>5</w:t>
      </w:r>
      <w:r>
        <w:rPr>
          <w:rFonts w:hint="eastAsia" w:asciiTheme="minorEastAsia" w:hAnsiTheme="minorEastAsia" w:eastAsiaTheme="minorEastAsia"/>
          <w:bCs/>
          <w:color w:val="auto"/>
          <w:highlight w:val="none"/>
        </w:rPr>
        <w:t>）各项活动相关会务手册、会议记录资料（原件仅一份）等；</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bCs/>
          <w:color w:val="auto"/>
          <w:highlight w:val="none"/>
          <w:lang w:eastAsia="zh-CN"/>
        </w:rPr>
      </w:pPr>
      <w:r>
        <w:rPr>
          <w:rFonts w:hint="eastAsia" w:asciiTheme="minorEastAsia" w:hAnsiTheme="minorEastAsia" w:eastAsiaTheme="minorEastAsia"/>
          <w:bCs/>
          <w:color w:val="auto"/>
          <w:highlight w:val="none"/>
          <w:lang w:eastAsia="zh-CN"/>
        </w:rPr>
        <w:t>（</w:t>
      </w:r>
      <w:r>
        <w:rPr>
          <w:rFonts w:asciiTheme="minorEastAsia" w:hAnsiTheme="minorEastAsia" w:eastAsiaTheme="minorEastAsia"/>
          <w:bCs/>
          <w:color w:val="auto"/>
          <w:highlight w:val="none"/>
        </w:rPr>
        <w:t>6</w:t>
      </w:r>
      <w:r>
        <w:rPr>
          <w:rFonts w:hint="eastAsia" w:asciiTheme="minorEastAsia" w:hAnsiTheme="minorEastAsia" w:eastAsiaTheme="minorEastAsia"/>
          <w:bCs/>
          <w:color w:val="auto"/>
          <w:highlight w:val="none"/>
        </w:rPr>
        <w:t>）设计招标工作报告汇编</w:t>
      </w:r>
      <w:r>
        <w:rPr>
          <w:rFonts w:hint="eastAsia" w:asciiTheme="minorEastAsia" w:hAnsiTheme="minorEastAsia" w:eastAsiaTheme="minorEastAsia"/>
          <w:bCs/>
          <w:color w:val="auto"/>
          <w:highlight w:val="none"/>
          <w:lang w:eastAsia="zh-CN"/>
        </w:rPr>
        <w:t>；</w:t>
      </w:r>
    </w:p>
    <w:p>
      <w:pPr>
        <w:pStyle w:val="2"/>
        <w:rPr>
          <w:rFonts w:hint="default" w:cs="Times New Roman" w:asciiTheme="minorEastAsia" w:hAnsiTheme="minorEastAsia" w:eastAsiaTheme="minorEastAsia"/>
          <w:bCs/>
          <w:color w:val="auto"/>
          <w:kern w:val="2"/>
          <w:sz w:val="21"/>
          <w:szCs w:val="22"/>
          <w:highlight w:val="none"/>
          <w:lang w:val="en-US" w:eastAsia="zh-CN" w:bidi="ar-SA"/>
        </w:rPr>
      </w:pPr>
      <w:r>
        <w:rPr>
          <w:rFonts w:hint="eastAsia" w:asciiTheme="minorEastAsia" w:hAnsiTheme="minorEastAsia" w:eastAsiaTheme="minorEastAsia"/>
          <w:bCs/>
          <w:color w:val="auto"/>
          <w:highlight w:val="none"/>
          <w:lang w:val="en-US" w:eastAsia="zh-CN"/>
        </w:rPr>
        <w:t xml:space="preserve">    </w:t>
      </w:r>
      <w:r>
        <w:rPr>
          <w:rFonts w:hint="eastAsia" w:cs="Times New Roman" w:asciiTheme="minorEastAsia" w:hAnsiTheme="minorEastAsia" w:eastAsiaTheme="minorEastAsia"/>
          <w:bCs/>
          <w:color w:val="auto"/>
          <w:kern w:val="2"/>
          <w:sz w:val="21"/>
          <w:szCs w:val="22"/>
          <w:highlight w:val="none"/>
          <w:lang w:val="en-US" w:eastAsia="zh-CN" w:bidi="ar-SA"/>
        </w:rPr>
        <w:t>（7）</w:t>
      </w:r>
      <w:r>
        <w:rPr>
          <w:rFonts w:hint="eastAsia"/>
          <w:color w:val="auto"/>
          <w:sz w:val="21"/>
          <w:szCs w:val="21"/>
          <w:highlight w:val="none"/>
        </w:rPr>
        <w:t>场地及周边城市信息模型</w:t>
      </w:r>
      <w:r>
        <w:rPr>
          <w:rFonts w:hint="eastAsia" w:cs="Times New Roman" w:asciiTheme="minorEastAsia" w:hAnsiTheme="minorEastAsia" w:eastAsiaTheme="minorEastAsia"/>
          <w:bCs/>
          <w:color w:val="auto"/>
          <w:kern w:val="2"/>
          <w:sz w:val="21"/>
          <w:szCs w:val="22"/>
          <w:highlight w:val="none"/>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asciiTheme="majorEastAsia" w:hAnsiTheme="majorEastAsia" w:eastAsiaTheme="majorEastAsia"/>
          <w:b/>
          <w:color w:val="auto"/>
          <w:highlight w:val="none"/>
        </w:rPr>
      </w:pPr>
      <w:bookmarkStart w:id="5" w:name="_Toc93808660"/>
      <w:r>
        <w:rPr>
          <w:rFonts w:hint="eastAsia" w:asciiTheme="majorEastAsia" w:hAnsiTheme="majorEastAsia" w:eastAsiaTheme="majorEastAsia"/>
          <w:b/>
          <w:color w:val="auto"/>
          <w:highlight w:val="none"/>
          <w:lang w:val="en-US" w:eastAsia="zh-CN"/>
        </w:rPr>
        <w:t>第六条  合同</w:t>
      </w:r>
      <w:r>
        <w:rPr>
          <w:rFonts w:hint="eastAsia" w:asciiTheme="majorEastAsia" w:hAnsiTheme="majorEastAsia" w:eastAsiaTheme="majorEastAsia"/>
          <w:b/>
          <w:color w:val="auto"/>
          <w:highlight w:val="none"/>
        </w:rPr>
        <w:t>费用及其支付</w:t>
      </w:r>
      <w:bookmarkEnd w:id="5"/>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bCs/>
          <w:color w:val="auto"/>
          <w:highlight w:val="none"/>
          <w:lang w:val="en-US" w:eastAsia="zh-CN"/>
        </w:rPr>
        <w:t>6.1</w:t>
      </w:r>
      <w:r>
        <w:rPr>
          <w:rFonts w:hint="eastAsia" w:asciiTheme="minorEastAsia" w:hAnsiTheme="minorEastAsia" w:eastAsiaTheme="minorEastAsia"/>
          <w:bCs/>
          <w:color w:val="auto"/>
          <w:highlight w:val="none"/>
        </w:rPr>
        <w:t>本合同为固定总价合同，合同固定总价为</w:t>
      </w:r>
      <w:r>
        <w:rPr>
          <w:rFonts w:hint="eastAsia" w:asciiTheme="minorEastAsia" w:hAnsiTheme="minorEastAsia" w:eastAsiaTheme="minorEastAsia"/>
          <w:color w:val="auto"/>
          <w:szCs w:val="21"/>
          <w:highlight w:val="none"/>
        </w:rPr>
        <w:t>人民币（大写）</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 xml:space="preserve"> </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元整，（小写：¥</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），包括乙方完成本项目招标或采购范围</w:t>
      </w:r>
      <w:r>
        <w:rPr>
          <w:rFonts w:hint="eastAsia" w:asciiTheme="minorEastAsia" w:hAnsiTheme="minorEastAsia" w:eastAsiaTheme="minorEastAsia"/>
          <w:color w:val="auto"/>
          <w:szCs w:val="21"/>
          <w:highlight w:val="none"/>
          <w:lang w:val="en-US" w:eastAsia="zh-CN"/>
        </w:rPr>
        <w:t>内全部</w:t>
      </w:r>
      <w:r>
        <w:rPr>
          <w:rFonts w:hint="eastAsia" w:asciiTheme="minorEastAsia" w:hAnsiTheme="minorEastAsia" w:eastAsiaTheme="minorEastAsia"/>
          <w:color w:val="auto"/>
          <w:szCs w:val="21"/>
          <w:highlight w:val="none"/>
        </w:rPr>
        <w:t>工作内容所需费用</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包括但不限于</w:t>
      </w:r>
      <w:r>
        <w:rPr>
          <w:rFonts w:hint="eastAsia" w:asciiTheme="minorEastAsia" w:hAnsiTheme="minorEastAsia" w:eastAsiaTheme="minorEastAsia"/>
          <w:bCs/>
          <w:color w:val="auto"/>
          <w:highlight w:val="none"/>
        </w:rPr>
        <w:t>乙方为完成本项目服务所必需的来往深圳处理事务的差旅费、邀请专家费用(专家由甲方根据项目情况选定)、乙方应缴纳的各种税费</w:t>
      </w:r>
      <w:r>
        <w:rPr>
          <w:rFonts w:hint="eastAsia" w:asciiTheme="minorEastAsia" w:hAnsiTheme="minorEastAsia" w:eastAsiaTheme="minorEastAsia"/>
          <w:bCs/>
          <w:color w:val="auto"/>
          <w:highlight w:val="none"/>
          <w:lang w:eastAsia="zh-CN"/>
        </w:rPr>
        <w:t>、</w:t>
      </w:r>
      <w:r>
        <w:rPr>
          <w:rFonts w:hint="eastAsia" w:asciiTheme="minorEastAsia" w:hAnsiTheme="minorEastAsia" w:eastAsiaTheme="minorEastAsia"/>
          <w:bCs/>
          <w:color w:val="auto"/>
          <w:highlight w:val="none"/>
          <w:lang w:val="en-US" w:eastAsia="zh-CN"/>
        </w:rPr>
        <w:t>人工费、物料费等</w:t>
      </w:r>
      <w:r>
        <w:rPr>
          <w:rFonts w:hint="eastAsia" w:asciiTheme="minorEastAsia" w:hAnsiTheme="minorEastAsia" w:eastAsiaTheme="minorEastAsia"/>
          <w:color w:val="auto"/>
          <w:szCs w:val="21"/>
          <w:highlight w:val="none"/>
        </w:rPr>
        <w:t>一切费用</w:t>
      </w:r>
      <w:r>
        <w:rPr>
          <w:rFonts w:hint="eastAsia" w:asciiTheme="minorEastAsia" w:hAnsiTheme="minorEastAsia" w:eastAsiaTheme="minorEastAsia"/>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6.2 本合同费用</w:t>
      </w:r>
      <w:r>
        <w:rPr>
          <w:rFonts w:hint="eastAsia" w:asciiTheme="minorEastAsia" w:hAnsiTheme="minorEastAsia" w:eastAsiaTheme="minorEastAsia"/>
          <w:color w:val="auto"/>
          <w:szCs w:val="21"/>
          <w:highlight w:val="none"/>
        </w:rPr>
        <w:t>分基本酬金（占</w:t>
      </w:r>
      <w:r>
        <w:rPr>
          <w:rFonts w:hint="eastAsia" w:asciiTheme="minorEastAsia" w:hAnsiTheme="minorEastAsia" w:eastAsiaTheme="minorEastAsia"/>
          <w:color w:val="auto"/>
          <w:szCs w:val="21"/>
          <w:highlight w:val="none"/>
          <w:lang w:val="en-US" w:eastAsia="zh-CN"/>
        </w:rPr>
        <w:t>总价款</w:t>
      </w:r>
      <w:r>
        <w:rPr>
          <w:rFonts w:hint="eastAsia" w:asciiTheme="minorEastAsia" w:hAnsiTheme="minorEastAsia" w:eastAsiaTheme="minorEastAsia"/>
          <w:color w:val="auto"/>
          <w:szCs w:val="21"/>
          <w:highlight w:val="none"/>
        </w:rPr>
        <w:t>90％）和绩效酬金（占</w:t>
      </w:r>
      <w:r>
        <w:rPr>
          <w:rFonts w:hint="eastAsia" w:asciiTheme="minorEastAsia" w:hAnsiTheme="minorEastAsia" w:eastAsiaTheme="minorEastAsia"/>
          <w:color w:val="auto"/>
          <w:szCs w:val="21"/>
          <w:highlight w:val="none"/>
          <w:lang w:val="en-US" w:eastAsia="zh-CN"/>
        </w:rPr>
        <w:t>总价款</w:t>
      </w:r>
      <w:r>
        <w:rPr>
          <w:rFonts w:hint="eastAsia" w:asciiTheme="minorEastAsia" w:hAnsiTheme="minorEastAsia" w:eastAsiaTheme="minorEastAsia"/>
          <w:color w:val="auto"/>
          <w:szCs w:val="21"/>
          <w:highlight w:val="none"/>
        </w:rPr>
        <w:t>10％）两部分。</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kern w:val="2"/>
          <w:sz w:val="21"/>
          <w:szCs w:val="21"/>
          <w:highlight w:val="none"/>
          <w:lang w:val="en-US" w:eastAsia="zh-CN" w:bidi="ar-SA"/>
        </w:rPr>
        <w:t>6</w:t>
      </w:r>
      <w:r>
        <w:rPr>
          <w:rFonts w:hint="eastAsia" w:asciiTheme="minorEastAsia" w:hAnsiTheme="minorEastAsia" w:eastAsiaTheme="minorEastAsia"/>
          <w:color w:val="auto"/>
          <w:szCs w:val="21"/>
          <w:highlight w:val="none"/>
          <w:lang w:val="en-US" w:eastAsia="zh-CN"/>
        </w:rPr>
        <w:t>.3 基本酬金支付：</w:t>
      </w:r>
      <w:r>
        <w:rPr>
          <w:rFonts w:hint="eastAsia" w:asciiTheme="minorEastAsia" w:hAnsiTheme="minorEastAsia" w:eastAsiaTheme="minorEastAsia"/>
          <w:color w:val="auto"/>
          <w:szCs w:val="21"/>
          <w:highlight w:val="none"/>
        </w:rPr>
        <w:t>本合同不设预付款，基本酬金支付节点如下：</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（1）</w:t>
      </w:r>
      <w:r>
        <w:rPr>
          <w:rFonts w:hint="eastAsia" w:asciiTheme="minorEastAsia" w:hAnsiTheme="minorEastAsia" w:eastAsiaTheme="minorEastAsia" w:cstheme="minorEastAsia"/>
          <w:b w:val="0"/>
          <w:bCs/>
          <w:color w:val="auto"/>
          <w:sz w:val="21"/>
          <w:szCs w:val="21"/>
          <w:highlight w:val="none"/>
        </w:rPr>
        <w:t>在乙方完成专家工作坊并得到甲方的认可，甲方在收到乙方申请付款报告20个工作日内，支付合同基本酬金的30%</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lang w:eastAsia="zh-CN"/>
        </w:rPr>
      </w:pP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stheme="minorEastAsia"/>
          <w:b w:val="0"/>
          <w:bCs/>
          <w:color w:val="auto"/>
          <w:sz w:val="21"/>
          <w:szCs w:val="21"/>
          <w:highlight w:val="none"/>
        </w:rPr>
        <w:t>乙方完成设计招标工作后，甲方在收到乙方申请付款报告20个工作日内，支付至合同基本酬金的80%</w:t>
      </w:r>
      <w:r>
        <w:rPr>
          <w:rFonts w:hint="eastAsia" w:asciiTheme="minorEastAsia" w:hAnsiTheme="minorEastAsia" w:eastAsiaTheme="minorEastAsia"/>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6.4 绩效酬金的支付：乙方工作全部完成后，甲方对乙方履约情况进行</w:t>
      </w:r>
      <w:r>
        <w:rPr>
          <w:rFonts w:hint="eastAsia" w:asciiTheme="minorEastAsia" w:hAnsiTheme="minorEastAsia" w:eastAsiaTheme="minorEastAsia"/>
          <w:color w:val="auto"/>
          <w:szCs w:val="21"/>
          <w:highlight w:val="none"/>
        </w:rPr>
        <w:t>最终履约评价</w:t>
      </w:r>
      <w:r>
        <w:rPr>
          <w:rFonts w:hint="eastAsia" w:asciiTheme="minorEastAsia" w:hAnsiTheme="minorEastAsia" w:eastAsiaTheme="minorEastAsia"/>
          <w:color w:val="auto"/>
          <w:szCs w:val="21"/>
          <w:highlight w:val="none"/>
          <w:lang w:val="en-US" w:eastAsia="zh-CN"/>
        </w:rPr>
        <w:t>，并根据</w:t>
      </w:r>
      <w:r>
        <w:rPr>
          <w:rFonts w:hint="eastAsia" w:asciiTheme="minorEastAsia" w:hAnsiTheme="minorEastAsia" w:eastAsiaTheme="minorEastAsia"/>
          <w:color w:val="auto"/>
          <w:szCs w:val="21"/>
          <w:highlight w:val="none"/>
        </w:rPr>
        <w:t>评价结果</w:t>
      </w:r>
      <w:r>
        <w:rPr>
          <w:rFonts w:hint="eastAsia" w:asciiTheme="minorEastAsia" w:hAnsiTheme="minorEastAsia" w:eastAsiaTheme="minorEastAsia"/>
          <w:color w:val="auto"/>
          <w:szCs w:val="21"/>
          <w:highlight w:val="none"/>
          <w:lang w:val="en-US" w:eastAsia="zh-CN"/>
        </w:rPr>
        <w:t>支付绩效酬金</w:t>
      </w:r>
      <w:r>
        <w:rPr>
          <w:rFonts w:hint="eastAsia" w:asciiTheme="minorEastAsia" w:hAnsiTheme="minorEastAsia" w:eastAsiaTheme="minorEastAsia"/>
          <w:color w:val="auto"/>
          <w:szCs w:val="21"/>
          <w:highlight w:val="none"/>
        </w:rPr>
        <w:t>。履约评价评分采用百分制，综合考评结果分为优秀（评分≥90分）、良好（80≤评分&lt;90分）、中等（70≤评分&lt;80分）、合格（60≤评分&lt;70分）、不合格(评分&lt;60分)五个等级，对应的绩效酬金支付比例分别为100%、100%、</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0%、0%。</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 xml:space="preserve">6.5 </w:t>
      </w:r>
      <w:r>
        <w:rPr>
          <w:rFonts w:hint="eastAsia" w:asciiTheme="minorEastAsia" w:hAnsiTheme="minorEastAsia" w:eastAsiaTheme="minorEastAsia"/>
          <w:color w:val="auto"/>
          <w:szCs w:val="21"/>
          <w:highlight w:val="none"/>
        </w:rPr>
        <w:t>最终结算价格以《深圳</w:t>
      </w:r>
      <w:r>
        <w:rPr>
          <w:rFonts w:hint="eastAsia" w:asciiTheme="minorEastAsia" w:hAnsiTheme="minorEastAsia" w:eastAsiaTheme="minorEastAsia"/>
          <w:color w:val="auto"/>
          <w:szCs w:val="21"/>
          <w:highlight w:val="none"/>
          <w:lang w:eastAsia="zh-CN"/>
        </w:rPr>
        <w:t>市财政预算和投资评审中心</w:t>
      </w:r>
      <w:r>
        <w:rPr>
          <w:rFonts w:hint="eastAsia" w:asciiTheme="minorEastAsia" w:hAnsiTheme="minorEastAsia" w:eastAsiaTheme="minorEastAsia"/>
          <w:color w:val="auto"/>
          <w:szCs w:val="21"/>
          <w:highlight w:val="none"/>
        </w:rPr>
        <w:t>评审报告》的评审结论为准,余款待审计后一次性付清。</w:t>
      </w:r>
      <w:r>
        <w:rPr>
          <w:rFonts w:hint="eastAsia" w:asciiTheme="minorEastAsia" w:hAnsiTheme="minorEastAsia" w:eastAsiaTheme="minorEastAsia"/>
          <w:color w:val="auto"/>
          <w:szCs w:val="21"/>
          <w:highlight w:val="none"/>
          <w:lang w:val="en-US" w:eastAsia="zh-CN"/>
        </w:rPr>
        <w:t>若评审结论确定的最终价格低于合同总价款，乙方应在十个工作日内将收到的超出部分价款退回甲方。</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6.6 上述费用均须相关政府部门划拨款项到位后支付，甲方不承担因相关政府部门审批或拨款延迟造成延迟付款的违约责任。</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lang w:val="en-US" w:eastAsia="zh-CN"/>
        </w:rPr>
        <w:t>6</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 xml:space="preserve">7 </w:t>
      </w:r>
      <w:r>
        <w:rPr>
          <w:rFonts w:hint="eastAsia" w:asciiTheme="minorEastAsia" w:hAnsiTheme="minorEastAsia" w:eastAsiaTheme="minorEastAsia"/>
          <w:color w:val="auto"/>
          <w:szCs w:val="21"/>
          <w:highlight w:val="none"/>
        </w:rPr>
        <w:t>支付方式：每次付款前，乙方需提交符合甲方要求的付款申请资料</w:t>
      </w:r>
      <w:r>
        <w:rPr>
          <w:rFonts w:hint="eastAsia" w:asciiTheme="minorEastAsia" w:hAnsiTheme="minorEastAsia" w:eastAsiaTheme="minorEastAsia"/>
          <w:color w:val="auto"/>
          <w:szCs w:val="21"/>
          <w:highlight w:val="none"/>
          <w:lang w:eastAsia="zh-CN"/>
        </w:rPr>
        <w:t>，在收到乙方提供的</w:t>
      </w:r>
      <w:r>
        <w:rPr>
          <w:rFonts w:hint="eastAsia" w:asciiTheme="minorEastAsia" w:hAnsiTheme="minorEastAsia" w:eastAsiaTheme="minorEastAsia"/>
          <w:color w:val="auto"/>
          <w:szCs w:val="21"/>
          <w:highlight w:val="none"/>
        </w:rPr>
        <w:t>付款申请资料</w:t>
      </w:r>
      <w:r>
        <w:rPr>
          <w:rFonts w:hint="eastAsia" w:asciiTheme="minorEastAsia" w:hAnsiTheme="minorEastAsia" w:eastAsiaTheme="minorEastAsia"/>
          <w:color w:val="auto"/>
          <w:szCs w:val="21"/>
          <w:highlight w:val="none"/>
          <w:lang w:eastAsia="zh-CN"/>
        </w:rPr>
        <w:t>后，所有费用以</w:t>
      </w:r>
      <w:r>
        <w:rPr>
          <w:rFonts w:hint="eastAsia" w:asciiTheme="minorEastAsia" w:hAnsiTheme="minorEastAsia" w:eastAsiaTheme="minorEastAsia"/>
          <w:color w:val="auto"/>
          <w:szCs w:val="21"/>
          <w:highlight w:val="none"/>
        </w:rPr>
        <w:t>银行转</w:t>
      </w:r>
      <w:r>
        <w:rPr>
          <w:rFonts w:asciiTheme="minorEastAsia" w:hAnsiTheme="minorEastAsia" w:eastAsiaTheme="minorEastAsia"/>
          <w:color w:val="auto"/>
          <w:szCs w:val="21"/>
          <w:highlight w:val="none"/>
        </w:rPr>
        <w:t>账</w:t>
      </w:r>
      <w:r>
        <w:rPr>
          <w:rFonts w:hint="eastAsia" w:asciiTheme="minorEastAsia" w:hAnsiTheme="minorEastAsia" w:eastAsiaTheme="minorEastAsia"/>
          <w:color w:val="auto"/>
          <w:szCs w:val="21"/>
          <w:highlight w:val="none"/>
          <w:lang w:eastAsia="zh-CN"/>
        </w:rPr>
        <w:t>的</w:t>
      </w:r>
      <w:r>
        <w:rPr>
          <w:rFonts w:hint="eastAsia" w:asciiTheme="minorEastAsia" w:hAnsiTheme="minorEastAsia" w:eastAsiaTheme="minorEastAsia"/>
          <w:color w:val="auto"/>
          <w:szCs w:val="21"/>
          <w:highlight w:val="none"/>
        </w:rPr>
        <w:t>方式</w:t>
      </w:r>
      <w:r>
        <w:rPr>
          <w:rFonts w:hint="eastAsia" w:asciiTheme="minorEastAsia" w:hAnsiTheme="minorEastAsia" w:eastAsiaTheme="minorEastAsia"/>
          <w:color w:val="auto"/>
          <w:szCs w:val="21"/>
          <w:highlight w:val="none"/>
          <w:lang w:eastAsia="zh-CN"/>
        </w:rPr>
        <w:t>予以支付</w:t>
      </w:r>
      <w:r>
        <w:rPr>
          <w:rFonts w:hint="eastAsia" w:asciiTheme="minorEastAsia" w:hAnsiTheme="minorEastAsia" w:eastAsiaTheme="minorEastAsia"/>
          <w:color w:val="auto"/>
          <w:szCs w:val="21"/>
          <w:highlight w:val="none"/>
        </w:rPr>
        <w:t xml:space="preserve">。 </w:t>
      </w:r>
      <w:bookmarkStart w:id="6" w:name="_Toc93808662"/>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ajorEastAsia" w:hAnsiTheme="majorEastAsia" w:eastAsiaTheme="majorEastAsia"/>
          <w:b/>
          <w:color w:val="auto"/>
          <w:highlight w:val="none"/>
          <w:lang w:val="en-US" w:eastAsia="zh-CN"/>
        </w:rPr>
      </w:pPr>
      <w:r>
        <w:rPr>
          <w:rFonts w:hint="eastAsia" w:asciiTheme="majorEastAsia" w:hAnsiTheme="majorEastAsia" w:eastAsiaTheme="majorEastAsia"/>
          <w:b/>
          <w:color w:val="auto"/>
          <w:highlight w:val="none"/>
          <w:lang w:val="en-US" w:eastAsia="zh-CN"/>
        </w:rPr>
        <w:t>第七条  甲方的权利和义务</w:t>
      </w:r>
      <w:bookmarkEnd w:id="6"/>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对服务过程的决策、控制、实施等环节实行全面管理，协调和监督工作开展，</w:t>
      </w:r>
      <w:r>
        <w:rPr>
          <w:rFonts w:hint="eastAsia" w:asciiTheme="minorEastAsia" w:hAnsiTheme="minorEastAsia" w:eastAsiaTheme="minorEastAsia"/>
          <w:color w:val="auto"/>
          <w:highlight w:val="none"/>
        </w:rPr>
        <w:t>审查成果</w:t>
      </w:r>
      <w:r>
        <w:rPr>
          <w:rFonts w:hint="eastAsia" w:asciiTheme="minorEastAsia" w:hAnsiTheme="minorEastAsia" w:eastAsiaTheme="minorEastAsia"/>
          <w:color w:val="auto"/>
          <w:highlight w:val="none"/>
          <w:lang w:val="en-US" w:eastAsia="zh-CN"/>
        </w:rPr>
        <w:t>文件</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检查乙方</w:t>
      </w:r>
      <w:r>
        <w:rPr>
          <w:rFonts w:hint="eastAsia" w:asciiTheme="minorEastAsia" w:hAnsiTheme="minorEastAsia" w:eastAsiaTheme="minorEastAsia"/>
          <w:color w:val="auto"/>
          <w:highlight w:val="none"/>
          <w:lang w:val="en-US" w:eastAsia="zh-CN"/>
        </w:rPr>
        <w:t>人员</w:t>
      </w:r>
      <w:r>
        <w:rPr>
          <w:rFonts w:hint="eastAsia" w:asciiTheme="minorEastAsia" w:hAnsiTheme="minorEastAsia" w:eastAsiaTheme="minorEastAsia"/>
          <w:color w:val="auto"/>
          <w:highlight w:val="none"/>
        </w:rPr>
        <w:t>组成</w:t>
      </w:r>
      <w:r>
        <w:rPr>
          <w:rFonts w:hint="eastAsia" w:asciiTheme="minorEastAsia" w:hAnsiTheme="minorEastAsia" w:eastAsiaTheme="minorEastAsia"/>
          <w:color w:val="auto"/>
          <w:szCs w:val="21"/>
          <w:highlight w:val="none"/>
        </w:rPr>
        <w:t>和人员到位情况，考核主要</w:t>
      </w:r>
      <w:r>
        <w:rPr>
          <w:rFonts w:hint="eastAsia" w:asciiTheme="minorEastAsia" w:hAnsiTheme="minorEastAsia" w:eastAsiaTheme="minorEastAsia"/>
          <w:color w:val="auto"/>
          <w:szCs w:val="21"/>
          <w:highlight w:val="none"/>
          <w:lang w:eastAsia="zh-CN"/>
        </w:rPr>
        <w:t>人员</w:t>
      </w:r>
      <w:r>
        <w:rPr>
          <w:rFonts w:hint="eastAsia" w:asciiTheme="minorEastAsia" w:hAnsiTheme="minorEastAsia" w:eastAsiaTheme="minorEastAsia"/>
          <w:color w:val="auto"/>
          <w:szCs w:val="21"/>
          <w:highlight w:val="none"/>
        </w:rPr>
        <w:t>的工作能力，如因人力、能力不足致使工作预计不能按计划完成时，可要求乙方增加或替换相应的人员，乙方不得拒绝。</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检查乙方根据项目情况配备及外请的专家团队、聘请的专家是否符合甲方的要求</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并</w:t>
      </w:r>
      <w:r>
        <w:rPr>
          <w:rFonts w:hint="eastAsia" w:asciiTheme="minorEastAsia" w:hAnsiTheme="minorEastAsia" w:eastAsiaTheme="minorEastAsia"/>
          <w:color w:val="auto"/>
          <w:szCs w:val="21"/>
          <w:highlight w:val="none"/>
          <w:lang w:val="en-US" w:eastAsia="zh-CN"/>
        </w:rPr>
        <w:t>要求乙方更换不符合要求的专家、专家团队</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4</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负责提供</w:t>
      </w:r>
      <w:r>
        <w:rPr>
          <w:rFonts w:hint="eastAsia" w:asciiTheme="minorEastAsia" w:hAnsiTheme="minorEastAsia" w:eastAsiaTheme="minorEastAsia"/>
          <w:color w:val="auto"/>
          <w:szCs w:val="21"/>
          <w:highlight w:val="none"/>
          <w:lang w:val="en-US" w:eastAsia="zh-CN"/>
        </w:rPr>
        <w:t>乙方开展工作</w:t>
      </w:r>
      <w:r>
        <w:rPr>
          <w:rFonts w:hint="eastAsia" w:asciiTheme="minorEastAsia" w:hAnsiTheme="minorEastAsia" w:eastAsiaTheme="minorEastAsia"/>
          <w:color w:val="auto"/>
          <w:szCs w:val="21"/>
          <w:highlight w:val="none"/>
        </w:rPr>
        <w:t>所需要的基础资料。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指派专人与乙方</w:t>
      </w:r>
      <w:r>
        <w:rPr>
          <w:rFonts w:hint="eastAsia" w:asciiTheme="minorEastAsia" w:hAnsiTheme="minorEastAsia" w:eastAsiaTheme="minorEastAsia"/>
          <w:color w:val="auto"/>
          <w:szCs w:val="21"/>
          <w:highlight w:val="none"/>
          <w:lang w:val="en-US" w:eastAsia="zh-CN"/>
        </w:rPr>
        <w:t>沟通</w:t>
      </w:r>
      <w:r>
        <w:rPr>
          <w:rFonts w:hint="eastAsia" w:asciiTheme="minorEastAsia" w:hAnsiTheme="minorEastAsia" w:eastAsiaTheme="minorEastAsia"/>
          <w:color w:val="auto"/>
          <w:szCs w:val="21"/>
          <w:highlight w:val="none"/>
        </w:rPr>
        <w:t>联系，及时协调有关问题。</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按合同</w:t>
      </w:r>
      <w:r>
        <w:rPr>
          <w:rFonts w:asciiTheme="minorEastAsia" w:hAnsiTheme="minorEastAsia" w:eastAsiaTheme="minorEastAsia"/>
          <w:color w:val="auto"/>
          <w:szCs w:val="21"/>
          <w:highlight w:val="none"/>
        </w:rPr>
        <w:t>约定</w:t>
      </w:r>
      <w:r>
        <w:rPr>
          <w:rFonts w:hint="eastAsia" w:asciiTheme="minorEastAsia" w:hAnsiTheme="minorEastAsia" w:eastAsiaTheme="minorEastAsia"/>
          <w:color w:val="auto"/>
          <w:szCs w:val="21"/>
          <w:highlight w:val="none"/>
        </w:rPr>
        <w:t>支付合同费用。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w:t>
      </w:r>
      <w:r>
        <w:rPr>
          <w:rFonts w:asciiTheme="minorEastAsia" w:hAnsiTheme="minorEastAsia" w:eastAsiaTheme="minorEastAsia"/>
          <w:color w:val="auto"/>
          <w:szCs w:val="21"/>
          <w:highlight w:val="none"/>
        </w:rPr>
        <w:t>7</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甲方根据本项目需要，提出本合同范围以外的工作内容，乙方应予以执行，所发生费用，由双方协商</w:t>
      </w:r>
      <w:r>
        <w:rPr>
          <w:rFonts w:hint="eastAsia" w:asciiTheme="minorEastAsia" w:hAnsiTheme="minorEastAsia" w:eastAsiaTheme="minorEastAsia"/>
          <w:color w:val="auto"/>
          <w:szCs w:val="21"/>
          <w:highlight w:val="none"/>
          <w:lang w:val="en-US" w:eastAsia="zh-CN"/>
        </w:rPr>
        <w:t>解决</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asciiTheme="majorEastAsia" w:hAnsiTheme="majorEastAsia" w:eastAsiaTheme="majorEastAsia"/>
          <w:b/>
          <w:color w:val="auto"/>
          <w:highlight w:val="none"/>
        </w:rPr>
      </w:pPr>
      <w:bookmarkStart w:id="7" w:name="_Toc93808663"/>
      <w:r>
        <w:rPr>
          <w:rFonts w:hint="eastAsia" w:asciiTheme="majorEastAsia" w:hAnsiTheme="majorEastAsia" w:eastAsiaTheme="majorEastAsia"/>
          <w:b/>
          <w:color w:val="auto"/>
          <w:highlight w:val="none"/>
          <w:lang w:val="en-US" w:eastAsia="zh-CN"/>
        </w:rPr>
        <w:t xml:space="preserve">第八条  </w:t>
      </w:r>
      <w:r>
        <w:rPr>
          <w:rFonts w:hint="eastAsia" w:asciiTheme="majorEastAsia" w:hAnsiTheme="majorEastAsia" w:eastAsiaTheme="majorEastAsia"/>
          <w:b/>
          <w:color w:val="auto"/>
          <w:highlight w:val="none"/>
        </w:rPr>
        <w:t>乙方的权利和义务</w:t>
      </w:r>
      <w:bookmarkEnd w:id="7"/>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highlight w:val="none"/>
        </w:rPr>
      </w:pPr>
      <w:r>
        <w:rPr>
          <w:rFonts w:hint="eastAsia" w:asciiTheme="minorEastAsia" w:hAnsiTheme="minorEastAsia" w:eastAsiaTheme="minorEastAsia"/>
          <w:color w:val="auto"/>
          <w:szCs w:val="21"/>
          <w:highlight w:val="none"/>
        </w:rPr>
        <w:t>8.1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乙方收到甲方提供的依据文件及基础资料后，应仔细阅读并准确理解资料内容，如发现任何不明晰或错误，应在</w:t>
      </w:r>
      <w:r>
        <w:rPr>
          <w:rFonts w:hint="eastAsia" w:asciiTheme="minorEastAsia" w:hAnsiTheme="minorEastAsia" w:eastAsiaTheme="minorEastAsia"/>
          <w:color w:val="auto"/>
          <w:szCs w:val="21"/>
          <w:highlight w:val="none"/>
          <w:lang w:val="en-US" w:eastAsia="zh-CN"/>
        </w:rPr>
        <w:t>5个工作</w:t>
      </w:r>
      <w:r>
        <w:rPr>
          <w:rFonts w:hint="eastAsia" w:asciiTheme="minorEastAsia" w:hAnsiTheme="minorEastAsia" w:eastAsiaTheme="minorEastAsia"/>
          <w:color w:val="auto"/>
          <w:szCs w:val="21"/>
          <w:highlight w:val="none"/>
        </w:rPr>
        <w:t>日内向甲方提出书面意见</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highlight w:val="none"/>
          <w:lang w:val="en-US" w:eastAsia="zh-CN"/>
        </w:rPr>
        <w:t>逾期视为乙方对甲方提供的资料无意见，由此造成的损失由乙方承担</w:t>
      </w:r>
      <w:r>
        <w:rPr>
          <w:rFonts w:hint="eastAsia" w:asciiTheme="minorEastAsia" w:hAnsiTheme="minorEastAsia" w:eastAsiaTheme="minorEastAsia"/>
          <w:color w:val="auto"/>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w:t>
      </w:r>
      <w:r>
        <w:rPr>
          <w:rFonts w:hint="eastAsia" w:asciiTheme="minorEastAsia" w:hAnsiTheme="minorEastAsia" w:eastAsiaTheme="minorEastAsia"/>
          <w:color w:val="auto"/>
          <w:szCs w:val="21"/>
          <w:highlight w:val="none"/>
          <w:lang w:val="en-US" w:eastAsia="zh-CN"/>
        </w:rPr>
        <w:t>需</w:t>
      </w:r>
      <w:r>
        <w:rPr>
          <w:rFonts w:hint="eastAsia" w:asciiTheme="minorEastAsia" w:hAnsiTheme="minorEastAsia" w:eastAsiaTheme="minorEastAsia"/>
          <w:color w:val="auto"/>
          <w:szCs w:val="21"/>
          <w:highlight w:val="none"/>
        </w:rPr>
        <w:t>依据甲方提供的文件、基础资料及</w:t>
      </w:r>
      <w:r>
        <w:rPr>
          <w:rFonts w:hint="eastAsia" w:asciiTheme="minorEastAsia" w:hAnsiTheme="minorEastAsia" w:eastAsiaTheme="minorEastAsia"/>
          <w:color w:val="auto"/>
          <w:szCs w:val="21"/>
          <w:highlight w:val="none"/>
          <w:lang w:val="en-US" w:eastAsia="zh-CN"/>
        </w:rPr>
        <w:t>甲方要求</w:t>
      </w:r>
      <w:r>
        <w:rPr>
          <w:rFonts w:hint="eastAsia" w:asciiTheme="minorEastAsia" w:hAnsiTheme="minorEastAsia" w:eastAsiaTheme="minorEastAsia"/>
          <w:color w:val="auto"/>
          <w:szCs w:val="21"/>
          <w:highlight w:val="none"/>
        </w:rPr>
        <w:t>完成工作坊策划等一系列工作，并确保工作质量。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8.3</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乙方对工作深度和质量承担保证责任，工作深度必须满足甲方后续工作的要求，对成果文件的正确性、完备性、可靠性、可操作性负责，甲方或政府部门及相关单位组织的审查并不减免</w:t>
      </w:r>
      <w:r>
        <w:rPr>
          <w:rFonts w:hint="eastAsia" w:asciiTheme="minorEastAsia" w:hAnsiTheme="minorEastAsia" w:eastAsiaTheme="minorEastAsia"/>
          <w:color w:val="auto"/>
          <w:szCs w:val="21"/>
          <w:highlight w:val="none"/>
          <w:lang w:val="en-US" w:eastAsia="zh-CN"/>
        </w:rPr>
        <w:t>乙方</w:t>
      </w:r>
      <w:r>
        <w:rPr>
          <w:rFonts w:hint="eastAsia" w:ascii="宋体" w:hAnsi="宋体"/>
          <w:color w:val="auto"/>
          <w:szCs w:val="21"/>
          <w:highlight w:val="none"/>
        </w:rPr>
        <w:t>根据本合同规定应承担的责任</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8.4</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乙方根据项目情况配备及外请的专家团队、聘请的专家应符合甲方的要求。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8.5</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乙方必须随时与甲方保持密切联系及交流，提出有效的工作思路及建议，不得以专利和知识产权</w:t>
      </w:r>
      <w:r>
        <w:rPr>
          <w:rFonts w:hint="eastAsia" w:asciiTheme="minorEastAsia" w:hAnsiTheme="minorEastAsia" w:eastAsiaTheme="minorEastAsia"/>
          <w:color w:val="auto"/>
          <w:szCs w:val="21"/>
          <w:highlight w:val="none"/>
          <w:lang w:val="en-US" w:eastAsia="zh-CN"/>
        </w:rPr>
        <w:t>保护</w:t>
      </w:r>
      <w:r>
        <w:rPr>
          <w:rFonts w:hint="eastAsia" w:asciiTheme="minorEastAsia" w:hAnsiTheme="minorEastAsia" w:eastAsiaTheme="minorEastAsia"/>
          <w:color w:val="auto"/>
          <w:szCs w:val="21"/>
          <w:highlight w:val="none"/>
          <w:lang w:eastAsia="zh-CN"/>
        </w:rPr>
        <w:t>等理由</w:t>
      </w:r>
      <w:r>
        <w:rPr>
          <w:rFonts w:hint="eastAsia" w:asciiTheme="minorEastAsia" w:hAnsiTheme="minorEastAsia" w:eastAsiaTheme="minorEastAsia"/>
          <w:color w:val="auto"/>
          <w:szCs w:val="21"/>
          <w:highlight w:val="none"/>
        </w:rPr>
        <w:t>拒绝配合。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乙方</w:t>
      </w:r>
      <w:r>
        <w:rPr>
          <w:rFonts w:hint="eastAsia" w:asciiTheme="minorEastAsia" w:hAnsiTheme="minorEastAsia" w:eastAsiaTheme="minorEastAsia"/>
          <w:color w:val="auto"/>
          <w:szCs w:val="21"/>
          <w:highlight w:val="none"/>
          <w:lang w:val="en-US" w:eastAsia="zh-CN"/>
        </w:rPr>
        <w:t>应</w:t>
      </w:r>
      <w:r>
        <w:rPr>
          <w:rFonts w:hint="eastAsia" w:asciiTheme="minorEastAsia" w:hAnsiTheme="minorEastAsia" w:eastAsiaTheme="minorEastAsia"/>
          <w:color w:val="auto"/>
          <w:szCs w:val="21"/>
          <w:highlight w:val="none"/>
        </w:rPr>
        <w:t>参与甲方组织的与本工程有关的考察、调研</w:t>
      </w:r>
      <w:r>
        <w:rPr>
          <w:rFonts w:hint="eastAsia" w:asciiTheme="minorEastAsia" w:hAnsiTheme="minorEastAsia" w:eastAsiaTheme="minorEastAsia"/>
          <w:color w:val="auto"/>
          <w:szCs w:val="21"/>
          <w:highlight w:val="none"/>
          <w:lang w:val="en-US" w:eastAsia="zh-CN"/>
        </w:rPr>
        <w:t>等活动</w:t>
      </w:r>
      <w:r>
        <w:rPr>
          <w:rFonts w:hint="eastAsia" w:asciiTheme="minorEastAsia" w:hAnsiTheme="minorEastAsia" w:eastAsiaTheme="minorEastAsia"/>
          <w:color w:val="auto"/>
          <w:szCs w:val="21"/>
          <w:highlight w:val="none"/>
        </w:rPr>
        <w:t>，费用自理。</w:t>
      </w:r>
      <w:bookmarkStart w:id="8" w:name="_Toc93808664"/>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8.</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乙方无充分理由不得中途更换团队成员；确需更换须以书面形式征得甲方</w:t>
      </w:r>
      <w:r>
        <w:rPr>
          <w:rFonts w:asciiTheme="minorEastAsia" w:hAnsiTheme="minorEastAsia" w:eastAsiaTheme="minorEastAsia"/>
          <w:color w:val="auto"/>
          <w:szCs w:val="21"/>
          <w:highlight w:val="none"/>
        </w:rPr>
        <w:t>书面</w:t>
      </w:r>
      <w:r>
        <w:rPr>
          <w:rFonts w:hint="eastAsia" w:asciiTheme="minorEastAsia" w:hAnsiTheme="minorEastAsia" w:eastAsiaTheme="minorEastAsia"/>
          <w:color w:val="auto"/>
          <w:szCs w:val="21"/>
          <w:highlight w:val="none"/>
        </w:rPr>
        <w:t>同意。如申请更换项目负责人，甲方将对更换人选进行面试直至满意</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若乙方</w:t>
      </w:r>
      <w:r>
        <w:rPr>
          <w:rFonts w:hint="eastAsia" w:asciiTheme="minorEastAsia" w:hAnsiTheme="minorEastAsia" w:eastAsiaTheme="minorEastAsia"/>
          <w:color w:val="auto"/>
          <w:highlight w:val="none"/>
          <w:lang w:val="en-US" w:eastAsia="zh-CN"/>
        </w:rPr>
        <w:t>在经甲方催告后</w:t>
      </w:r>
      <w:r>
        <w:rPr>
          <w:rFonts w:hint="eastAsia" w:asciiTheme="minorEastAsia" w:hAnsiTheme="minorEastAsia" w:eastAsiaTheme="minorEastAsia"/>
          <w:color w:val="auto"/>
          <w:highlight w:val="none"/>
          <w:u w:val="single"/>
          <w:lang w:val="en-US" w:eastAsia="zh-CN"/>
        </w:rPr>
        <w:t>5</w:t>
      </w:r>
      <w:r>
        <w:rPr>
          <w:rFonts w:hint="eastAsia" w:asciiTheme="minorEastAsia" w:hAnsiTheme="minorEastAsia" w:eastAsiaTheme="minorEastAsia"/>
          <w:color w:val="auto"/>
          <w:highlight w:val="none"/>
          <w:lang w:val="en-US" w:eastAsia="zh-CN"/>
        </w:rPr>
        <w:t>日内</w:t>
      </w:r>
      <w:r>
        <w:rPr>
          <w:rFonts w:hint="eastAsia" w:asciiTheme="minorEastAsia" w:hAnsiTheme="minorEastAsia" w:eastAsiaTheme="minorEastAsia"/>
          <w:color w:val="auto"/>
          <w:szCs w:val="21"/>
          <w:highlight w:val="none"/>
        </w:rPr>
        <w:t>无法派出合格人选，甲方有权</w:t>
      </w:r>
      <w:r>
        <w:rPr>
          <w:rFonts w:hint="eastAsia" w:asciiTheme="minorEastAsia" w:hAnsiTheme="minorEastAsia" w:eastAsiaTheme="minorEastAsia"/>
          <w:color w:val="auto"/>
          <w:szCs w:val="21"/>
          <w:highlight w:val="none"/>
          <w:lang w:val="en-US" w:eastAsia="zh-CN"/>
        </w:rPr>
        <w:t>解除</w:t>
      </w:r>
      <w:r>
        <w:rPr>
          <w:rFonts w:hint="eastAsia" w:asciiTheme="minorEastAsia" w:hAnsiTheme="minorEastAsia" w:eastAsiaTheme="minorEastAsia"/>
          <w:color w:val="auto"/>
          <w:szCs w:val="21"/>
          <w:highlight w:val="none"/>
        </w:rPr>
        <w:t>合同。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8.</w:t>
      </w:r>
      <w:r>
        <w:rPr>
          <w:rFonts w:hint="eastAsia" w:cs="Times New Roman" w:asciiTheme="minorEastAsia" w:hAnsiTheme="minorEastAsia" w:eastAsiaTheme="minorEastAsia"/>
          <w:color w:val="auto"/>
          <w:szCs w:val="21"/>
          <w:highlight w:val="none"/>
          <w:lang w:val="en-US" w:eastAsia="zh-CN"/>
        </w:rPr>
        <w:t xml:space="preserve">8 </w:t>
      </w:r>
      <w:r>
        <w:rPr>
          <w:rFonts w:hint="eastAsia" w:cs="Times New Roman" w:asciiTheme="minorEastAsia" w:hAnsiTheme="minorEastAsia" w:eastAsiaTheme="minorEastAsia"/>
          <w:color w:val="auto"/>
          <w:szCs w:val="21"/>
          <w:highlight w:val="none"/>
        </w:rPr>
        <w:t>乙方</w:t>
      </w:r>
      <w:r>
        <w:rPr>
          <w:rFonts w:hint="eastAsia" w:cs="Times New Roman" w:asciiTheme="minorEastAsia" w:hAnsiTheme="minorEastAsia" w:eastAsiaTheme="minorEastAsia"/>
          <w:color w:val="auto"/>
          <w:szCs w:val="21"/>
          <w:highlight w:val="none"/>
          <w:lang w:val="en-US" w:eastAsia="zh-CN"/>
        </w:rPr>
        <w:t>应</w:t>
      </w:r>
      <w:r>
        <w:rPr>
          <w:rFonts w:hint="eastAsia" w:cs="Times New Roman" w:asciiTheme="minorEastAsia" w:hAnsiTheme="minorEastAsia" w:eastAsiaTheme="minorEastAsia"/>
          <w:color w:val="auto"/>
          <w:szCs w:val="21"/>
          <w:highlight w:val="none"/>
        </w:rPr>
        <w:t>按</w:t>
      </w:r>
      <w:r>
        <w:rPr>
          <w:rFonts w:hint="eastAsia" w:cs="Times New Roman" w:asciiTheme="minorEastAsia" w:hAnsiTheme="minorEastAsia" w:eastAsiaTheme="minorEastAsia"/>
          <w:color w:val="auto"/>
          <w:szCs w:val="21"/>
          <w:highlight w:val="none"/>
          <w:lang w:val="en-US" w:eastAsia="zh-CN"/>
        </w:rPr>
        <w:t>甲方要求</w:t>
      </w:r>
      <w:r>
        <w:rPr>
          <w:rFonts w:hint="eastAsia" w:cs="Times New Roman" w:asciiTheme="minorEastAsia" w:hAnsiTheme="minorEastAsia" w:eastAsiaTheme="minorEastAsia"/>
          <w:color w:val="auto"/>
          <w:szCs w:val="21"/>
          <w:highlight w:val="none"/>
        </w:rPr>
        <w:t>安排人员、设备完成</w:t>
      </w:r>
      <w:r>
        <w:rPr>
          <w:rFonts w:hint="eastAsia" w:cs="Times New Roman" w:asciiTheme="minorEastAsia" w:hAnsiTheme="minorEastAsia" w:eastAsiaTheme="minorEastAsia"/>
          <w:color w:val="auto"/>
          <w:szCs w:val="21"/>
          <w:highlight w:val="none"/>
          <w:lang w:val="en-US" w:eastAsia="zh-CN"/>
        </w:rPr>
        <w:t>工作坊</w:t>
      </w:r>
      <w:r>
        <w:rPr>
          <w:rFonts w:hint="eastAsia" w:cs="Times New Roman" w:asciiTheme="minorEastAsia" w:hAnsiTheme="minorEastAsia" w:eastAsiaTheme="minorEastAsia"/>
          <w:color w:val="auto"/>
          <w:szCs w:val="21"/>
          <w:highlight w:val="none"/>
        </w:rPr>
        <w:t>工作。对</w:t>
      </w:r>
      <w:r>
        <w:rPr>
          <w:rFonts w:hint="eastAsia" w:cs="Times New Roman" w:asciiTheme="minorEastAsia" w:hAnsiTheme="minorEastAsia" w:eastAsiaTheme="minorEastAsia"/>
          <w:color w:val="auto"/>
          <w:szCs w:val="21"/>
          <w:highlight w:val="none"/>
          <w:lang w:val="en-US" w:eastAsia="zh-CN"/>
        </w:rPr>
        <w:t>安排在活动场地的己方人员</w:t>
      </w:r>
      <w:r>
        <w:rPr>
          <w:rFonts w:hint="eastAsia" w:cs="Times New Roman" w:asciiTheme="minorEastAsia" w:hAnsiTheme="minorEastAsia" w:eastAsiaTheme="minorEastAsia"/>
          <w:color w:val="auto"/>
          <w:szCs w:val="21"/>
          <w:highlight w:val="none"/>
        </w:rPr>
        <w:t>人身财产安全负责，因未尽安全管理义务造成的损失，由乙方承担相应</w:t>
      </w:r>
      <w:r>
        <w:rPr>
          <w:rFonts w:hint="eastAsia" w:cs="Times New Roman" w:asciiTheme="minorEastAsia" w:hAnsiTheme="minorEastAsia" w:eastAsiaTheme="minorEastAsia"/>
          <w:color w:val="auto"/>
          <w:szCs w:val="21"/>
          <w:highlight w:val="none"/>
          <w:lang w:val="en-US" w:eastAsia="zh-CN"/>
        </w:rPr>
        <w:t>赔偿</w:t>
      </w:r>
      <w:r>
        <w:rPr>
          <w:rFonts w:hint="eastAsia" w:cs="Times New Roman" w:asciiTheme="minorEastAsia" w:hAnsiTheme="minorEastAsia" w:eastAsiaTheme="minorEastAsia"/>
          <w:color w:val="auto"/>
          <w:szCs w:val="21"/>
          <w:highlight w:val="none"/>
        </w:rPr>
        <w:t>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cs="Times New Roman"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8.</w:t>
      </w:r>
      <w:r>
        <w:rPr>
          <w:rFonts w:hint="eastAsia" w:cs="Times New Roman" w:asciiTheme="minorEastAsia" w:hAnsiTheme="minorEastAsia" w:eastAsiaTheme="minorEastAsia"/>
          <w:color w:val="auto"/>
          <w:szCs w:val="21"/>
          <w:highlight w:val="none"/>
          <w:lang w:val="en-US" w:eastAsia="zh-CN"/>
        </w:rPr>
        <w:t xml:space="preserve">9 </w:t>
      </w:r>
      <w:r>
        <w:rPr>
          <w:rFonts w:hint="eastAsia" w:cs="Times New Roman" w:asciiTheme="minorEastAsia" w:hAnsiTheme="minorEastAsia" w:eastAsiaTheme="minorEastAsia"/>
          <w:color w:val="auto"/>
          <w:szCs w:val="21"/>
          <w:highlight w:val="none"/>
        </w:rPr>
        <w:t>乙方未经甲方书面同意不得将本合同项下的全部或部分工作内容转包或分包至第三方。</w:t>
      </w:r>
    </w:p>
    <w:p>
      <w:pPr>
        <w:pStyle w:val="16"/>
        <w:numPr>
          <w:ilvl w:val="0"/>
          <w:numId w:val="0"/>
        </w:numPr>
        <w:spacing w:line="360" w:lineRule="auto"/>
        <w:ind w:left="422" w:leftChars="0"/>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第九条  </w:t>
      </w:r>
      <w:bookmarkEnd w:id="8"/>
      <w:r>
        <w:rPr>
          <w:rFonts w:hint="eastAsia" w:asciiTheme="majorEastAsia" w:hAnsiTheme="majorEastAsia" w:eastAsiaTheme="majorEastAsia"/>
          <w:b/>
          <w:color w:val="auto"/>
          <w:highlight w:val="none"/>
        </w:rPr>
        <w:t>工作进度、质量、投资控制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1乙方应根据合同</w:t>
      </w:r>
      <w:r>
        <w:rPr>
          <w:rFonts w:asciiTheme="minorEastAsia" w:hAnsiTheme="minorEastAsia" w:eastAsiaTheme="minorEastAsia"/>
          <w:color w:val="auto"/>
          <w:szCs w:val="21"/>
          <w:highlight w:val="none"/>
        </w:rPr>
        <w:t>约定</w:t>
      </w:r>
      <w:r>
        <w:rPr>
          <w:rFonts w:hint="eastAsia" w:asciiTheme="minorEastAsia" w:hAnsiTheme="minorEastAsia" w:eastAsiaTheme="minorEastAsia"/>
          <w:color w:val="auto"/>
          <w:szCs w:val="21"/>
          <w:highlight w:val="none"/>
        </w:rPr>
        <w:t>的工期要求，严格按照进度计划开展和组织工作，保证工作如期完成。</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2乙方应积极配合甲方委托的相关单位进行定期检查。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3乙方相关人员应</w:t>
      </w:r>
      <w:r>
        <w:rPr>
          <w:rFonts w:hint="eastAsia" w:asciiTheme="minorEastAsia" w:hAnsiTheme="minorEastAsia" w:eastAsiaTheme="minorEastAsia"/>
          <w:color w:val="auto"/>
          <w:szCs w:val="21"/>
          <w:highlight w:val="none"/>
          <w:lang w:val="en-US" w:eastAsia="zh-CN"/>
        </w:rPr>
        <w:t>按时</w:t>
      </w:r>
      <w:r>
        <w:rPr>
          <w:rFonts w:hint="eastAsia" w:asciiTheme="minorEastAsia" w:hAnsiTheme="minorEastAsia" w:eastAsiaTheme="minorEastAsia"/>
          <w:color w:val="auto"/>
          <w:szCs w:val="21"/>
          <w:highlight w:val="none"/>
          <w:lang w:eastAsia="zh-CN"/>
        </w:rPr>
        <w:t>参加</w:t>
      </w:r>
      <w:r>
        <w:rPr>
          <w:rFonts w:hint="eastAsia" w:asciiTheme="minorEastAsia" w:hAnsiTheme="minorEastAsia" w:eastAsiaTheme="minorEastAsia"/>
          <w:color w:val="auto"/>
          <w:szCs w:val="21"/>
          <w:highlight w:val="none"/>
        </w:rPr>
        <w:t>甲方</w:t>
      </w:r>
      <w:r>
        <w:rPr>
          <w:rFonts w:hint="eastAsia" w:asciiTheme="minorEastAsia" w:hAnsiTheme="minorEastAsia" w:eastAsiaTheme="minorEastAsia"/>
          <w:color w:val="auto"/>
          <w:szCs w:val="21"/>
          <w:highlight w:val="none"/>
          <w:lang w:val="en-US" w:eastAsia="zh-CN"/>
        </w:rPr>
        <w:t>工作</w:t>
      </w:r>
      <w:r>
        <w:rPr>
          <w:rFonts w:hint="eastAsia" w:asciiTheme="minorEastAsia" w:hAnsiTheme="minorEastAsia" w:eastAsiaTheme="minorEastAsia"/>
          <w:color w:val="auto"/>
          <w:szCs w:val="21"/>
          <w:highlight w:val="none"/>
        </w:rPr>
        <w:t>例会</w:t>
      </w:r>
      <w:r>
        <w:rPr>
          <w:rFonts w:hint="eastAsia" w:asciiTheme="minorEastAsia" w:hAnsiTheme="minorEastAsia" w:eastAsiaTheme="minorEastAsia"/>
          <w:color w:val="auto"/>
          <w:szCs w:val="21"/>
          <w:highlight w:val="none"/>
          <w:lang w:eastAsia="zh-CN"/>
        </w:rPr>
        <w:t>，如</w:t>
      </w:r>
      <w:r>
        <w:rPr>
          <w:rFonts w:hint="eastAsia" w:asciiTheme="minorEastAsia" w:hAnsiTheme="minorEastAsia" w:eastAsiaTheme="minorEastAsia"/>
          <w:color w:val="auto"/>
          <w:szCs w:val="21"/>
          <w:highlight w:val="none"/>
        </w:rPr>
        <w:t>研讨会、协调会等。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4乙方应积极配合甲方对</w:t>
      </w:r>
      <w:r>
        <w:rPr>
          <w:rFonts w:hint="eastAsia" w:asciiTheme="minorEastAsia" w:hAnsiTheme="minorEastAsia" w:eastAsiaTheme="minorEastAsia"/>
          <w:color w:val="auto"/>
          <w:szCs w:val="21"/>
          <w:highlight w:val="none"/>
          <w:lang w:val="en-US" w:eastAsia="zh-CN"/>
        </w:rPr>
        <w:t>其</w:t>
      </w:r>
      <w:r>
        <w:rPr>
          <w:rFonts w:hint="eastAsia" w:asciiTheme="minorEastAsia" w:hAnsiTheme="minorEastAsia" w:eastAsiaTheme="minorEastAsia"/>
          <w:color w:val="auto"/>
          <w:szCs w:val="21"/>
          <w:highlight w:val="none"/>
        </w:rPr>
        <w:t>工作的全面检查，包括工作进度、人员到位</w:t>
      </w:r>
      <w:r>
        <w:rPr>
          <w:rFonts w:hint="eastAsia" w:asciiTheme="minorEastAsia" w:hAnsiTheme="minorEastAsia" w:eastAsiaTheme="minorEastAsia"/>
          <w:color w:val="auto"/>
          <w:szCs w:val="21"/>
          <w:highlight w:val="none"/>
          <w:lang w:eastAsia="zh-CN"/>
        </w:rPr>
        <w:t>情况</w:t>
      </w:r>
      <w:r>
        <w:rPr>
          <w:rFonts w:hint="eastAsia" w:asciiTheme="minorEastAsia" w:hAnsiTheme="minorEastAsia" w:eastAsiaTheme="minorEastAsia"/>
          <w:color w:val="auto"/>
          <w:szCs w:val="21"/>
          <w:highlight w:val="none"/>
        </w:rPr>
        <w:t>和投入力量等，对检查中发现的问题，乙方应</w:t>
      </w:r>
      <w:r>
        <w:rPr>
          <w:rFonts w:hint="eastAsia" w:asciiTheme="minorEastAsia" w:hAnsiTheme="minorEastAsia" w:eastAsiaTheme="minorEastAsia"/>
          <w:color w:val="auto"/>
          <w:szCs w:val="21"/>
          <w:highlight w:val="none"/>
          <w:lang w:eastAsia="zh-CN"/>
        </w:rPr>
        <w:t>按甲方要求</w:t>
      </w:r>
      <w:r>
        <w:rPr>
          <w:rFonts w:hint="eastAsia" w:asciiTheme="minorEastAsia" w:hAnsiTheme="minorEastAsia" w:eastAsiaTheme="minorEastAsia"/>
          <w:color w:val="auto"/>
          <w:szCs w:val="21"/>
          <w:highlight w:val="none"/>
        </w:rPr>
        <w:t>及时整改。</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9.</w:t>
      </w:r>
      <w:r>
        <w:rPr>
          <w:rFonts w:hint="eastAsia" w:asciiTheme="minorEastAsia" w:hAnsiTheme="minorEastAsia" w:eastAsiaTheme="minorEastAsia"/>
          <w:color w:val="auto"/>
          <w:szCs w:val="21"/>
          <w:highlight w:val="none"/>
        </w:rPr>
        <w:t>5乙方应及时向甲方提交</w:t>
      </w:r>
      <w:r>
        <w:rPr>
          <w:rFonts w:hint="eastAsia" w:asciiTheme="minorEastAsia" w:hAnsiTheme="minorEastAsia" w:eastAsiaTheme="minorEastAsia"/>
          <w:color w:val="auto"/>
          <w:szCs w:val="21"/>
          <w:highlight w:val="none"/>
          <w:lang w:val="en-US" w:eastAsia="zh-CN"/>
        </w:rPr>
        <w:t>对比</w:t>
      </w:r>
      <w:r>
        <w:rPr>
          <w:rFonts w:hint="eastAsia" w:asciiTheme="minorEastAsia" w:hAnsiTheme="minorEastAsia" w:eastAsiaTheme="minorEastAsia"/>
          <w:color w:val="auto"/>
          <w:szCs w:val="21"/>
          <w:highlight w:val="none"/>
        </w:rPr>
        <w:t>方案、</w:t>
      </w:r>
      <w:r>
        <w:rPr>
          <w:rFonts w:hint="eastAsia" w:asciiTheme="minorEastAsia" w:hAnsiTheme="minorEastAsia" w:eastAsiaTheme="minorEastAsia"/>
          <w:color w:val="auto"/>
          <w:szCs w:val="21"/>
          <w:highlight w:val="none"/>
          <w:lang w:val="en-US" w:eastAsia="zh-CN"/>
        </w:rPr>
        <w:t>合理</w:t>
      </w:r>
      <w:r>
        <w:rPr>
          <w:rFonts w:hint="eastAsia" w:asciiTheme="minorEastAsia" w:hAnsiTheme="minorEastAsia" w:eastAsiaTheme="minorEastAsia"/>
          <w:color w:val="auto"/>
          <w:szCs w:val="21"/>
          <w:highlight w:val="none"/>
        </w:rPr>
        <w:t>建议，以便甲方进行审查把关，</w:t>
      </w:r>
      <w:r>
        <w:rPr>
          <w:rFonts w:hint="eastAsia" w:asciiTheme="minorEastAsia" w:hAnsiTheme="minorEastAsia" w:eastAsiaTheme="minorEastAsia"/>
          <w:color w:val="auto"/>
          <w:szCs w:val="21"/>
          <w:highlight w:val="none"/>
          <w:lang w:val="en-US" w:eastAsia="zh-CN"/>
        </w:rPr>
        <w:t>评估</w:t>
      </w:r>
      <w:r>
        <w:rPr>
          <w:rFonts w:hint="eastAsia" w:asciiTheme="minorEastAsia" w:hAnsiTheme="minorEastAsia" w:eastAsiaTheme="minorEastAsia"/>
          <w:color w:val="auto"/>
          <w:szCs w:val="21"/>
          <w:highlight w:val="none"/>
        </w:rPr>
        <w:t>各方案的</w:t>
      </w:r>
      <w:r>
        <w:rPr>
          <w:rFonts w:hint="eastAsia" w:asciiTheme="minorEastAsia" w:hAnsiTheme="minorEastAsia" w:eastAsiaTheme="minorEastAsia"/>
          <w:color w:val="auto"/>
          <w:szCs w:val="21"/>
          <w:highlight w:val="none"/>
          <w:lang w:val="en-US" w:eastAsia="zh-CN"/>
        </w:rPr>
        <w:t>可行</w:t>
      </w:r>
      <w:r>
        <w:rPr>
          <w:rFonts w:hint="eastAsia" w:asciiTheme="minorEastAsia" w:hAnsiTheme="minorEastAsia" w:eastAsiaTheme="minorEastAsia"/>
          <w:color w:val="auto"/>
          <w:szCs w:val="21"/>
          <w:highlight w:val="none"/>
        </w:rPr>
        <w:t>性，保证各项决策意见在工作中</w:t>
      </w:r>
      <w:r>
        <w:rPr>
          <w:rFonts w:hint="eastAsia" w:asciiTheme="minorEastAsia" w:hAnsiTheme="minorEastAsia" w:eastAsiaTheme="minorEastAsia"/>
          <w:color w:val="auto"/>
          <w:szCs w:val="21"/>
          <w:highlight w:val="none"/>
          <w:lang w:val="en-US" w:eastAsia="zh-CN"/>
        </w:rPr>
        <w:t>得到落实</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ajorEastAsia" w:hAnsiTheme="majorEastAsia" w:eastAsiaTheme="majorEastAsia"/>
          <w:b/>
          <w:color w:val="auto"/>
          <w:highlight w:val="none"/>
          <w:lang w:val="en-US" w:eastAsia="zh-CN"/>
        </w:rPr>
      </w:pPr>
      <w:r>
        <w:rPr>
          <w:rFonts w:hint="eastAsia" w:asciiTheme="majorEastAsia" w:hAnsiTheme="majorEastAsia" w:eastAsiaTheme="majorEastAsia"/>
          <w:b/>
          <w:color w:val="auto"/>
          <w:highlight w:val="none"/>
          <w:lang w:val="en-US" w:eastAsia="zh-CN"/>
        </w:rPr>
        <w:t>第十条  知识产权及保密义务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知识产权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10.1.1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乙方因履行本合同而产生的</w:t>
      </w:r>
      <w:r>
        <w:rPr>
          <w:rFonts w:hint="eastAsia" w:asciiTheme="minorEastAsia" w:hAnsiTheme="minorEastAsia" w:eastAsiaTheme="minorEastAsia"/>
          <w:color w:val="auto"/>
          <w:szCs w:val="21"/>
          <w:highlight w:val="none"/>
          <w:lang w:val="en-US" w:eastAsia="zh-CN"/>
        </w:rPr>
        <w:t>服务</w:t>
      </w:r>
      <w:r>
        <w:rPr>
          <w:rFonts w:hint="eastAsia" w:asciiTheme="minorEastAsia" w:hAnsiTheme="minorEastAsia" w:eastAsiaTheme="minorEastAsia"/>
          <w:color w:val="auto"/>
          <w:szCs w:val="21"/>
          <w:highlight w:val="none"/>
        </w:rPr>
        <w:t>成果</w:t>
      </w:r>
      <w:r>
        <w:rPr>
          <w:rFonts w:hint="eastAsia" w:asciiTheme="minorEastAsia" w:hAnsiTheme="minorEastAsia" w:eastAsiaTheme="minorEastAsia"/>
          <w:color w:val="auto"/>
          <w:szCs w:val="21"/>
          <w:highlight w:val="none"/>
          <w:lang w:val="en-US" w:eastAsia="zh-CN"/>
        </w:rPr>
        <w:t>文件</w:t>
      </w:r>
      <w:r>
        <w:rPr>
          <w:rFonts w:hint="eastAsia" w:asciiTheme="minorEastAsia" w:hAnsiTheme="minorEastAsia" w:eastAsiaTheme="minorEastAsia"/>
          <w:color w:val="auto"/>
          <w:szCs w:val="21"/>
          <w:highlight w:val="none"/>
        </w:rPr>
        <w:t>的知识产权（署名权除外）归甲方所有，乙方未经甲方书面同意不得擅自使用或许可第三人使用。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10.1.2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服务成果若涉及任何第三方的专利、版权、商标或名称及其它受保护权利，乙方都必须取得合法的授权，所产生的有关费用由乙方承担。</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10.1.3</w:t>
      </w:r>
      <w:r>
        <w:rPr>
          <w:rFonts w:hint="eastAsia" w:asciiTheme="minorEastAsia" w:hAnsiTheme="minorEastAsia" w:eastAsiaTheme="minorEastAsia"/>
          <w:color w:val="auto"/>
          <w:szCs w:val="21"/>
          <w:highlight w:val="none"/>
          <w:lang w:val="en-US" w:eastAsia="zh-CN"/>
        </w:rPr>
        <w:t xml:space="preserve"> </w:t>
      </w:r>
      <w:r>
        <w:rPr>
          <w:rFonts w:hint="default" w:asciiTheme="minorEastAsia" w:hAnsiTheme="minorEastAsia" w:eastAsiaTheme="minorEastAsia"/>
          <w:color w:val="auto"/>
          <w:highlight w:val="none"/>
          <w:lang w:val="en-US" w:eastAsia="zh-CN"/>
        </w:rPr>
        <w:t>乙方在服务成果上使用的或准备采用的任何专利、版权、商标或名称及其它受保护权利的行为而引起的所有索赔和诉讼的费用都应由乙方承担。此外，乙方还应承担由此导致甲方</w:t>
      </w:r>
      <w:r>
        <w:rPr>
          <w:rFonts w:hint="eastAsia" w:asciiTheme="minorEastAsia" w:hAnsiTheme="minorEastAsia" w:eastAsiaTheme="minorEastAsia"/>
          <w:color w:val="auto"/>
          <w:highlight w:val="none"/>
          <w:lang w:val="en-US" w:eastAsia="zh-CN"/>
        </w:rPr>
        <w:t>支出</w:t>
      </w:r>
      <w:r>
        <w:rPr>
          <w:rFonts w:hint="default" w:asciiTheme="minorEastAsia" w:hAnsiTheme="minorEastAsia" w:eastAsiaTheme="minorEastAsia"/>
          <w:color w:val="auto"/>
          <w:highlight w:val="none"/>
          <w:lang w:val="en-US" w:eastAsia="zh-CN"/>
        </w:rPr>
        <w:t>的经济赔偿、诉讼费、财产保全费、律师费、公证费及其它费用。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保密义务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10.2.1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为本合同之目的，“保密信息”包括以下内容：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eastAsia="zh-CN"/>
        </w:rPr>
        <w:t>工作坊</w:t>
      </w:r>
      <w:r>
        <w:rPr>
          <w:rFonts w:hint="eastAsia" w:asciiTheme="minorEastAsia" w:hAnsiTheme="minorEastAsia" w:eastAsiaTheme="minorEastAsia"/>
          <w:color w:val="auto"/>
          <w:szCs w:val="21"/>
          <w:highlight w:val="none"/>
        </w:rPr>
        <w:t>成果；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（2）任何一方为本合同而向对方提供的一切涉及商业秘密或明示保密的材料；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（3）其他与项目相关的未被公众知悉的内容。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10.2.2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lang w:eastAsia="zh-CN"/>
        </w:rPr>
        <w:t>甲乙</w:t>
      </w:r>
      <w:r>
        <w:rPr>
          <w:rFonts w:hint="eastAsia" w:asciiTheme="minorEastAsia" w:hAnsiTheme="minorEastAsia" w:eastAsiaTheme="minorEastAsia"/>
          <w:color w:val="auto"/>
          <w:szCs w:val="21"/>
          <w:highlight w:val="none"/>
        </w:rPr>
        <w:t>双方</w:t>
      </w:r>
      <w:r>
        <w:rPr>
          <w:rFonts w:hint="eastAsia" w:asciiTheme="minorEastAsia" w:hAnsiTheme="minorEastAsia" w:eastAsiaTheme="minorEastAsia"/>
          <w:color w:val="auto"/>
          <w:szCs w:val="21"/>
          <w:highlight w:val="none"/>
          <w:lang w:eastAsia="zh-CN"/>
        </w:rPr>
        <w:t>应</w:t>
      </w:r>
      <w:r>
        <w:rPr>
          <w:rFonts w:hint="eastAsia" w:asciiTheme="minorEastAsia" w:hAnsiTheme="minorEastAsia" w:eastAsiaTheme="minorEastAsia"/>
          <w:color w:val="auto"/>
          <w:szCs w:val="21"/>
          <w:highlight w:val="none"/>
        </w:rPr>
        <w:t>尽其合理的努力，促使其各自的代理人、雇员和代表尽量减少对另一方保密信息的散发和复制，并防止作出未经授权的透露。</w:t>
      </w:r>
      <w:r>
        <w:rPr>
          <w:rFonts w:hint="eastAsia" w:asciiTheme="minorEastAsia" w:hAnsiTheme="minorEastAsia" w:eastAsiaTheme="minorEastAsia"/>
          <w:color w:val="auto"/>
          <w:szCs w:val="21"/>
          <w:highlight w:val="none"/>
          <w:lang w:eastAsia="zh-CN"/>
        </w:rPr>
        <w:t>甲乙</w:t>
      </w:r>
      <w:r>
        <w:rPr>
          <w:rFonts w:hint="eastAsia" w:asciiTheme="minorEastAsia" w:hAnsiTheme="minorEastAsia" w:eastAsiaTheme="minorEastAsia"/>
          <w:color w:val="auto"/>
          <w:szCs w:val="21"/>
          <w:highlight w:val="none"/>
        </w:rPr>
        <w:t>双方同意，只有</w:t>
      </w:r>
      <w:r>
        <w:rPr>
          <w:rFonts w:hint="eastAsia" w:asciiTheme="minorEastAsia" w:hAnsiTheme="minorEastAsia" w:eastAsiaTheme="minorEastAsia"/>
          <w:color w:val="auto"/>
          <w:szCs w:val="21"/>
          <w:highlight w:val="none"/>
          <w:lang w:eastAsia="zh-CN"/>
        </w:rPr>
        <w:t>在</w:t>
      </w:r>
      <w:r>
        <w:rPr>
          <w:rFonts w:hint="eastAsia" w:asciiTheme="minorEastAsia" w:hAnsiTheme="minorEastAsia" w:eastAsiaTheme="minorEastAsia"/>
          <w:color w:val="auto"/>
          <w:szCs w:val="21"/>
          <w:highlight w:val="none"/>
        </w:rPr>
        <w:t>必要</w:t>
      </w:r>
      <w:r>
        <w:rPr>
          <w:rFonts w:hint="eastAsia" w:asciiTheme="minorEastAsia" w:hAnsiTheme="minorEastAsia" w:eastAsiaTheme="minorEastAsia"/>
          <w:color w:val="auto"/>
          <w:szCs w:val="21"/>
          <w:highlight w:val="none"/>
          <w:lang w:eastAsia="zh-CN"/>
        </w:rPr>
        <w:t>的情况下，</w:t>
      </w:r>
      <w:r>
        <w:rPr>
          <w:rFonts w:hint="eastAsia" w:asciiTheme="minorEastAsia" w:hAnsiTheme="minorEastAsia" w:eastAsiaTheme="minorEastAsia"/>
          <w:color w:val="auto"/>
          <w:szCs w:val="21"/>
          <w:highlight w:val="none"/>
        </w:rPr>
        <w:t>知悉另一方保密信息的该方代理人、雇员和代表才会得到该等保密信息。未经另一方事先书面同意，任何一方不得将本项目的保密信息透露给第三方</w:t>
      </w:r>
      <w:r>
        <w:rPr>
          <w:rFonts w:hint="eastAsia" w:asciiTheme="minorEastAsia" w:hAnsiTheme="minorEastAsia" w:eastAsiaTheme="minorEastAsia"/>
          <w:color w:val="auto"/>
          <w:highlight w:val="none"/>
          <w:lang w:val="en-US" w:eastAsia="zh-CN"/>
        </w:rPr>
        <w:t>，保密期限为</w:t>
      </w:r>
      <w:r>
        <w:rPr>
          <w:rFonts w:hint="eastAsia" w:asciiTheme="minorEastAsia" w:hAnsiTheme="minorEastAsia" w:eastAsiaTheme="minorEastAsia"/>
          <w:color w:val="auto"/>
          <w:highlight w:val="none"/>
          <w:u w:val="none"/>
          <w:lang w:val="en-US" w:eastAsia="zh-CN"/>
        </w:rPr>
        <w:t>永久</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10.2.3</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“保密信息”不包括下述任何信息：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（1）并非由于接受方过错而属于或者成为公众普遍可得的或知悉的信息；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（2）在另一方透露之前接受方已通过合法途径知悉或可得的信息；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（3）对透露信息的一方未承担任何保密义务的第三方后来向接受方透露的信息；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（4）法律要求作为司法程序、政府调查、法定程序或其他类似程序的一部分而透露的信息；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（5）在不违反与信息透露方的任何保密合同或者对其承担的其他义务的情况下，接受方已经或在此后独立获得或开发的信息；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10.2.4</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甲方向关联第三方（如本项目相关第三服务方等）透露保密信息，不受前述各条款约束。</w:t>
      </w:r>
      <w:bookmarkStart w:id="9" w:name="_Toc93808668"/>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第十一条  </w:t>
      </w:r>
      <w:r>
        <w:rPr>
          <w:rFonts w:hint="eastAsia" w:asciiTheme="majorEastAsia" w:hAnsiTheme="majorEastAsia" w:eastAsiaTheme="majorEastAsia"/>
          <w:b/>
          <w:color w:val="auto"/>
          <w:highlight w:val="none"/>
        </w:rPr>
        <w:t>违约责任</w:t>
      </w:r>
      <w:bookmarkEnd w:id="9"/>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lang w:val="en-US" w:eastAsia="zh-CN"/>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甲方违约</w:t>
      </w:r>
      <w:r>
        <w:rPr>
          <w:rFonts w:hint="eastAsia" w:asciiTheme="minorEastAsia" w:hAnsiTheme="minorEastAsia" w:eastAsiaTheme="minorEastAsia"/>
          <w:color w:val="auto"/>
          <w:szCs w:val="21"/>
          <w:highlight w:val="none"/>
          <w:lang w:val="en-US" w:eastAsia="zh-CN"/>
        </w:rPr>
        <w:t>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在合同履行期间，因甲原因，甲方要求终止或解除合同，由甲方根据乙方至终止之日止实际完成的并经甲方审核确认的合格工作量支付服务费；同时乙方应将已完成的阶段成果移交给甲方。如乙方实际已完成工作量价款少于甲方已支付的合同价款，乙方退还差额部分；如实际已完成工作量价款大于已付的合同款时，不足部分由甲方补齐。</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lang w:val="en-US" w:eastAsia="zh-CN"/>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乙方违约</w:t>
      </w:r>
      <w:r>
        <w:rPr>
          <w:rFonts w:hint="eastAsia" w:asciiTheme="minorEastAsia" w:hAnsiTheme="minorEastAsia" w:eastAsiaTheme="minorEastAsia"/>
          <w:color w:val="auto"/>
          <w:szCs w:val="21"/>
          <w:highlight w:val="none"/>
          <w:lang w:val="en-US" w:eastAsia="zh-CN"/>
        </w:rPr>
        <w:t>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乙方未按合同约定履行</w:t>
      </w:r>
      <w:r>
        <w:rPr>
          <w:rFonts w:hint="eastAsia" w:asciiTheme="minorEastAsia" w:hAnsiTheme="minorEastAsia" w:eastAsiaTheme="minorEastAsia"/>
          <w:color w:val="auto"/>
          <w:szCs w:val="21"/>
          <w:highlight w:val="none"/>
          <w:lang w:val="en-US" w:eastAsia="zh-CN"/>
        </w:rPr>
        <w:t>义务</w:t>
      </w:r>
      <w:r>
        <w:rPr>
          <w:rFonts w:hint="eastAsia" w:asciiTheme="minorEastAsia" w:hAnsiTheme="minorEastAsia" w:eastAsiaTheme="minorEastAsia"/>
          <w:color w:val="auto"/>
          <w:szCs w:val="21"/>
          <w:highlight w:val="none"/>
        </w:rPr>
        <w:t>的，甲方有权要求乙方纠正并就因此而遭受的损失向乙方提出索赔，乙方收到甲方</w:t>
      </w:r>
      <w:r>
        <w:rPr>
          <w:rFonts w:hint="eastAsia" w:asciiTheme="minorEastAsia" w:hAnsiTheme="minorEastAsia" w:eastAsiaTheme="minorEastAsia"/>
          <w:color w:val="auto"/>
          <w:szCs w:val="21"/>
          <w:highlight w:val="none"/>
          <w:lang w:val="en-US" w:eastAsia="zh-CN"/>
        </w:rPr>
        <w:t>书面</w:t>
      </w:r>
      <w:r>
        <w:rPr>
          <w:rFonts w:hint="eastAsia" w:asciiTheme="minorEastAsia" w:hAnsiTheme="minorEastAsia" w:eastAsiaTheme="minorEastAsia"/>
          <w:color w:val="auto"/>
          <w:szCs w:val="21"/>
          <w:highlight w:val="none"/>
        </w:rPr>
        <w:t>通知后五</w:t>
      </w:r>
      <w:r>
        <w:rPr>
          <w:rFonts w:hint="eastAsia" w:asciiTheme="minorEastAsia" w:hAnsiTheme="minorEastAsia" w:eastAsiaTheme="minorEastAsia"/>
          <w:color w:val="auto"/>
          <w:szCs w:val="21"/>
          <w:highlight w:val="none"/>
          <w:lang w:val="en-US" w:eastAsia="zh-CN"/>
        </w:rPr>
        <w:t>个工作</w:t>
      </w:r>
      <w:r>
        <w:rPr>
          <w:rFonts w:hint="eastAsia" w:asciiTheme="minorEastAsia" w:hAnsiTheme="minorEastAsia" w:eastAsiaTheme="minorEastAsia"/>
          <w:color w:val="auto"/>
          <w:szCs w:val="21"/>
          <w:highlight w:val="none"/>
        </w:rPr>
        <w:t>日内未予纠正的，甲方有权</w:t>
      </w:r>
      <w:r>
        <w:rPr>
          <w:rFonts w:hint="eastAsia" w:asciiTheme="minorEastAsia" w:hAnsiTheme="minorEastAsia" w:eastAsiaTheme="minorEastAsia"/>
          <w:color w:val="auto"/>
          <w:szCs w:val="21"/>
          <w:highlight w:val="none"/>
          <w:lang w:val="en-US" w:eastAsia="zh-CN"/>
        </w:rPr>
        <w:t>停止支付</w:t>
      </w:r>
      <w:r>
        <w:rPr>
          <w:rFonts w:hint="eastAsia" w:asciiTheme="minorEastAsia" w:hAnsiTheme="minorEastAsia" w:eastAsiaTheme="minorEastAsia"/>
          <w:color w:val="auto"/>
          <w:szCs w:val="21"/>
          <w:highlight w:val="none"/>
          <w:lang w:eastAsia="zh-CN"/>
        </w:rPr>
        <w:t>合同</w:t>
      </w:r>
      <w:r>
        <w:rPr>
          <w:rFonts w:hint="eastAsia" w:asciiTheme="minorEastAsia" w:hAnsiTheme="minorEastAsia" w:eastAsiaTheme="minorEastAsia"/>
          <w:color w:val="auto"/>
          <w:szCs w:val="21"/>
          <w:highlight w:val="none"/>
          <w:lang w:val="en-US" w:eastAsia="zh-CN"/>
        </w:rPr>
        <w:t>费用</w:t>
      </w:r>
      <w:r>
        <w:rPr>
          <w:rFonts w:hint="eastAsia" w:asciiTheme="minorEastAsia" w:hAnsiTheme="minorEastAsia" w:eastAsiaTheme="minorEastAsia"/>
          <w:color w:val="auto"/>
          <w:szCs w:val="21"/>
          <w:highlight w:val="none"/>
        </w:rPr>
        <w:t>并提出进一步索赔，直至解除合同。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2</w:t>
      </w:r>
      <w:r>
        <w:rPr>
          <w:rFonts w:hint="eastAsia" w:asciiTheme="minorEastAsia" w:hAnsiTheme="minorEastAsia" w:eastAsiaTheme="minorEastAsia"/>
          <w:color w:val="auto"/>
          <w:szCs w:val="21"/>
          <w:highlight w:val="none"/>
        </w:rPr>
        <w:t>乙方在合同有效期内，应</w:t>
      </w:r>
      <w:r>
        <w:rPr>
          <w:rFonts w:hint="eastAsia" w:asciiTheme="minorEastAsia" w:hAnsiTheme="minorEastAsia" w:eastAsiaTheme="minorEastAsia"/>
          <w:color w:val="auto"/>
          <w:szCs w:val="21"/>
          <w:highlight w:val="none"/>
          <w:lang w:val="en-US" w:eastAsia="zh-CN"/>
        </w:rPr>
        <w:t>认真</w:t>
      </w:r>
      <w:r>
        <w:rPr>
          <w:rFonts w:hint="eastAsia" w:asciiTheme="minorEastAsia" w:hAnsiTheme="minorEastAsia" w:eastAsiaTheme="minorEastAsia"/>
          <w:color w:val="auto"/>
          <w:szCs w:val="21"/>
          <w:highlight w:val="none"/>
        </w:rPr>
        <w:t>履行合同约定义务，如非因甲方原因产生工作</w:t>
      </w:r>
      <w:r>
        <w:rPr>
          <w:rFonts w:hint="eastAsia" w:asciiTheme="minorEastAsia" w:hAnsiTheme="minorEastAsia" w:eastAsiaTheme="minorEastAsia"/>
          <w:color w:val="auto"/>
          <w:szCs w:val="21"/>
          <w:highlight w:val="none"/>
          <w:lang w:val="en-US" w:eastAsia="zh-CN"/>
        </w:rPr>
        <w:t>失误</w:t>
      </w:r>
      <w:r>
        <w:rPr>
          <w:rFonts w:hint="eastAsia" w:asciiTheme="minorEastAsia" w:hAnsiTheme="minorEastAsia" w:eastAsiaTheme="minorEastAsia"/>
          <w:color w:val="auto"/>
          <w:szCs w:val="21"/>
          <w:highlight w:val="none"/>
        </w:rPr>
        <w:t>、工期延误，造成甲方实际损失</w:t>
      </w:r>
      <w:r>
        <w:rPr>
          <w:rFonts w:hint="eastAsia" w:asciiTheme="minorEastAsia" w:hAnsiTheme="minorEastAsia" w:eastAsiaTheme="minorEastAsia"/>
          <w:color w:val="auto"/>
          <w:szCs w:val="21"/>
          <w:highlight w:val="none"/>
          <w:lang w:val="en-US" w:eastAsia="zh-CN"/>
        </w:rPr>
        <w:t>的</w:t>
      </w:r>
      <w:r>
        <w:rPr>
          <w:rFonts w:hint="eastAsia" w:asciiTheme="minorEastAsia" w:hAnsiTheme="minorEastAsia" w:eastAsiaTheme="minorEastAsia"/>
          <w:color w:val="auto"/>
          <w:szCs w:val="21"/>
          <w:highlight w:val="none"/>
        </w:rPr>
        <w:t>，乙方</w:t>
      </w:r>
      <w:r>
        <w:rPr>
          <w:rFonts w:hint="eastAsia" w:asciiTheme="minorEastAsia" w:hAnsiTheme="minorEastAsia" w:eastAsiaTheme="minorEastAsia"/>
          <w:color w:val="auto"/>
          <w:szCs w:val="21"/>
          <w:highlight w:val="none"/>
          <w:lang w:val="en-US" w:eastAsia="zh-CN"/>
        </w:rPr>
        <w:t>应承担相应赔偿责任</w:t>
      </w:r>
      <w:r>
        <w:rPr>
          <w:rFonts w:hint="eastAsia" w:asciiTheme="minorEastAsia" w:hAnsiTheme="minorEastAsia" w:eastAsiaTheme="minorEastAsia"/>
          <w:color w:val="auto"/>
          <w:szCs w:val="21"/>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3 </w:t>
      </w:r>
      <w:r>
        <w:rPr>
          <w:rFonts w:hint="eastAsia" w:asciiTheme="minorEastAsia" w:hAnsiTheme="minorEastAsia" w:eastAsiaTheme="minorEastAsia"/>
          <w:color w:val="auto"/>
          <w:szCs w:val="21"/>
          <w:highlight w:val="none"/>
        </w:rPr>
        <w:t>乙方未按合同约定提交报告成果文件的，每延迟一</w:t>
      </w:r>
      <w:r>
        <w:rPr>
          <w:rFonts w:hint="eastAsia" w:asciiTheme="minorEastAsia" w:hAnsiTheme="minorEastAsia" w:eastAsiaTheme="minorEastAsia"/>
          <w:color w:val="auto"/>
          <w:szCs w:val="21"/>
          <w:highlight w:val="none"/>
          <w:lang w:val="en-US" w:eastAsia="zh-CN"/>
        </w:rPr>
        <w:t>日历天</w:t>
      </w:r>
      <w:r>
        <w:rPr>
          <w:rFonts w:hint="eastAsia" w:asciiTheme="minorEastAsia" w:hAnsiTheme="minorEastAsia" w:eastAsiaTheme="minorEastAsia"/>
          <w:color w:val="auto"/>
          <w:szCs w:val="21"/>
          <w:highlight w:val="none"/>
        </w:rPr>
        <w:t>，乙方应向甲方支付</w:t>
      </w:r>
      <w:r>
        <w:rPr>
          <w:rFonts w:hint="eastAsia" w:asciiTheme="minorEastAsia" w:hAnsiTheme="minorEastAsia" w:eastAsiaTheme="minorEastAsia"/>
          <w:color w:val="auto"/>
          <w:szCs w:val="21"/>
          <w:highlight w:val="none"/>
          <w:lang w:eastAsia="zh-CN"/>
        </w:rPr>
        <w:t>合同金额</w:t>
      </w:r>
      <w:r>
        <w:rPr>
          <w:rFonts w:hint="eastAsia" w:asciiTheme="minorEastAsia" w:hAnsiTheme="minorEastAsia" w:eastAsiaTheme="minorEastAsia"/>
          <w:color w:val="auto"/>
          <w:szCs w:val="21"/>
          <w:highlight w:val="none"/>
          <w:u w:val="none"/>
          <w:lang w:val="en-US" w:eastAsia="zh-CN"/>
        </w:rPr>
        <w:t>1</w:t>
      </w:r>
      <w:r>
        <w:rPr>
          <w:rFonts w:hint="eastAsia" w:asciiTheme="minorEastAsia" w:hAnsiTheme="minorEastAsia" w:eastAsiaTheme="minorEastAsia"/>
          <w:color w:val="auto"/>
          <w:szCs w:val="21"/>
          <w:highlight w:val="none"/>
          <w:lang w:val="en-US" w:eastAsia="zh-CN"/>
        </w:rPr>
        <w:t>%</w:t>
      </w:r>
      <w:r>
        <w:rPr>
          <w:rFonts w:hint="eastAsia" w:asciiTheme="minorEastAsia" w:hAnsiTheme="minorEastAsia" w:eastAsiaTheme="minorEastAsia"/>
          <w:color w:val="auto"/>
          <w:szCs w:val="21"/>
          <w:highlight w:val="none"/>
        </w:rPr>
        <w:t>的违约金，直至</w:t>
      </w:r>
      <w:r>
        <w:rPr>
          <w:rFonts w:hint="eastAsia" w:asciiTheme="minorEastAsia" w:hAnsiTheme="minorEastAsia" w:eastAsiaTheme="minorEastAsia"/>
          <w:color w:val="auto"/>
          <w:szCs w:val="21"/>
          <w:highlight w:val="none"/>
          <w:lang w:eastAsia="zh-CN"/>
        </w:rPr>
        <w:t>合同解除或</w:t>
      </w:r>
      <w:r>
        <w:rPr>
          <w:rFonts w:hint="eastAsia" w:asciiTheme="minorEastAsia" w:hAnsiTheme="minorEastAsia" w:eastAsiaTheme="minorEastAsia"/>
          <w:color w:val="auto"/>
          <w:szCs w:val="21"/>
          <w:highlight w:val="none"/>
        </w:rPr>
        <w:t>乙方按合同约定提交合格的报告成果文件为止</w:t>
      </w:r>
      <w:r>
        <w:rPr>
          <w:rFonts w:hint="eastAsia" w:asciiTheme="minorEastAsia" w:hAnsiTheme="minorEastAsia" w:eastAsiaTheme="minorEastAsia"/>
          <w:color w:val="auto"/>
          <w:szCs w:val="21"/>
          <w:highlight w:val="none"/>
          <w:lang w:eastAsia="zh-CN"/>
        </w:rPr>
        <w:t>，</w:t>
      </w:r>
      <w:r>
        <w:rPr>
          <w:rFonts w:hint="eastAsia" w:asciiTheme="minorEastAsia" w:hAnsiTheme="minorEastAsia" w:eastAsiaTheme="minorEastAsia"/>
          <w:color w:val="auto"/>
          <w:szCs w:val="21"/>
          <w:highlight w:val="none"/>
        </w:rPr>
        <w:t>逾期违约金总额不超过合同总价款的</w:t>
      </w:r>
      <w:r>
        <w:rPr>
          <w:rFonts w:hint="eastAsia" w:asciiTheme="minorEastAsia" w:hAnsiTheme="minorEastAsia" w:eastAsiaTheme="minorEastAsia"/>
          <w:color w:val="auto"/>
          <w:szCs w:val="21"/>
          <w:highlight w:val="none"/>
          <w:u w:val="none"/>
          <w:lang w:val="en-US" w:eastAsia="zh-CN"/>
        </w:rPr>
        <w:t>30</w:t>
      </w:r>
      <w:r>
        <w:rPr>
          <w:rFonts w:hint="eastAsia" w:asciiTheme="minorEastAsia" w:hAnsiTheme="minorEastAsia" w:eastAsiaTheme="minorEastAsia"/>
          <w:color w:val="auto"/>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4 </w:t>
      </w:r>
      <w:r>
        <w:rPr>
          <w:rFonts w:hint="eastAsia" w:asciiTheme="minorEastAsia" w:hAnsiTheme="minorEastAsia" w:eastAsiaTheme="minorEastAsia"/>
          <w:color w:val="auto"/>
          <w:szCs w:val="21"/>
          <w:highlight w:val="none"/>
        </w:rPr>
        <w:t>合同生效后，</w:t>
      </w:r>
      <w:r>
        <w:rPr>
          <w:rFonts w:asciiTheme="minorEastAsia" w:hAnsiTheme="minorEastAsia" w:eastAsiaTheme="minorEastAsia"/>
          <w:color w:val="auto"/>
          <w:szCs w:val="21"/>
          <w:highlight w:val="none"/>
        </w:rPr>
        <w:t>如因乙方原因造成合同终止</w:t>
      </w:r>
      <w:r>
        <w:rPr>
          <w:rFonts w:hint="eastAsia" w:asciiTheme="minorEastAsia" w:hAnsiTheme="minorEastAsia" w:eastAsiaTheme="minorEastAsia"/>
          <w:color w:val="auto"/>
          <w:szCs w:val="21"/>
          <w:highlight w:val="none"/>
        </w:rPr>
        <w:t>或解除</w:t>
      </w:r>
      <w:r>
        <w:rPr>
          <w:rFonts w:asciiTheme="minorEastAsia" w:hAnsiTheme="minorEastAsia" w:eastAsiaTheme="minorEastAsia"/>
          <w:color w:val="auto"/>
          <w:szCs w:val="21"/>
          <w:highlight w:val="none"/>
        </w:rPr>
        <w:t>的</w:t>
      </w:r>
      <w:r>
        <w:rPr>
          <w:rFonts w:hint="eastAsia" w:asciiTheme="minorEastAsia" w:hAnsiTheme="minorEastAsia" w:eastAsiaTheme="minorEastAsia"/>
          <w:color w:val="auto"/>
          <w:szCs w:val="21"/>
          <w:highlight w:val="none"/>
        </w:rPr>
        <w:t>，乙方应在</w:t>
      </w:r>
      <w:r>
        <w:rPr>
          <w:rFonts w:hint="eastAsia" w:asciiTheme="minorEastAsia" w:hAnsiTheme="minorEastAsia" w:eastAsiaTheme="minorEastAsia"/>
          <w:color w:val="auto"/>
          <w:highlight w:val="none"/>
          <w:lang w:val="en-US" w:eastAsia="zh-CN"/>
        </w:rPr>
        <w:t>合同终止或解除之日起</w:t>
      </w:r>
      <w:r>
        <w:rPr>
          <w:rFonts w:hint="eastAsia" w:asciiTheme="minorEastAsia" w:hAnsiTheme="minorEastAsia" w:eastAsiaTheme="minorEastAsia"/>
          <w:color w:val="auto"/>
          <w:szCs w:val="21"/>
          <w:highlight w:val="none"/>
        </w:rPr>
        <w:t>三十日</w:t>
      </w:r>
      <w:r>
        <w:rPr>
          <w:rFonts w:hint="eastAsia" w:asciiTheme="minorEastAsia" w:hAnsiTheme="minorEastAsia" w:eastAsiaTheme="minorEastAsia"/>
          <w:color w:val="auto"/>
          <w:szCs w:val="21"/>
          <w:highlight w:val="none"/>
          <w:lang w:val="en-US" w:eastAsia="zh-CN"/>
        </w:rPr>
        <w:t>历天</w:t>
      </w:r>
      <w:r>
        <w:rPr>
          <w:rFonts w:hint="eastAsia" w:asciiTheme="minorEastAsia" w:hAnsiTheme="minorEastAsia" w:eastAsiaTheme="minorEastAsia"/>
          <w:color w:val="auto"/>
          <w:szCs w:val="21"/>
          <w:highlight w:val="none"/>
        </w:rPr>
        <w:t>内向甲方支付本合同额</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 xml:space="preserve">0%的违约金，并退还已收取的全部合同费用。 </w:t>
      </w:r>
      <w:bookmarkStart w:id="10" w:name="_Toc93808669"/>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Theme="majorEastAsia" w:hAnsiTheme="majorEastAsia" w:eastAsiaTheme="majorEastAsia"/>
          <w:b/>
          <w:color w:val="auto"/>
          <w:highlight w:val="none"/>
          <w:lang w:val="en-US" w:eastAsia="zh-CN"/>
        </w:rPr>
      </w:pPr>
      <w:r>
        <w:rPr>
          <w:rFonts w:hint="default" w:asciiTheme="majorEastAsia" w:hAnsiTheme="majorEastAsia" w:eastAsiaTheme="majorEastAsia"/>
          <w:b/>
          <w:color w:val="auto"/>
          <w:highlight w:val="none"/>
          <w:lang w:val="en-US" w:eastAsia="zh-CN"/>
        </w:rPr>
        <w:t>第十二条  不可抗力</w:t>
      </w: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lang w:val="en-US" w:eastAsia="zh-CN"/>
        </w:rPr>
        <w:t>12.</w:t>
      </w:r>
      <w:r>
        <w:rPr>
          <w:rFonts w:hint="eastAsia" w:cs="Times New Roman" w:asciiTheme="minorEastAsia" w:hAnsiTheme="minorEastAsia" w:eastAsiaTheme="minorEastAsia"/>
          <w:color w:val="auto"/>
          <w:sz w:val="21"/>
          <w:szCs w:val="21"/>
          <w:highlight w:val="none"/>
        </w:rPr>
        <w:t>1</w:t>
      </w:r>
      <w:r>
        <w:rPr>
          <w:rFonts w:hint="eastAsia" w:cs="Times New Roman" w:asciiTheme="minorEastAsia" w:hAnsiTheme="minorEastAsia" w:eastAsiaTheme="minorEastAsia"/>
          <w:color w:val="auto"/>
          <w:sz w:val="21"/>
          <w:szCs w:val="21"/>
          <w:highlight w:val="none"/>
          <w:lang w:val="en-US" w:eastAsia="zh-CN"/>
        </w:rPr>
        <w:t xml:space="preserve"> </w:t>
      </w:r>
      <w:r>
        <w:rPr>
          <w:rFonts w:hint="eastAsia" w:cs="Times New Roman" w:asciiTheme="minorEastAsia" w:hAnsiTheme="minorEastAsia" w:eastAsiaTheme="minorEastAsia"/>
          <w:color w:val="auto"/>
          <w:sz w:val="21"/>
          <w:szCs w:val="21"/>
          <w:highlight w:val="none"/>
        </w:rPr>
        <w:t>本合同所称不可抗力，是指地震、台风、水灾、火灾、战争</w:t>
      </w:r>
      <w:r>
        <w:rPr>
          <w:rFonts w:hint="eastAsia" w:cs="Times New Roman" w:asciiTheme="minorEastAsia" w:hAnsiTheme="minorEastAsia" w:eastAsiaTheme="minorEastAsia"/>
          <w:color w:val="auto"/>
          <w:sz w:val="21"/>
          <w:szCs w:val="21"/>
          <w:highlight w:val="none"/>
          <w:lang w:eastAsia="zh-CN"/>
        </w:rPr>
        <w:t>、</w:t>
      </w:r>
      <w:r>
        <w:rPr>
          <w:rFonts w:hint="eastAsia" w:cs="Times New Roman" w:asciiTheme="minorEastAsia" w:hAnsiTheme="minorEastAsia" w:eastAsiaTheme="minorEastAsia"/>
          <w:color w:val="auto"/>
          <w:sz w:val="21"/>
          <w:szCs w:val="21"/>
          <w:highlight w:val="none"/>
          <w:lang w:val="en-US" w:eastAsia="zh-CN"/>
        </w:rPr>
        <w:t>疫情</w:t>
      </w:r>
      <w:r>
        <w:rPr>
          <w:rFonts w:hint="eastAsia" w:cs="Times New Roman" w:asciiTheme="minorEastAsia" w:hAnsiTheme="minorEastAsia" w:eastAsiaTheme="minorEastAsia"/>
          <w:color w:val="auto"/>
          <w:sz w:val="21"/>
          <w:szCs w:val="21"/>
          <w:highlight w:val="none"/>
        </w:rPr>
        <w:t>以及其它本合同各方不能预见，并且对其发生和后果不能防止或不能避免且不可克服的客观情况。</w:t>
      </w: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lang w:val="en-US" w:eastAsia="zh-CN"/>
        </w:rPr>
        <w:t>12.</w:t>
      </w:r>
      <w:r>
        <w:rPr>
          <w:rFonts w:hint="eastAsia" w:cs="Times New Roman" w:asciiTheme="minorEastAsia" w:hAnsiTheme="minorEastAsia" w:eastAsiaTheme="minorEastAsia"/>
          <w:color w:val="auto"/>
          <w:sz w:val="21"/>
          <w:szCs w:val="21"/>
          <w:highlight w:val="none"/>
        </w:rPr>
        <w:t>2</w:t>
      </w:r>
      <w:r>
        <w:rPr>
          <w:rFonts w:hint="eastAsia" w:cs="Times New Roman" w:asciiTheme="minorEastAsia" w:hAnsiTheme="minorEastAsia" w:eastAsiaTheme="minorEastAsia"/>
          <w:color w:val="auto"/>
          <w:sz w:val="21"/>
          <w:szCs w:val="21"/>
          <w:highlight w:val="none"/>
          <w:lang w:val="en-US" w:eastAsia="zh-CN"/>
        </w:rPr>
        <w:t xml:space="preserve"> </w:t>
      </w:r>
      <w:r>
        <w:rPr>
          <w:rFonts w:hint="eastAsia" w:cs="Times New Roman" w:asciiTheme="minorEastAsia" w:hAnsiTheme="minorEastAsia" w:eastAsiaTheme="minorEastAsia"/>
          <w:color w:val="auto"/>
          <w:sz w:val="21"/>
          <w:szCs w:val="21"/>
          <w:highlight w:val="none"/>
        </w:rPr>
        <w:t>本合同任何一方因不可抗力不能履行或不能完全履行本合同的义务时，应立即通知合同另一方当事人，书面说明不可抗力和受阻碍的详细情况，并在合理期限内提供必要的证明。</w:t>
      </w:r>
    </w:p>
    <w:p>
      <w:pPr>
        <w:keepNext w:val="0"/>
        <w:keepLines w:val="0"/>
        <w:pageBreakBefore w:val="0"/>
        <w:widowControl/>
        <w:kinsoku/>
        <w:wordWrap/>
        <w:overflowPunct/>
        <w:topLinePunct w:val="0"/>
        <w:autoSpaceDE/>
        <w:autoSpaceDN/>
        <w:bidi w:val="0"/>
        <w:adjustRightInd/>
        <w:spacing w:line="360" w:lineRule="auto"/>
        <w:ind w:firstLine="420" w:firstLineChars="200"/>
        <w:jc w:val="left"/>
        <w:textAlignment w:val="auto"/>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lang w:val="en-US" w:eastAsia="zh-CN"/>
        </w:rPr>
        <w:t>12.</w:t>
      </w:r>
      <w:r>
        <w:rPr>
          <w:rFonts w:hint="eastAsia" w:cs="Times New Roman" w:asciiTheme="minorEastAsia" w:hAnsiTheme="minorEastAsia" w:eastAsiaTheme="minorEastAsia"/>
          <w:color w:val="auto"/>
          <w:sz w:val="21"/>
          <w:szCs w:val="21"/>
          <w:highlight w:val="none"/>
        </w:rPr>
        <w:t>3</w:t>
      </w:r>
      <w:r>
        <w:rPr>
          <w:rFonts w:hint="eastAsia" w:cs="Times New Roman" w:asciiTheme="minorEastAsia" w:hAnsiTheme="minorEastAsia" w:eastAsiaTheme="minorEastAsia"/>
          <w:color w:val="auto"/>
          <w:sz w:val="21"/>
          <w:szCs w:val="21"/>
          <w:highlight w:val="none"/>
          <w:lang w:val="en-US" w:eastAsia="zh-CN"/>
        </w:rPr>
        <w:t xml:space="preserve"> </w:t>
      </w:r>
      <w:r>
        <w:rPr>
          <w:rFonts w:hint="eastAsia" w:cs="Times New Roman" w:asciiTheme="minorEastAsia" w:hAnsiTheme="minorEastAsia" w:eastAsiaTheme="minorEastAsia"/>
          <w:color w:val="auto"/>
          <w:sz w:val="21"/>
          <w:szCs w:val="21"/>
          <w:highlight w:val="none"/>
        </w:rPr>
        <w:t>甲</w:t>
      </w:r>
      <w:r>
        <w:rPr>
          <w:rFonts w:hint="eastAsia" w:cs="Times New Roman" w:asciiTheme="minorEastAsia" w:hAnsiTheme="minorEastAsia" w:eastAsiaTheme="minorEastAsia"/>
          <w:color w:val="auto"/>
          <w:sz w:val="21"/>
          <w:szCs w:val="21"/>
          <w:highlight w:val="none"/>
          <w:lang w:eastAsia="zh-CN"/>
        </w:rPr>
        <w:t>、</w:t>
      </w:r>
      <w:r>
        <w:rPr>
          <w:rFonts w:hint="eastAsia" w:cs="Times New Roman" w:asciiTheme="minorEastAsia" w:hAnsiTheme="minorEastAsia" w:eastAsiaTheme="minorEastAsia"/>
          <w:color w:val="auto"/>
          <w:sz w:val="21"/>
          <w:szCs w:val="21"/>
          <w:highlight w:val="none"/>
        </w:rPr>
        <w:t>乙任何一方因不可抗力不能履行合同的，根据不可抗力的影响，受影响方部分或全部免除责任，但法律另有规定的除外。迟延履行合同后发生不可抗力的，不能免除责任。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lang w:val="en-US" w:eastAsia="zh-CN"/>
        </w:rPr>
        <w:t>12.4 不可抗力发生后，合同当事人均应采取措施尽量避免和减少损失的扩大。任何一方当事人没有采取有效措施导致损失继续扩大的，应对扩大的损失承担责任。</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第十三条  </w:t>
      </w:r>
      <w:r>
        <w:rPr>
          <w:rFonts w:hint="eastAsia" w:asciiTheme="majorEastAsia" w:hAnsiTheme="majorEastAsia" w:eastAsiaTheme="majorEastAsia"/>
          <w:b/>
          <w:color w:val="auto"/>
          <w:highlight w:val="none"/>
        </w:rPr>
        <w:t>合同生效、变更和解除</w:t>
      </w:r>
      <w:bookmarkEnd w:id="10"/>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1 本合同经</w:t>
      </w:r>
      <w:r>
        <w:rPr>
          <w:rFonts w:asciiTheme="minorEastAsia" w:hAnsiTheme="minorEastAsia" w:eastAsiaTheme="minorEastAsia"/>
          <w:color w:val="auto"/>
          <w:szCs w:val="21"/>
          <w:highlight w:val="none"/>
        </w:rPr>
        <w:t>甲乙</w:t>
      </w:r>
      <w:r>
        <w:rPr>
          <w:rFonts w:hint="eastAsia" w:asciiTheme="minorEastAsia" w:hAnsiTheme="minorEastAsia" w:eastAsiaTheme="minorEastAsia"/>
          <w:color w:val="auto"/>
          <w:szCs w:val="21"/>
          <w:highlight w:val="none"/>
        </w:rPr>
        <w:t>双方</w:t>
      </w:r>
      <w:r>
        <w:rPr>
          <w:rFonts w:hint="eastAsia" w:asciiTheme="minorEastAsia" w:hAnsiTheme="minorEastAsia" w:eastAsiaTheme="minorEastAsia"/>
          <w:color w:val="auto"/>
          <w:szCs w:val="21"/>
          <w:highlight w:val="none"/>
          <w:lang w:eastAsia="zh-CN"/>
        </w:rPr>
        <w:t>法定代表人或</w:t>
      </w:r>
      <w:r>
        <w:rPr>
          <w:rFonts w:hint="eastAsia" w:asciiTheme="minorEastAsia" w:hAnsiTheme="minorEastAsia" w:eastAsiaTheme="minorEastAsia"/>
          <w:color w:val="auto"/>
          <w:szCs w:val="21"/>
          <w:highlight w:val="none"/>
          <w:lang w:val="en-US" w:eastAsia="zh-CN"/>
        </w:rPr>
        <w:t>委托</w:t>
      </w:r>
      <w:r>
        <w:rPr>
          <w:rFonts w:hint="eastAsia" w:asciiTheme="minorEastAsia" w:hAnsiTheme="minorEastAsia" w:eastAsiaTheme="minorEastAsia"/>
          <w:color w:val="auto"/>
          <w:szCs w:val="21"/>
          <w:highlight w:val="none"/>
          <w:lang w:eastAsia="zh-CN"/>
        </w:rPr>
        <w:t>代理人</w:t>
      </w:r>
      <w:r>
        <w:rPr>
          <w:rFonts w:hint="eastAsia" w:asciiTheme="minorEastAsia" w:hAnsiTheme="minorEastAsia" w:eastAsiaTheme="minorEastAsia"/>
          <w:color w:val="auto"/>
          <w:szCs w:val="21"/>
          <w:highlight w:val="none"/>
        </w:rPr>
        <w:t>签字并加盖公章</w:t>
      </w:r>
      <w:r>
        <w:rPr>
          <w:rFonts w:hint="eastAsia" w:asciiTheme="minorEastAsia" w:hAnsiTheme="minorEastAsia" w:eastAsiaTheme="minorEastAsia"/>
          <w:color w:val="auto"/>
          <w:szCs w:val="21"/>
          <w:highlight w:val="none"/>
          <w:lang w:eastAsia="zh-CN"/>
        </w:rPr>
        <w:t>后</w:t>
      </w:r>
      <w:r>
        <w:rPr>
          <w:rFonts w:hint="eastAsia" w:asciiTheme="minorEastAsia" w:hAnsiTheme="minorEastAsia" w:eastAsiaTheme="minorEastAsia"/>
          <w:color w:val="auto"/>
          <w:szCs w:val="21"/>
          <w:highlight w:val="none"/>
        </w:rPr>
        <w:t>生效。</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对本合同条款的任何变更、修改或增减，须经双方协商同意后由法定代表人或</w:t>
      </w:r>
      <w:r>
        <w:rPr>
          <w:rFonts w:hint="eastAsia" w:asciiTheme="minorEastAsia" w:hAnsiTheme="minorEastAsia" w:eastAsiaTheme="minorEastAsia"/>
          <w:color w:val="auto"/>
          <w:szCs w:val="21"/>
          <w:highlight w:val="none"/>
          <w:lang w:val="en-US" w:eastAsia="zh-CN"/>
        </w:rPr>
        <w:t>委托</w:t>
      </w:r>
      <w:r>
        <w:rPr>
          <w:rFonts w:hint="eastAsia" w:asciiTheme="minorEastAsia" w:hAnsiTheme="minorEastAsia" w:eastAsiaTheme="minorEastAsia"/>
          <w:color w:val="auto"/>
          <w:szCs w:val="21"/>
          <w:highlight w:val="none"/>
        </w:rPr>
        <w:t>代理人签署书面文件方为有效，并作为本合同的组成部分。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lang w:eastAsia="zh-CN"/>
        </w:rPr>
        <w:t>经</w:t>
      </w:r>
      <w:r>
        <w:rPr>
          <w:rFonts w:hint="eastAsia" w:asciiTheme="minorEastAsia" w:hAnsiTheme="minorEastAsia" w:eastAsiaTheme="minorEastAsia"/>
          <w:color w:val="auto"/>
          <w:szCs w:val="21"/>
          <w:highlight w:val="none"/>
        </w:rPr>
        <w:t>双方协商一致，可以解除合同。</w:t>
      </w:r>
      <w:bookmarkStart w:id="11" w:name="_Toc93808670"/>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olor w:val="auto"/>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3</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lang w:val="en-US" w:eastAsia="zh-CN"/>
        </w:rPr>
        <w:t xml:space="preserve">4 </w:t>
      </w:r>
      <w:r>
        <w:rPr>
          <w:rFonts w:hint="eastAsia" w:asciiTheme="minorEastAsia" w:hAnsiTheme="minorEastAsia" w:eastAsiaTheme="minorEastAsia"/>
          <w:color w:val="auto"/>
          <w:szCs w:val="21"/>
          <w:highlight w:val="none"/>
        </w:rPr>
        <w:t>合同因国家、省、市政策性原因或涉外因素等（包括但不限于）导致服务中断或者需要终止合同的，甲方有权单方面解除合同，合同费用依据已完成的阶段任务或已完成的工作量等协商解决。</w:t>
      </w:r>
      <w:r>
        <w:rPr>
          <w:rFonts w:hint="eastAsia" w:ascii="宋体" w:hAnsi="宋体"/>
          <w:color w:val="auto"/>
          <w:highlight w:val="none"/>
        </w:rPr>
        <w:t>协商不成的，以《深圳</w:t>
      </w:r>
      <w:r>
        <w:rPr>
          <w:rFonts w:hint="eastAsia" w:ascii="宋体" w:hAnsi="宋体"/>
          <w:color w:val="auto"/>
          <w:highlight w:val="none"/>
          <w:lang w:eastAsia="zh-CN"/>
        </w:rPr>
        <w:t>市财政预算和投资评审中心</w:t>
      </w:r>
      <w:r>
        <w:rPr>
          <w:rFonts w:hint="eastAsia" w:ascii="宋体" w:hAnsi="宋体"/>
          <w:color w:val="auto"/>
          <w:highlight w:val="none"/>
        </w:rPr>
        <w:t>评审报告》的评审结论作为最终的费用结算金额和支付依据。</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第十四条  </w:t>
      </w:r>
      <w:r>
        <w:rPr>
          <w:rFonts w:hint="eastAsia" w:asciiTheme="majorEastAsia" w:hAnsiTheme="majorEastAsia" w:eastAsiaTheme="majorEastAsia"/>
          <w:b/>
          <w:color w:val="auto"/>
          <w:highlight w:val="none"/>
        </w:rPr>
        <w:t>争议解决</w:t>
      </w:r>
      <w:bookmarkEnd w:id="11"/>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4</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如甲、乙双方在履行合同过程中发生争议，</w:t>
      </w:r>
      <w:r>
        <w:rPr>
          <w:rFonts w:hint="eastAsia" w:asciiTheme="minorEastAsia" w:hAnsiTheme="minorEastAsia" w:eastAsiaTheme="minorEastAsia"/>
          <w:color w:val="auto"/>
          <w:szCs w:val="21"/>
          <w:highlight w:val="none"/>
          <w:lang w:eastAsia="zh-CN"/>
        </w:rPr>
        <w:t>应积极</w:t>
      </w:r>
      <w:r>
        <w:rPr>
          <w:rFonts w:hint="eastAsia" w:asciiTheme="minorEastAsia" w:hAnsiTheme="minorEastAsia" w:eastAsiaTheme="minorEastAsia"/>
          <w:color w:val="auto"/>
          <w:szCs w:val="21"/>
          <w:highlight w:val="none"/>
        </w:rPr>
        <w:t>协商</w:t>
      </w:r>
      <w:r>
        <w:rPr>
          <w:rFonts w:hint="eastAsia" w:asciiTheme="minorEastAsia" w:hAnsiTheme="minorEastAsia" w:eastAsiaTheme="minorEastAsia"/>
          <w:color w:val="auto"/>
          <w:szCs w:val="21"/>
          <w:highlight w:val="none"/>
          <w:lang w:eastAsia="zh-CN"/>
        </w:rPr>
        <w:t>解决</w:t>
      </w:r>
      <w:r>
        <w:rPr>
          <w:rFonts w:hint="eastAsia" w:asciiTheme="minorEastAsia" w:hAnsiTheme="minorEastAsia" w:eastAsiaTheme="minorEastAsia"/>
          <w:color w:val="auto"/>
          <w:szCs w:val="21"/>
          <w:highlight w:val="none"/>
        </w:rPr>
        <w:t>或者要求有关部门调解。如协商或者调解不成的，任何一方均</w:t>
      </w:r>
      <w:r>
        <w:rPr>
          <w:rFonts w:hint="eastAsia" w:asciiTheme="minorEastAsia" w:hAnsiTheme="minorEastAsia" w:eastAsiaTheme="minorEastAsia"/>
          <w:color w:val="auto"/>
          <w:szCs w:val="21"/>
          <w:highlight w:val="none"/>
          <w:lang w:val="en-US" w:eastAsia="zh-CN"/>
        </w:rPr>
        <w:t>可</w:t>
      </w:r>
      <w:r>
        <w:rPr>
          <w:rFonts w:hint="eastAsia" w:asciiTheme="minorEastAsia" w:hAnsiTheme="minorEastAsia" w:eastAsiaTheme="minorEastAsia"/>
          <w:color w:val="auto"/>
          <w:szCs w:val="21"/>
          <w:highlight w:val="none"/>
        </w:rPr>
        <w:t>向甲方所在地的人民法院提起诉讼。</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4</w:t>
      </w:r>
      <w:r>
        <w:rPr>
          <w:rFonts w:asciiTheme="minorEastAsia" w:hAnsiTheme="minorEastAsia" w:eastAsiaTheme="minorEastAsia"/>
          <w:color w:val="auto"/>
          <w:szCs w:val="21"/>
          <w:highlight w:val="none"/>
        </w:rPr>
        <w:t>.</w:t>
      </w:r>
      <w:r>
        <w:rPr>
          <w:rFonts w:hint="eastAsia"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除提交诉讼的争议事项外，</w:t>
      </w:r>
      <w:r>
        <w:rPr>
          <w:rFonts w:hint="eastAsia" w:asciiTheme="minorEastAsia" w:hAnsiTheme="minorEastAsia" w:eastAsiaTheme="minorEastAsia"/>
          <w:color w:val="auto"/>
          <w:szCs w:val="21"/>
          <w:highlight w:val="none"/>
          <w:lang w:eastAsia="zh-CN"/>
        </w:rPr>
        <w:t>合同约定的</w:t>
      </w:r>
      <w:r>
        <w:rPr>
          <w:rFonts w:hint="eastAsia" w:asciiTheme="minorEastAsia" w:hAnsiTheme="minorEastAsia" w:eastAsiaTheme="minorEastAsia"/>
          <w:color w:val="auto"/>
          <w:szCs w:val="21"/>
          <w:highlight w:val="none"/>
        </w:rPr>
        <w:t>其余工作应照常进行。</w:t>
      </w:r>
      <w:bookmarkStart w:id="12" w:name="_Toc93808671"/>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4</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 xml:space="preserve"> </w:t>
      </w:r>
      <w:r>
        <w:rPr>
          <w:rFonts w:hint="eastAsia" w:asciiTheme="minorEastAsia" w:hAnsiTheme="minorEastAsia" w:eastAsiaTheme="minorEastAsia"/>
          <w:color w:val="auto"/>
          <w:szCs w:val="21"/>
          <w:highlight w:val="none"/>
        </w:rPr>
        <w:t>甲、乙双方一致确认合同签署页上载明的地址和联系方式适用至本合同履行完毕或争议进入民事诉讼程序后的一审、二审、再审和执行程序；作为任何一方送达地址和联系方式需要变更的，应提前五个工作日以书面方式向合同其他方及司法机关送交书面变更告知书；因各方提供或者确认的送达地址和联系方式不准确、或者送达地址变更后未及时依程序告知对方和司法机关、当事人和指定接收人拒绝签收等原因，导致诉讼文书未能被当事人实际接收，邮寄送达的，以文书退回之日视为送达之日；直接送达的，送达人当场在送达回证上记明情况之日视为送达之日。</w:t>
      </w:r>
    </w:p>
    <w:p>
      <w:pPr>
        <w:keepNext w:val="0"/>
        <w:keepLines w:val="0"/>
        <w:pageBreakBefore w:val="0"/>
        <w:kinsoku/>
        <w:wordWrap/>
        <w:overflowPunct/>
        <w:topLinePunct w:val="0"/>
        <w:autoSpaceDE/>
        <w:autoSpaceDN/>
        <w:bidi w:val="0"/>
        <w:adjustRightInd/>
        <w:snapToGrid/>
        <w:spacing w:line="360" w:lineRule="auto"/>
        <w:ind w:firstLine="422" w:firstLineChars="200"/>
        <w:jc w:val="left"/>
        <w:textAlignment w:val="auto"/>
        <w:rPr>
          <w:rFonts w:hint="eastAsia" w:asciiTheme="majorEastAsia" w:hAnsiTheme="majorEastAsia" w:eastAsiaTheme="majorEastAsia"/>
          <w:b/>
          <w:color w:val="auto"/>
          <w:highlight w:val="none"/>
        </w:rPr>
      </w:pPr>
      <w:r>
        <w:rPr>
          <w:rFonts w:hint="eastAsia" w:asciiTheme="majorEastAsia" w:hAnsiTheme="majorEastAsia" w:eastAsiaTheme="majorEastAsia"/>
          <w:b/>
          <w:color w:val="auto"/>
          <w:highlight w:val="none"/>
          <w:lang w:val="en-US" w:eastAsia="zh-CN"/>
        </w:rPr>
        <w:t xml:space="preserve">第十五条  </w:t>
      </w:r>
      <w:r>
        <w:rPr>
          <w:rFonts w:hint="eastAsia" w:asciiTheme="majorEastAsia" w:hAnsiTheme="majorEastAsia" w:eastAsiaTheme="majorEastAsia"/>
          <w:b/>
          <w:color w:val="auto"/>
          <w:highlight w:val="none"/>
        </w:rPr>
        <w:t>其</w:t>
      </w:r>
      <w:bookmarkEnd w:id="12"/>
      <w:r>
        <w:rPr>
          <w:rFonts w:hint="eastAsia" w:asciiTheme="majorEastAsia" w:hAnsiTheme="majorEastAsia" w:eastAsiaTheme="majorEastAsia"/>
          <w:b/>
          <w:color w:val="auto"/>
          <w:highlight w:val="none"/>
        </w:rPr>
        <w:t>它</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.1本合同未尽事宜，由双方共同协商解决，双方可签订补充协议，有关协议及双方认可的来往函件、电报、传真、会议纪要等，均为本合同组成部分，与本合同具有同等法律效力。</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.2本合同附件、深圳市建筑工务署和甲方不定期发布的规章制度、规程及其后续更新版本</w:t>
      </w:r>
      <w:r>
        <w:rPr>
          <w:rFonts w:hint="eastAsia" w:asciiTheme="minorEastAsia" w:hAnsiTheme="minorEastAsia" w:eastAsiaTheme="minorEastAsia"/>
          <w:color w:val="auto"/>
          <w:szCs w:val="21"/>
          <w:highlight w:val="none"/>
          <w:lang w:val="en-US" w:eastAsia="zh-CN"/>
        </w:rPr>
        <w:t>均</w:t>
      </w:r>
      <w:r>
        <w:rPr>
          <w:rFonts w:hint="eastAsia" w:asciiTheme="minorEastAsia" w:hAnsiTheme="minorEastAsia" w:eastAsiaTheme="minorEastAsia"/>
          <w:color w:val="auto"/>
          <w:szCs w:val="21"/>
          <w:highlight w:val="none"/>
        </w:rPr>
        <w:t>是本合同的组成部分，乙方应当遵守执行。</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lang w:val="en-US" w:eastAsia="zh-CN"/>
        </w:rPr>
        <w:t>5</w:t>
      </w: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highlight w:val="none"/>
        </w:rPr>
        <w:t>本合同正本一式</w:t>
      </w:r>
      <w:r>
        <w:rPr>
          <w:rFonts w:hint="eastAsia" w:asciiTheme="minorEastAsia" w:hAnsiTheme="minorEastAsia" w:eastAsiaTheme="minorEastAsia"/>
          <w:color w:val="auto"/>
          <w:highlight w:val="none"/>
          <w:u w:val="single"/>
        </w:rPr>
        <w:t>2</w:t>
      </w:r>
      <w:r>
        <w:rPr>
          <w:rFonts w:hint="eastAsia" w:asciiTheme="minorEastAsia" w:hAnsiTheme="minorEastAsia" w:eastAsiaTheme="minorEastAsia"/>
          <w:color w:val="auto"/>
          <w:highlight w:val="none"/>
        </w:rPr>
        <w:t>份，双方各执</w:t>
      </w:r>
      <w:r>
        <w:rPr>
          <w:rFonts w:hint="eastAsia" w:asciiTheme="minorEastAsia" w:hAnsiTheme="minorEastAsia" w:eastAsiaTheme="minorEastAsia"/>
          <w:color w:val="auto"/>
          <w:highlight w:val="none"/>
          <w:u w:val="single"/>
        </w:rPr>
        <w:t>1</w:t>
      </w:r>
      <w:r>
        <w:rPr>
          <w:rFonts w:hint="eastAsia" w:asciiTheme="minorEastAsia" w:hAnsiTheme="minorEastAsia" w:eastAsiaTheme="minorEastAsia"/>
          <w:color w:val="auto"/>
          <w:highlight w:val="none"/>
        </w:rPr>
        <w:t>份；副本</w:t>
      </w:r>
      <w:r>
        <w:rPr>
          <w:rFonts w:hint="eastAsia" w:asciiTheme="minorEastAsia" w:hAnsiTheme="minorEastAsia" w:eastAsiaTheme="minorEastAsia"/>
          <w:color w:val="auto"/>
          <w:highlight w:val="none"/>
          <w:u w:val="single"/>
        </w:rPr>
        <w:t>8</w:t>
      </w:r>
      <w:r>
        <w:rPr>
          <w:rFonts w:hint="eastAsia" w:asciiTheme="minorEastAsia" w:hAnsiTheme="minorEastAsia" w:eastAsiaTheme="minorEastAsia"/>
          <w:color w:val="auto"/>
          <w:highlight w:val="none"/>
        </w:rPr>
        <w:t>份，甲方</w:t>
      </w:r>
      <w:r>
        <w:rPr>
          <w:rFonts w:hint="eastAsia" w:asciiTheme="minorEastAsia" w:hAnsiTheme="minorEastAsia" w:eastAsiaTheme="minorEastAsia"/>
          <w:color w:val="auto"/>
          <w:highlight w:val="none"/>
          <w:u w:val="single"/>
        </w:rPr>
        <w:t>6</w:t>
      </w:r>
      <w:r>
        <w:rPr>
          <w:rFonts w:hint="eastAsia" w:asciiTheme="minorEastAsia" w:hAnsiTheme="minorEastAsia" w:eastAsiaTheme="minorEastAsia"/>
          <w:color w:val="auto"/>
          <w:highlight w:val="none"/>
        </w:rPr>
        <w:t>份，乙方</w:t>
      </w:r>
      <w:r>
        <w:rPr>
          <w:rFonts w:hint="eastAsia" w:asciiTheme="minorEastAsia" w:hAnsiTheme="minorEastAsia" w:eastAsiaTheme="minorEastAsia"/>
          <w:color w:val="auto"/>
          <w:highlight w:val="none"/>
          <w:u w:val="single"/>
        </w:rPr>
        <w:t>2</w:t>
      </w:r>
      <w:r>
        <w:rPr>
          <w:rFonts w:hint="eastAsia" w:asciiTheme="minorEastAsia" w:hAnsiTheme="minorEastAsia" w:eastAsiaTheme="minorEastAsia"/>
          <w:color w:val="auto"/>
          <w:highlight w:val="none"/>
        </w:rPr>
        <w:t>份，当副本与正本不一致时以正本为准。</w:t>
      </w:r>
      <w:r>
        <w:rPr>
          <w:rFonts w:hint="eastAsia" w:asciiTheme="minorEastAsia" w:hAnsiTheme="minorEastAsia" w:eastAsiaTheme="minorEastAsia"/>
          <w:color w:val="auto"/>
          <w:szCs w:val="21"/>
          <w:highlight w:val="none"/>
        </w:rPr>
        <w:t>在双方履行完合同约定的权利和义务后，本合同自行终止。</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olor w:val="auto"/>
          <w:szCs w:val="21"/>
          <w:highlight w:val="none"/>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附件一：人员配备表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附件二：工作坊合同履约评价细则</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附件三：中标通知书（如果有）</w:t>
      </w:r>
    </w:p>
    <w:p>
      <w:pPr>
        <w:keepNext w:val="0"/>
        <w:keepLines w:val="0"/>
        <w:pageBreakBefore w:val="0"/>
        <w:kinsoku/>
        <w:wordWrap/>
        <w:overflowPunct/>
        <w:topLinePunct w:val="0"/>
        <w:autoSpaceDE/>
        <w:autoSpaceDN/>
        <w:bidi w:val="0"/>
        <w:adjustRightInd/>
        <w:snapToGrid/>
        <w:spacing w:line="360" w:lineRule="auto"/>
        <w:ind w:firstLine="420"/>
        <w:textAlignment w:val="auto"/>
        <w:rPr>
          <w:color w:val="auto"/>
          <w:highlight w:val="none"/>
        </w:rPr>
      </w:pPr>
      <w:r>
        <w:rPr>
          <w:rFonts w:hint="eastAsia" w:ascii="宋体" w:hAnsi="宋体"/>
          <w:color w:val="auto"/>
          <w:szCs w:val="21"/>
          <w:highlight w:val="none"/>
        </w:rPr>
        <w:t>（以下无合同正文，为本合同签字</w:t>
      </w:r>
      <w:r>
        <w:rPr>
          <w:rFonts w:hint="eastAsia" w:ascii="宋体" w:hAnsi="宋体"/>
          <w:color w:val="auto"/>
          <w:szCs w:val="21"/>
          <w:highlight w:val="none"/>
          <w:lang w:val="en-US" w:eastAsia="zh-CN"/>
        </w:rPr>
        <w:t>盖章</w:t>
      </w:r>
      <w:r>
        <w:rPr>
          <w:rFonts w:hint="eastAsia" w:ascii="宋体" w:hAnsi="宋体"/>
          <w:color w:val="auto"/>
          <w:szCs w:val="21"/>
          <w:highlight w:val="none"/>
        </w:rPr>
        <w:t>页）</w:t>
      </w:r>
    </w:p>
    <w:p>
      <w:pPr>
        <w:rPr>
          <w:color w:val="auto"/>
          <w:highlight w:val="none"/>
        </w:rPr>
      </w:pPr>
      <w:r>
        <w:rPr>
          <w:color w:val="auto"/>
          <w:highlight w:val="none"/>
        </w:rPr>
        <w:br w:type="page"/>
      </w:r>
    </w:p>
    <w:tbl>
      <w:tblPr>
        <w:tblStyle w:val="8"/>
        <w:tblpPr w:leftFromText="180" w:rightFromText="180" w:vertAnchor="text" w:horzAnchor="margin" w:tblpY="260"/>
        <w:tblW w:w="10031" w:type="dxa"/>
        <w:tblInd w:w="0" w:type="dxa"/>
        <w:tblLayout w:type="fixed"/>
        <w:tblCellMar>
          <w:top w:w="0" w:type="dxa"/>
          <w:left w:w="108" w:type="dxa"/>
          <w:bottom w:w="0" w:type="dxa"/>
          <w:right w:w="108" w:type="dxa"/>
        </w:tblCellMar>
      </w:tblPr>
      <w:tblGrid>
        <w:gridCol w:w="5070"/>
        <w:gridCol w:w="4961"/>
      </w:tblGrid>
      <w:tr>
        <w:tblPrEx>
          <w:tblCellMar>
            <w:top w:w="0" w:type="dxa"/>
            <w:left w:w="108" w:type="dxa"/>
            <w:bottom w:w="0" w:type="dxa"/>
            <w:right w:w="108" w:type="dxa"/>
          </w:tblCellMar>
        </w:tblPrEx>
        <w:trPr>
          <w:trHeight w:val="1399" w:hRule="atLeast"/>
        </w:trPr>
        <w:tc>
          <w:tcPr>
            <w:tcW w:w="5070" w:type="dxa"/>
            <w:shd w:val="clear" w:color="auto" w:fill="auto"/>
          </w:tcPr>
          <w:p>
            <w:pPr>
              <w:spacing w:line="360" w:lineRule="auto"/>
              <w:rPr>
                <w:color w:val="auto"/>
                <w:highlight w:val="none"/>
              </w:rPr>
            </w:pPr>
            <w:r>
              <w:rPr>
                <w:rFonts w:hint="eastAsia"/>
                <w:color w:val="auto"/>
                <w:highlight w:val="none"/>
              </w:rPr>
              <w:t>甲方</w:t>
            </w:r>
            <w:r>
              <w:rPr>
                <w:color w:val="auto"/>
                <w:highlight w:val="none"/>
              </w:rPr>
              <w:t>名称：</w:t>
            </w:r>
          </w:p>
          <w:p>
            <w:pPr>
              <w:spacing w:line="360" w:lineRule="auto"/>
              <w:rPr>
                <w:color w:val="auto"/>
                <w:highlight w:val="none"/>
              </w:rPr>
            </w:pPr>
            <w:r>
              <w:rPr>
                <w:rFonts w:hint="eastAsia"/>
                <w:color w:val="auto"/>
                <w:highlight w:val="none"/>
              </w:rPr>
              <w:t>深圳市建筑工务署工程设计管理中心</w:t>
            </w:r>
          </w:p>
        </w:tc>
        <w:tc>
          <w:tcPr>
            <w:tcW w:w="4961" w:type="dxa"/>
            <w:shd w:val="clear" w:color="auto" w:fill="auto"/>
          </w:tcPr>
          <w:p>
            <w:pPr>
              <w:spacing w:line="360" w:lineRule="auto"/>
              <w:rPr>
                <w:color w:val="auto"/>
                <w:highlight w:val="none"/>
              </w:rPr>
            </w:pPr>
            <w:r>
              <w:rPr>
                <w:color w:val="auto"/>
                <w:highlight w:val="none"/>
              </w:rPr>
              <w:t>乙方名称：</w:t>
            </w:r>
          </w:p>
          <w:p>
            <w:pPr>
              <w:spacing w:line="360" w:lineRule="auto"/>
              <w:rPr>
                <w:color w:val="auto"/>
                <w:highlight w:val="none"/>
              </w:rPr>
            </w:pPr>
            <w:r>
              <w:rPr>
                <w:rFonts w:hint="eastAsia"/>
                <w:color w:val="auto"/>
                <w:highlight w:val="none"/>
              </w:rPr>
              <w:t xml:space="preserve"> </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color w:val="auto"/>
                <w:highlight w:val="none"/>
              </w:rPr>
              <w:t>（盖章）</w:t>
            </w:r>
          </w:p>
        </w:tc>
        <w:tc>
          <w:tcPr>
            <w:tcW w:w="4961" w:type="dxa"/>
            <w:shd w:val="clear" w:color="auto" w:fill="auto"/>
          </w:tcPr>
          <w:p>
            <w:pPr>
              <w:spacing w:line="360" w:lineRule="auto"/>
              <w:rPr>
                <w:color w:val="auto"/>
                <w:highlight w:val="none"/>
              </w:rPr>
            </w:pPr>
            <w:r>
              <w:rPr>
                <w:color w:val="auto"/>
                <w:highlight w:val="none"/>
              </w:rPr>
              <w:t>（盖章）</w:t>
            </w:r>
          </w:p>
        </w:tc>
      </w:tr>
      <w:tr>
        <w:tblPrEx>
          <w:tblCellMar>
            <w:top w:w="0" w:type="dxa"/>
            <w:left w:w="108" w:type="dxa"/>
            <w:bottom w:w="0" w:type="dxa"/>
            <w:right w:w="108" w:type="dxa"/>
          </w:tblCellMar>
        </w:tblPrEx>
        <w:trPr>
          <w:trHeight w:val="804" w:hRule="atLeast"/>
        </w:trPr>
        <w:tc>
          <w:tcPr>
            <w:tcW w:w="5070" w:type="dxa"/>
            <w:shd w:val="clear" w:color="auto" w:fill="auto"/>
          </w:tcPr>
          <w:p>
            <w:pPr>
              <w:spacing w:line="360" w:lineRule="auto"/>
              <w:rPr>
                <w:color w:val="auto"/>
                <w:highlight w:val="none"/>
              </w:rPr>
            </w:pPr>
            <w:r>
              <w:rPr>
                <w:color w:val="auto"/>
                <w:highlight w:val="none"/>
              </w:rPr>
              <w:t>法定代表人</w:t>
            </w:r>
            <w:r>
              <w:rPr>
                <w:rFonts w:hint="eastAsia"/>
                <w:color w:val="auto"/>
                <w:highlight w:val="none"/>
              </w:rPr>
              <w:t>（签字）:</w:t>
            </w:r>
          </w:p>
        </w:tc>
        <w:tc>
          <w:tcPr>
            <w:tcW w:w="4961" w:type="dxa"/>
            <w:shd w:val="clear" w:color="auto" w:fill="auto"/>
          </w:tcPr>
          <w:p>
            <w:pPr>
              <w:spacing w:line="360" w:lineRule="auto"/>
              <w:rPr>
                <w:color w:val="auto"/>
                <w:highlight w:val="none"/>
              </w:rPr>
            </w:pPr>
            <w:r>
              <w:rPr>
                <w:color w:val="auto"/>
                <w:highlight w:val="none"/>
              </w:rPr>
              <w:t>法定代表人</w:t>
            </w:r>
            <w:r>
              <w:rPr>
                <w:rFonts w:hint="eastAsia"/>
                <w:color w:val="auto"/>
                <w:highlight w:val="none"/>
              </w:rPr>
              <w:t>（签字）:</w:t>
            </w:r>
          </w:p>
        </w:tc>
      </w:tr>
      <w:tr>
        <w:tblPrEx>
          <w:tblCellMar>
            <w:top w:w="0" w:type="dxa"/>
            <w:left w:w="108" w:type="dxa"/>
            <w:bottom w:w="0" w:type="dxa"/>
            <w:right w:w="108" w:type="dxa"/>
          </w:tblCellMar>
        </w:tblPrEx>
        <w:trPr>
          <w:trHeight w:val="829" w:hRule="atLeast"/>
        </w:trPr>
        <w:tc>
          <w:tcPr>
            <w:tcW w:w="5070" w:type="dxa"/>
            <w:shd w:val="clear" w:color="auto" w:fill="auto"/>
          </w:tcPr>
          <w:p>
            <w:pPr>
              <w:spacing w:line="360" w:lineRule="auto"/>
              <w:rPr>
                <w:color w:val="auto"/>
                <w:highlight w:val="none"/>
              </w:rPr>
            </w:pPr>
            <w:r>
              <w:rPr>
                <w:color w:val="auto"/>
                <w:highlight w:val="none"/>
              </w:rPr>
              <w:t>委托代理人</w:t>
            </w:r>
            <w:r>
              <w:rPr>
                <w:rFonts w:hint="eastAsia"/>
                <w:color w:val="auto"/>
                <w:highlight w:val="none"/>
              </w:rPr>
              <w:t>（签字）:</w:t>
            </w:r>
          </w:p>
        </w:tc>
        <w:tc>
          <w:tcPr>
            <w:tcW w:w="4961" w:type="dxa"/>
            <w:shd w:val="clear" w:color="auto" w:fill="auto"/>
          </w:tcPr>
          <w:p>
            <w:pPr>
              <w:spacing w:line="360" w:lineRule="auto"/>
              <w:rPr>
                <w:color w:val="auto"/>
                <w:highlight w:val="none"/>
              </w:rPr>
            </w:pPr>
            <w:r>
              <w:rPr>
                <w:color w:val="auto"/>
                <w:highlight w:val="none"/>
              </w:rPr>
              <w:t>委托代理人</w:t>
            </w:r>
            <w:r>
              <w:rPr>
                <w:rFonts w:hint="eastAsia"/>
                <w:color w:val="auto"/>
                <w:highlight w:val="none"/>
              </w:rPr>
              <w:t>（签字）:</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rFonts w:hint="eastAsia"/>
                <w:color w:val="auto"/>
                <w:highlight w:val="none"/>
              </w:rPr>
              <w:t>地址：深圳市福田区深南大道6011-8号深铁置业大厦8楼</w:t>
            </w:r>
          </w:p>
        </w:tc>
        <w:tc>
          <w:tcPr>
            <w:tcW w:w="4961" w:type="dxa"/>
            <w:shd w:val="clear" w:color="auto" w:fill="auto"/>
          </w:tcPr>
          <w:p>
            <w:pPr>
              <w:spacing w:line="360" w:lineRule="auto"/>
              <w:rPr>
                <w:color w:val="auto"/>
                <w:highlight w:val="none"/>
              </w:rPr>
            </w:pPr>
            <w:r>
              <w:rPr>
                <w:rFonts w:hint="eastAsia"/>
                <w:color w:val="auto"/>
                <w:highlight w:val="none"/>
              </w:rPr>
              <w:t xml:space="preserve">地址： </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color w:val="auto"/>
                <w:highlight w:val="none"/>
              </w:rPr>
              <w:t>电话：</w:t>
            </w:r>
          </w:p>
          <w:p>
            <w:pPr>
              <w:spacing w:line="360" w:lineRule="auto"/>
              <w:rPr>
                <w:color w:val="auto"/>
                <w:highlight w:val="none"/>
              </w:rPr>
            </w:pPr>
            <w:r>
              <w:rPr>
                <w:rFonts w:hint="eastAsia"/>
                <w:color w:val="auto"/>
                <w:highlight w:val="none"/>
              </w:rPr>
              <w:t>传真：</w:t>
            </w:r>
          </w:p>
        </w:tc>
        <w:tc>
          <w:tcPr>
            <w:tcW w:w="4961" w:type="dxa"/>
            <w:shd w:val="clear" w:color="auto" w:fill="auto"/>
          </w:tcPr>
          <w:p>
            <w:pPr>
              <w:spacing w:line="360" w:lineRule="auto"/>
              <w:rPr>
                <w:color w:val="auto"/>
                <w:highlight w:val="none"/>
              </w:rPr>
            </w:pPr>
            <w:r>
              <w:rPr>
                <w:color w:val="auto"/>
                <w:highlight w:val="none"/>
              </w:rPr>
              <w:t>电话：</w:t>
            </w:r>
            <w:r>
              <w:rPr>
                <w:rFonts w:hint="eastAsia"/>
                <w:color w:val="auto"/>
                <w:highlight w:val="none"/>
              </w:rPr>
              <w:t xml:space="preserve"> </w:t>
            </w:r>
          </w:p>
          <w:p>
            <w:pPr>
              <w:spacing w:line="360" w:lineRule="auto"/>
              <w:rPr>
                <w:color w:val="auto"/>
                <w:highlight w:val="none"/>
              </w:rPr>
            </w:pPr>
            <w:r>
              <w:rPr>
                <w:rFonts w:hint="eastAsia"/>
                <w:color w:val="auto"/>
                <w:highlight w:val="none"/>
              </w:rPr>
              <w:t>统一社会信用代码：</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rFonts w:hint="eastAsia"/>
                <w:color w:val="auto"/>
                <w:highlight w:val="none"/>
              </w:rPr>
              <w:t>纳税识别号：</w:t>
            </w:r>
          </w:p>
        </w:tc>
        <w:tc>
          <w:tcPr>
            <w:tcW w:w="4961" w:type="dxa"/>
            <w:shd w:val="clear" w:color="auto" w:fill="auto"/>
          </w:tcPr>
          <w:p>
            <w:pPr>
              <w:spacing w:line="360" w:lineRule="auto"/>
              <w:rPr>
                <w:color w:val="auto"/>
                <w:highlight w:val="none"/>
              </w:rPr>
            </w:pPr>
            <w:r>
              <w:rPr>
                <w:color w:val="auto"/>
                <w:highlight w:val="none"/>
              </w:rPr>
              <w:t>传真：</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color w:val="auto"/>
                <w:highlight w:val="none"/>
              </w:rPr>
              <w:t xml:space="preserve">开户银行： </w:t>
            </w:r>
          </w:p>
        </w:tc>
        <w:tc>
          <w:tcPr>
            <w:tcW w:w="4961" w:type="dxa"/>
            <w:shd w:val="clear" w:color="auto" w:fill="auto"/>
          </w:tcPr>
          <w:p>
            <w:pPr>
              <w:spacing w:line="360" w:lineRule="auto"/>
              <w:rPr>
                <w:color w:val="auto"/>
                <w:highlight w:val="none"/>
              </w:rPr>
            </w:pPr>
            <w:r>
              <w:rPr>
                <w:color w:val="auto"/>
                <w:highlight w:val="none"/>
              </w:rPr>
              <w:t xml:space="preserve">开户银行： </w:t>
            </w:r>
            <w:r>
              <w:rPr>
                <w:rFonts w:hint="eastAsia"/>
                <w:color w:val="auto"/>
                <w:highlight w:val="none"/>
              </w:rPr>
              <w:t xml:space="preserve"> </w:t>
            </w:r>
          </w:p>
        </w:tc>
      </w:tr>
      <w:tr>
        <w:tblPrEx>
          <w:tblCellMar>
            <w:top w:w="0" w:type="dxa"/>
            <w:left w:w="108" w:type="dxa"/>
            <w:bottom w:w="0" w:type="dxa"/>
            <w:right w:w="108" w:type="dxa"/>
          </w:tblCellMar>
        </w:tblPrEx>
        <w:tc>
          <w:tcPr>
            <w:tcW w:w="5070" w:type="dxa"/>
            <w:shd w:val="clear" w:color="auto" w:fill="auto"/>
          </w:tcPr>
          <w:p>
            <w:pPr>
              <w:spacing w:line="360" w:lineRule="auto"/>
              <w:rPr>
                <w:color w:val="auto"/>
                <w:highlight w:val="none"/>
              </w:rPr>
            </w:pPr>
            <w:r>
              <w:rPr>
                <w:color w:val="auto"/>
                <w:highlight w:val="none"/>
              </w:rPr>
              <w:t>银行账号：</w:t>
            </w:r>
          </w:p>
        </w:tc>
        <w:tc>
          <w:tcPr>
            <w:tcW w:w="4961" w:type="dxa"/>
            <w:shd w:val="clear" w:color="auto" w:fill="auto"/>
          </w:tcPr>
          <w:p>
            <w:pPr>
              <w:spacing w:line="360" w:lineRule="auto"/>
              <w:rPr>
                <w:color w:val="auto"/>
                <w:highlight w:val="none"/>
              </w:rPr>
            </w:pPr>
            <w:r>
              <w:rPr>
                <w:color w:val="auto"/>
                <w:highlight w:val="none"/>
              </w:rPr>
              <w:t>银行账号：</w:t>
            </w:r>
            <w:r>
              <w:rPr>
                <w:rFonts w:hint="eastAsia"/>
                <w:color w:val="auto"/>
                <w:highlight w:val="none"/>
              </w:rPr>
              <w:t xml:space="preserve"> </w:t>
            </w:r>
          </w:p>
        </w:tc>
      </w:tr>
    </w:tbl>
    <w:p>
      <w:pPr>
        <w:widowControl/>
        <w:jc w:val="left"/>
        <w:rPr>
          <w:color w:val="auto"/>
          <w:highlight w:val="none"/>
        </w:rPr>
      </w:pPr>
    </w:p>
    <w:p>
      <w:pPr>
        <w:widowControl/>
        <w:jc w:val="left"/>
        <w:rPr>
          <w:color w:val="auto"/>
          <w:highlight w:val="none"/>
        </w:rPr>
      </w:pPr>
    </w:p>
    <w:p>
      <w:pPr>
        <w:spacing w:line="360" w:lineRule="auto"/>
        <w:jc w:val="left"/>
        <w:rPr>
          <w:color w:val="auto"/>
          <w:highlight w:val="none"/>
        </w:rPr>
      </w:pPr>
      <w:r>
        <w:rPr>
          <w:rFonts w:hint="eastAsia"/>
          <w:color w:val="auto"/>
          <w:highlight w:val="none"/>
        </w:rPr>
        <w:t>签订地点：深圳市福田区</w:t>
      </w:r>
    </w:p>
    <w:p>
      <w:pPr>
        <w:widowControl/>
        <w:jc w:val="left"/>
        <w:rPr>
          <w:color w:val="auto"/>
          <w:highlight w:val="none"/>
        </w:rPr>
      </w:pPr>
      <w:r>
        <w:rPr>
          <w:rFonts w:hint="eastAsia"/>
          <w:color w:val="auto"/>
          <w:highlight w:val="none"/>
        </w:rPr>
        <w:t xml:space="preserve">签订日期：   年    月    日          </w:t>
      </w:r>
    </w:p>
    <w:p>
      <w:pPr>
        <w:spacing w:line="360" w:lineRule="auto"/>
        <w:ind w:firstLine="478" w:firstLineChars="228"/>
        <w:rPr>
          <w:color w:val="auto"/>
          <w:highlight w:val="none"/>
        </w:rPr>
      </w:pPr>
    </w:p>
    <w:p>
      <w:pPr>
        <w:spacing w:line="360" w:lineRule="auto"/>
        <w:rPr>
          <w:color w:val="auto"/>
          <w:highlight w:val="none"/>
        </w:rPr>
      </w:pPr>
    </w:p>
    <w:p>
      <w:pPr>
        <w:widowControl/>
        <w:jc w:val="left"/>
        <w:rPr>
          <w:color w:val="auto"/>
          <w:highlight w:val="none"/>
        </w:rPr>
      </w:pPr>
      <w:r>
        <w:rPr>
          <w:color w:val="auto"/>
          <w:highlight w:val="none"/>
        </w:rPr>
        <w:br w:type="page"/>
      </w:r>
    </w:p>
    <w:p>
      <w:pPr>
        <w:jc w:val="left"/>
        <w:rPr>
          <w:b/>
          <w:color w:val="auto"/>
          <w:highlight w:val="none"/>
        </w:rPr>
      </w:pPr>
      <w:r>
        <w:rPr>
          <w:rFonts w:hint="eastAsia"/>
          <w:b/>
          <w:color w:val="auto"/>
          <w:highlight w:val="none"/>
        </w:rPr>
        <w:t>附件一：人员配备情况表</w:t>
      </w:r>
      <w:r>
        <w:rPr>
          <w:color w:val="auto"/>
          <w:highlight w:val="none"/>
        </w:rPr>
        <w:br w:type="page"/>
      </w:r>
      <w:r>
        <w:rPr>
          <w:rFonts w:hint="eastAsia"/>
          <w:b/>
          <w:color w:val="auto"/>
          <w:highlight w:val="none"/>
        </w:rPr>
        <w:t>附件二：工作坊合同履约评价细则</w:t>
      </w:r>
    </w:p>
    <w:p>
      <w:pPr>
        <w:rPr>
          <w:b/>
          <w:color w:val="auto"/>
          <w:highlight w:val="none"/>
        </w:rPr>
      </w:pP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履约单位：                                     项目名称：</w:t>
      </w:r>
    </w:p>
    <w:tbl>
      <w:tblPr>
        <w:tblStyle w:val="8"/>
        <w:tblW w:w="9720" w:type="dxa"/>
        <w:tblInd w:w="-252" w:type="dxa"/>
        <w:tblLayout w:type="fixed"/>
        <w:tblCellMar>
          <w:top w:w="0" w:type="dxa"/>
          <w:left w:w="108" w:type="dxa"/>
          <w:bottom w:w="0" w:type="dxa"/>
          <w:right w:w="108" w:type="dxa"/>
        </w:tblCellMar>
      </w:tblPr>
      <w:tblGrid>
        <w:gridCol w:w="540"/>
        <w:gridCol w:w="1332"/>
        <w:gridCol w:w="648"/>
        <w:gridCol w:w="6480"/>
        <w:gridCol w:w="720"/>
      </w:tblGrid>
      <w:tr>
        <w:tblPrEx>
          <w:tblCellMar>
            <w:top w:w="0" w:type="dxa"/>
            <w:left w:w="108" w:type="dxa"/>
            <w:bottom w:w="0" w:type="dxa"/>
            <w:right w:w="108" w:type="dxa"/>
          </w:tblCellMar>
        </w:tblPrEx>
        <w:trPr>
          <w:trHeight w:val="314" w:hRule="atLeast"/>
        </w:trPr>
        <w:tc>
          <w:tcPr>
            <w:tcW w:w="540" w:type="dxa"/>
            <w:vMerge w:val="restart"/>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序号</w:t>
            </w:r>
          </w:p>
        </w:tc>
        <w:tc>
          <w:tcPr>
            <w:tcW w:w="1332"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分项内容</w:t>
            </w:r>
          </w:p>
        </w:tc>
        <w:tc>
          <w:tcPr>
            <w:tcW w:w="648"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满分分值</w:t>
            </w:r>
          </w:p>
        </w:tc>
        <w:tc>
          <w:tcPr>
            <w:tcW w:w="648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评     价     标     准</w:t>
            </w:r>
          </w:p>
        </w:tc>
        <w:tc>
          <w:tcPr>
            <w:tcW w:w="72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得分</w:t>
            </w:r>
          </w:p>
        </w:tc>
      </w:tr>
      <w:tr>
        <w:tblPrEx>
          <w:tblCellMar>
            <w:top w:w="0" w:type="dxa"/>
            <w:left w:w="108" w:type="dxa"/>
            <w:bottom w:w="0" w:type="dxa"/>
            <w:right w:w="108" w:type="dxa"/>
          </w:tblCellMar>
        </w:tblPrEx>
        <w:trPr>
          <w:trHeight w:val="314" w:hRule="atLeast"/>
        </w:trPr>
        <w:tc>
          <w:tcPr>
            <w:tcW w:w="540"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c>
          <w:tcPr>
            <w:tcW w:w="1332"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c>
          <w:tcPr>
            <w:tcW w:w="648"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c>
          <w:tcPr>
            <w:tcW w:w="648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c>
          <w:tcPr>
            <w:tcW w:w="72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187"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人员配备</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479"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人员数量要求</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 5 </w:t>
            </w:r>
            <w:r>
              <w:rPr>
                <w:rFonts w:hint="eastAsia" w:ascii="宋体" w:hAnsi="宋体" w:eastAsia="宋体" w:cs="宋体"/>
                <w:color w:val="auto"/>
                <w:kern w:val="0"/>
                <w:sz w:val="18"/>
                <w:szCs w:val="18"/>
                <w:highlight w:val="none"/>
              </w:rPr>
              <w:t>分：配备的工作人员的数量满足合同及招标文件的要求；                                                                                                      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分：配备的工作人员的数量不满足合同及招标文件的要求。</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1230"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专业配置要求</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 5 </w:t>
            </w:r>
            <w:r>
              <w:rPr>
                <w:rFonts w:hint="eastAsia" w:ascii="宋体" w:hAnsi="宋体" w:eastAsia="宋体" w:cs="宋体"/>
                <w:color w:val="auto"/>
                <w:kern w:val="0"/>
                <w:sz w:val="18"/>
                <w:szCs w:val="18"/>
                <w:highlight w:val="none"/>
              </w:rPr>
              <w:t>分：配备的工作人员的专业满足合同及招标文件的要求且各专业人员要求稳定；</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良好</w:t>
            </w:r>
            <w:r>
              <w:rPr>
                <w:rFonts w:hint="eastAsia" w:ascii="宋体" w:hAnsi="宋体" w:eastAsia="宋体" w:cs="宋体"/>
                <w:color w:val="auto"/>
                <w:kern w:val="0"/>
                <w:sz w:val="18"/>
                <w:szCs w:val="18"/>
                <w:highlight w:val="none"/>
                <w:u w:val="single"/>
              </w:rPr>
              <w:t xml:space="preserve"> 3 </w:t>
            </w:r>
            <w:r>
              <w:rPr>
                <w:rFonts w:hint="eastAsia" w:ascii="宋体" w:hAnsi="宋体" w:eastAsia="宋体" w:cs="宋体"/>
                <w:color w:val="auto"/>
                <w:kern w:val="0"/>
                <w:sz w:val="18"/>
                <w:szCs w:val="18"/>
                <w:highlight w:val="none"/>
              </w:rPr>
              <w:t>分：配备的工作人员的专业满足合同及招标文件的要求且各专业人员比较稳定；</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合格</w:t>
            </w:r>
            <w:r>
              <w:rPr>
                <w:rFonts w:hint="eastAsia" w:ascii="宋体" w:hAnsi="宋体" w:eastAsia="宋体" w:cs="宋体"/>
                <w:color w:val="auto"/>
                <w:kern w:val="0"/>
                <w:sz w:val="18"/>
                <w:szCs w:val="18"/>
                <w:highlight w:val="none"/>
                <w:u w:val="single"/>
              </w:rPr>
              <w:t xml:space="preserve"> 2 </w:t>
            </w:r>
            <w:r>
              <w:rPr>
                <w:rFonts w:hint="eastAsia" w:ascii="宋体" w:hAnsi="宋体" w:eastAsia="宋体" w:cs="宋体"/>
                <w:color w:val="auto"/>
                <w:kern w:val="0"/>
                <w:sz w:val="18"/>
                <w:szCs w:val="18"/>
                <w:highlight w:val="none"/>
              </w:rPr>
              <w:t xml:space="preserve">分：配备的工作人员的专业满足合同及招标文件的要求且各专业人员基本稳定； </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分：配备的工作人员的专业不满足合同及招标文件的要求或各专业人员不够稳定。</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2025"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项目负责人要求</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 10 </w:t>
            </w:r>
            <w:r>
              <w:rPr>
                <w:rFonts w:hint="eastAsia" w:ascii="宋体" w:hAnsi="宋体" w:eastAsia="宋体" w:cs="宋体"/>
                <w:color w:val="auto"/>
                <w:kern w:val="0"/>
                <w:sz w:val="18"/>
                <w:szCs w:val="18"/>
                <w:highlight w:val="none"/>
              </w:rPr>
              <w:t>分：配备固定的项目负责人且该负责人具有高度责任心、良好的组织协调能力和专业的业务水平；</w:t>
            </w:r>
          </w:p>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良好</w:t>
            </w:r>
            <w:r>
              <w:rPr>
                <w:rFonts w:hint="eastAsia" w:ascii="宋体" w:hAnsi="宋体" w:eastAsia="宋体" w:cs="宋体"/>
                <w:color w:val="auto"/>
                <w:kern w:val="0"/>
                <w:sz w:val="18"/>
                <w:szCs w:val="18"/>
                <w:highlight w:val="none"/>
                <w:u w:val="single"/>
              </w:rPr>
              <w:t xml:space="preserve"> 8 </w:t>
            </w:r>
            <w:r>
              <w:rPr>
                <w:rFonts w:hint="eastAsia" w:ascii="宋体" w:hAnsi="宋体" w:eastAsia="宋体" w:cs="宋体"/>
                <w:color w:val="auto"/>
                <w:kern w:val="0"/>
                <w:sz w:val="18"/>
                <w:szCs w:val="18"/>
                <w:highlight w:val="none"/>
              </w:rPr>
              <w:t>分：配备固定的项目负责人且该负责人具有高度责任心、比较良好的组织协调能力和比较专业的业务水平；</w:t>
            </w:r>
          </w:p>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合格</w:t>
            </w:r>
            <w:r>
              <w:rPr>
                <w:rFonts w:hint="eastAsia" w:ascii="宋体" w:hAnsi="宋体" w:eastAsia="宋体" w:cs="宋体"/>
                <w:color w:val="auto"/>
                <w:kern w:val="0"/>
                <w:sz w:val="18"/>
                <w:szCs w:val="18"/>
                <w:highlight w:val="none"/>
                <w:u w:val="single"/>
              </w:rPr>
              <w:t xml:space="preserve"> 6 </w:t>
            </w:r>
            <w:r>
              <w:rPr>
                <w:rFonts w:hint="eastAsia" w:ascii="宋体" w:hAnsi="宋体" w:eastAsia="宋体" w:cs="宋体"/>
                <w:color w:val="auto"/>
                <w:kern w:val="0"/>
                <w:sz w:val="18"/>
                <w:szCs w:val="18"/>
                <w:highlight w:val="none"/>
              </w:rPr>
              <w:t xml:space="preserve">分：配备固定的项目负责人且该负责人具有高度责任心、基本良好的组织协调能力和基本专业的业务水平；                                                               </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分：配备的项目负责人不固定或该负责人不具有高度责任心、良好的组织协调能力和专业的业务水平。</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121"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履约质量</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515"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工作坊服务</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工作质量</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合格</w:t>
            </w:r>
            <w:r>
              <w:rPr>
                <w:rFonts w:hint="eastAsia" w:ascii="宋体" w:hAnsi="宋体" w:eastAsia="宋体" w:cs="宋体"/>
                <w:color w:val="auto"/>
                <w:kern w:val="0"/>
                <w:sz w:val="18"/>
                <w:szCs w:val="18"/>
                <w:highlight w:val="none"/>
                <w:u w:val="single"/>
              </w:rPr>
              <w:t xml:space="preserve"> 15 </w:t>
            </w:r>
            <w:r>
              <w:rPr>
                <w:rFonts w:hint="eastAsia" w:ascii="宋体" w:hAnsi="宋体" w:eastAsia="宋体" w:cs="宋体"/>
                <w:color w:val="auto"/>
                <w:kern w:val="0"/>
                <w:sz w:val="18"/>
                <w:szCs w:val="18"/>
                <w:highlight w:val="none"/>
              </w:rPr>
              <w:t>分：策划工作全面、准确；</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分：策划工作不全面或不准确。</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555"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工作坊</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成果文件</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 10</w:t>
            </w:r>
            <w:r>
              <w:rPr>
                <w:rFonts w:hint="eastAsia" w:ascii="宋体" w:hAnsi="宋体" w:eastAsia="宋体" w:cs="宋体"/>
                <w:color w:val="auto"/>
                <w:kern w:val="0"/>
                <w:sz w:val="18"/>
                <w:szCs w:val="18"/>
                <w:highlight w:val="none"/>
              </w:rPr>
              <w:t xml:space="preserve">分：能够按照合同要求提交完整的工作坊成果；                                                                                  </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分：不能够按照合同要求提交完整的工作坊成果。</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115"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履约时间</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363"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工作时间</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25</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25 </w:t>
            </w:r>
            <w:r>
              <w:rPr>
                <w:rFonts w:hint="eastAsia" w:ascii="宋体" w:hAnsi="宋体" w:eastAsia="宋体" w:cs="宋体"/>
                <w:color w:val="auto"/>
                <w:kern w:val="0"/>
                <w:sz w:val="18"/>
                <w:szCs w:val="18"/>
                <w:highlight w:val="none"/>
              </w:rPr>
              <w:t xml:space="preserve">分：能够及时地按照合同要求完成工作坊工作；                                         </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良好</w:t>
            </w:r>
            <w:r>
              <w:rPr>
                <w:rFonts w:hint="eastAsia" w:ascii="宋体" w:hAnsi="宋体" w:eastAsia="宋体" w:cs="宋体"/>
                <w:color w:val="auto"/>
                <w:kern w:val="0"/>
                <w:sz w:val="18"/>
                <w:szCs w:val="18"/>
                <w:highlight w:val="none"/>
                <w:u w:val="single"/>
              </w:rPr>
              <w:t xml:space="preserve"> 20 </w:t>
            </w:r>
            <w:r>
              <w:rPr>
                <w:rFonts w:hint="eastAsia" w:ascii="宋体" w:hAnsi="宋体" w:eastAsia="宋体" w:cs="宋体"/>
                <w:color w:val="auto"/>
                <w:kern w:val="0"/>
                <w:sz w:val="18"/>
                <w:szCs w:val="18"/>
                <w:highlight w:val="none"/>
              </w:rPr>
              <w:t>分：能够比较及时地按照合同要求完成工作坊工作；                                                                                   合格</w:t>
            </w:r>
            <w:r>
              <w:rPr>
                <w:rFonts w:hint="eastAsia" w:ascii="宋体" w:hAnsi="宋体" w:eastAsia="宋体" w:cs="宋体"/>
                <w:color w:val="auto"/>
                <w:kern w:val="0"/>
                <w:sz w:val="18"/>
                <w:szCs w:val="18"/>
                <w:highlight w:val="none"/>
                <w:u w:val="single"/>
              </w:rPr>
              <w:t xml:space="preserve"> 15 </w:t>
            </w:r>
            <w:r>
              <w:rPr>
                <w:rFonts w:hint="eastAsia" w:ascii="宋体" w:hAnsi="宋体" w:eastAsia="宋体" w:cs="宋体"/>
                <w:color w:val="auto"/>
                <w:kern w:val="0"/>
                <w:sz w:val="18"/>
                <w:szCs w:val="18"/>
                <w:highlight w:val="none"/>
              </w:rPr>
              <w:t>分：能够基本及时地按照合同要求完成工作坊工作；                                                                                   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 xml:space="preserve">分：不能够及时按照合同要求完成工作坊工作。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r>
        <w:tblPrEx>
          <w:tblCellMar>
            <w:top w:w="0" w:type="dxa"/>
            <w:left w:w="108" w:type="dxa"/>
            <w:bottom w:w="0" w:type="dxa"/>
            <w:right w:w="108" w:type="dxa"/>
          </w:tblCellMar>
        </w:tblPrEx>
        <w:trPr>
          <w:trHeight w:val="363"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四</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服务态度</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363"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服务态度</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20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20 </w:t>
            </w:r>
            <w:r>
              <w:rPr>
                <w:rFonts w:hint="eastAsia" w:ascii="宋体" w:hAnsi="宋体" w:eastAsia="宋体" w:cs="宋体"/>
                <w:color w:val="auto"/>
                <w:kern w:val="0"/>
                <w:sz w:val="18"/>
                <w:szCs w:val="18"/>
                <w:highlight w:val="none"/>
              </w:rPr>
              <w:t xml:space="preserve">分：能够积极主动的配合完成工作坊工作；                                         </w:t>
            </w:r>
          </w:p>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良好</w:t>
            </w:r>
            <w:r>
              <w:rPr>
                <w:rFonts w:hint="eastAsia" w:ascii="宋体" w:hAnsi="宋体" w:eastAsia="宋体" w:cs="宋体"/>
                <w:color w:val="auto"/>
                <w:kern w:val="0"/>
                <w:sz w:val="18"/>
                <w:szCs w:val="18"/>
                <w:highlight w:val="none"/>
                <w:u w:val="single"/>
              </w:rPr>
              <w:t xml:space="preserve"> 15 </w:t>
            </w:r>
            <w:r>
              <w:rPr>
                <w:rFonts w:hint="eastAsia" w:ascii="宋体" w:hAnsi="宋体" w:eastAsia="宋体" w:cs="宋体"/>
                <w:color w:val="auto"/>
                <w:kern w:val="0"/>
                <w:sz w:val="18"/>
                <w:szCs w:val="18"/>
                <w:highlight w:val="none"/>
              </w:rPr>
              <w:t>分：能够比较主动的配合完成工作坊工作；                                                                                   合格</w:t>
            </w:r>
            <w:r>
              <w:rPr>
                <w:rFonts w:hint="eastAsia" w:ascii="宋体" w:hAnsi="宋体" w:eastAsia="宋体" w:cs="宋体"/>
                <w:color w:val="auto"/>
                <w:kern w:val="0"/>
                <w:sz w:val="18"/>
                <w:szCs w:val="18"/>
                <w:highlight w:val="none"/>
                <w:u w:val="single"/>
              </w:rPr>
              <w:t xml:space="preserve"> 10 </w:t>
            </w:r>
            <w:r>
              <w:rPr>
                <w:rFonts w:hint="eastAsia" w:ascii="宋体" w:hAnsi="宋体" w:eastAsia="宋体" w:cs="宋体"/>
                <w:color w:val="auto"/>
                <w:kern w:val="0"/>
                <w:sz w:val="18"/>
                <w:szCs w:val="18"/>
                <w:highlight w:val="none"/>
              </w:rPr>
              <w:t>分：需要甲方督促才完成工作坊工作；                                                                                   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 xml:space="preserve">分：以各种理由拖延完成工作坊工作。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103"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五</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成果保密</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750" w:hRule="atLeast"/>
        </w:trPr>
        <w:tc>
          <w:tcPr>
            <w:tcW w:w="540" w:type="dxa"/>
            <w:tcBorders>
              <w:top w:val="nil"/>
              <w:left w:val="single" w:color="auto" w:sz="8"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1332"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保密工作</w:t>
            </w:r>
          </w:p>
        </w:tc>
        <w:tc>
          <w:tcPr>
            <w:tcW w:w="648" w:type="dxa"/>
            <w:tcBorders>
              <w:top w:val="nil"/>
              <w:left w:val="nil"/>
              <w:bottom w:val="single" w:color="auto" w:sz="4"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w:t>
            </w:r>
          </w:p>
        </w:tc>
        <w:tc>
          <w:tcPr>
            <w:tcW w:w="648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优秀</w:t>
            </w:r>
            <w:r>
              <w:rPr>
                <w:rFonts w:hint="eastAsia" w:ascii="宋体" w:hAnsi="宋体" w:eastAsia="宋体" w:cs="宋体"/>
                <w:color w:val="auto"/>
                <w:kern w:val="0"/>
                <w:sz w:val="18"/>
                <w:szCs w:val="18"/>
                <w:highlight w:val="none"/>
                <w:u w:val="single"/>
              </w:rPr>
              <w:t xml:space="preserve"> 10 </w:t>
            </w:r>
            <w:r>
              <w:rPr>
                <w:rFonts w:hint="eastAsia" w:ascii="宋体" w:hAnsi="宋体" w:eastAsia="宋体" w:cs="宋体"/>
                <w:color w:val="auto"/>
                <w:kern w:val="0"/>
                <w:sz w:val="18"/>
                <w:szCs w:val="18"/>
                <w:highlight w:val="none"/>
              </w:rPr>
              <w:t>分：在没有得到相应许可的情况下，不对外公开涉及任何机密的资料；                                                                                    不合格</w:t>
            </w:r>
            <w:r>
              <w:rPr>
                <w:rFonts w:hint="eastAsia" w:ascii="宋体" w:hAnsi="宋体" w:eastAsia="宋体" w:cs="宋体"/>
                <w:color w:val="auto"/>
                <w:kern w:val="0"/>
                <w:sz w:val="18"/>
                <w:szCs w:val="18"/>
                <w:highlight w:val="none"/>
                <w:u w:val="single"/>
              </w:rPr>
              <w:t xml:space="preserve"> 0 </w:t>
            </w:r>
            <w:r>
              <w:rPr>
                <w:rFonts w:hint="eastAsia" w:ascii="宋体" w:hAnsi="宋体" w:eastAsia="宋体" w:cs="宋体"/>
                <w:color w:val="auto"/>
                <w:kern w:val="0"/>
                <w:sz w:val="18"/>
                <w:szCs w:val="18"/>
                <w:highlight w:val="none"/>
              </w:rPr>
              <w:t>分：在没有得到相应许可的情况下，对外公开涉及任何机密的资料并造成</w:t>
            </w:r>
            <w:r>
              <w:rPr>
                <w:rFonts w:hint="eastAsia" w:ascii="宋体" w:hAnsi="宋体" w:cs="宋体"/>
                <w:color w:val="auto"/>
                <w:kern w:val="0"/>
                <w:sz w:val="18"/>
                <w:szCs w:val="18"/>
                <w:highlight w:val="none"/>
                <w:lang w:val="en-US" w:eastAsia="zh-CN"/>
              </w:rPr>
              <w:t>甲方损失的</w:t>
            </w:r>
            <w:r>
              <w:rPr>
                <w:rFonts w:hint="eastAsia" w:ascii="宋体" w:hAnsi="宋体" w:eastAsia="宋体" w:cs="宋体"/>
                <w:color w:val="auto"/>
                <w:kern w:val="0"/>
                <w:sz w:val="18"/>
                <w:szCs w:val="18"/>
                <w:highlight w:val="none"/>
              </w:rPr>
              <w:t>。</w:t>
            </w:r>
          </w:p>
        </w:tc>
        <w:tc>
          <w:tcPr>
            <w:tcW w:w="720" w:type="dxa"/>
            <w:tcBorders>
              <w:top w:val="nil"/>
              <w:left w:val="nil"/>
              <w:bottom w:val="single" w:color="auto" w:sz="4"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p>
        </w:tc>
      </w:tr>
      <w:tr>
        <w:tblPrEx>
          <w:tblCellMar>
            <w:top w:w="0" w:type="dxa"/>
            <w:left w:w="108" w:type="dxa"/>
            <w:bottom w:w="0" w:type="dxa"/>
            <w:right w:w="108" w:type="dxa"/>
          </w:tblCellMar>
        </w:tblPrEx>
        <w:trPr>
          <w:trHeight w:val="413" w:hRule="atLeast"/>
        </w:trPr>
        <w:tc>
          <w:tcPr>
            <w:tcW w:w="540" w:type="dxa"/>
            <w:tcBorders>
              <w:top w:val="nil"/>
              <w:left w:val="single" w:color="auto" w:sz="8" w:space="0"/>
              <w:bottom w:val="single" w:color="auto" w:sz="8"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p>
        </w:tc>
        <w:tc>
          <w:tcPr>
            <w:tcW w:w="1332" w:type="dxa"/>
            <w:tcBorders>
              <w:top w:val="nil"/>
              <w:left w:val="nil"/>
              <w:bottom w:val="single" w:color="auto" w:sz="8"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合  计</w:t>
            </w:r>
          </w:p>
        </w:tc>
        <w:tc>
          <w:tcPr>
            <w:tcW w:w="648" w:type="dxa"/>
            <w:tcBorders>
              <w:top w:val="nil"/>
              <w:left w:val="nil"/>
              <w:bottom w:val="single" w:color="auto" w:sz="8" w:space="0"/>
              <w:right w:val="single" w:color="auto" w:sz="4" w:space="0"/>
            </w:tcBorders>
            <w:vAlign w:val="center"/>
          </w:tcPr>
          <w:p>
            <w:pPr>
              <w:widowControl/>
              <w:adjustRightInd w:val="0"/>
              <w:snapToGrid w:val="0"/>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100</w:t>
            </w:r>
          </w:p>
        </w:tc>
        <w:tc>
          <w:tcPr>
            <w:tcW w:w="6480" w:type="dxa"/>
            <w:tcBorders>
              <w:top w:val="nil"/>
              <w:left w:val="nil"/>
              <w:bottom w:val="single" w:color="auto" w:sz="8"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c>
          <w:tcPr>
            <w:tcW w:w="720" w:type="dxa"/>
            <w:tcBorders>
              <w:top w:val="nil"/>
              <w:left w:val="nil"/>
              <w:bottom w:val="single" w:color="auto" w:sz="8" w:space="0"/>
              <w:right w:val="single" w:color="auto" w:sz="4" w:space="0"/>
            </w:tcBorders>
            <w:vAlign w:val="center"/>
          </w:tcPr>
          <w:p>
            <w:pPr>
              <w:widowControl/>
              <w:adjustRightInd w:val="0"/>
              <w:snapToGrid w:val="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w:t>
            </w:r>
          </w:p>
        </w:tc>
      </w:tr>
    </w:tbl>
    <w:p>
      <w:pPr>
        <w:rPr>
          <w:rFonts w:hint="eastAsia" w:ascii="宋体" w:hAnsi="宋体" w:eastAsia="宋体" w:cs="宋体"/>
          <w:color w:val="auto"/>
          <w:highlight w:val="none"/>
        </w:rPr>
      </w:pPr>
      <w:r>
        <w:rPr>
          <w:rFonts w:hint="eastAsia" w:ascii="宋体" w:hAnsi="宋体" w:eastAsia="宋体" w:cs="宋体"/>
          <w:color w:val="auto"/>
          <w:highlight w:val="none"/>
        </w:rPr>
        <w:t>履约评价小组：                                                时间：</w:t>
      </w:r>
    </w:p>
    <w:p>
      <w:pPr>
        <w:rPr>
          <w:rFonts w:hint="eastAsia" w:asciiTheme="minorEastAsia" w:hAnsiTheme="minorEastAsia" w:eastAsiaTheme="minorEastAsia"/>
          <w:color w:val="auto"/>
          <w:szCs w:val="21"/>
          <w:highlight w:val="none"/>
        </w:rPr>
      </w:pPr>
    </w:p>
    <w:p>
      <w:pPr>
        <w:rPr>
          <w:b/>
          <w:color w:val="auto"/>
          <w:highlight w:val="none"/>
        </w:rPr>
      </w:pPr>
      <w:r>
        <w:rPr>
          <w:rFonts w:hint="eastAsia" w:asciiTheme="minorEastAsia" w:hAnsiTheme="minorEastAsia" w:eastAsiaTheme="minorEastAsia"/>
          <w:color w:val="auto"/>
          <w:szCs w:val="21"/>
          <w:highlight w:val="none"/>
        </w:rPr>
        <w:t>履约评价评分采用百分制，综合考评结果分为优秀（评分≥90分）、良好（80≤评分&lt;90分）、中等（70≤评分&lt;80分）、合格（60≤评分&lt;70分）、不合格(评分&lt;60分)五个等级，对应的绩效酬金支付比例分别为100%、100%、</w:t>
      </w:r>
      <w:r>
        <w:rPr>
          <w:rFonts w:hint="eastAsia" w:asciiTheme="minorEastAsia" w:hAnsiTheme="minorEastAsia" w:eastAsiaTheme="minorEastAsia"/>
          <w:color w:val="auto"/>
          <w:szCs w:val="21"/>
          <w:highlight w:val="none"/>
          <w:lang w:val="en-US" w:eastAsia="zh-CN"/>
        </w:rPr>
        <w:t>8</w:t>
      </w:r>
      <w:r>
        <w:rPr>
          <w:rFonts w:hint="eastAsia" w:asciiTheme="minorEastAsia" w:hAnsiTheme="minorEastAsia" w:eastAsiaTheme="minorEastAsia"/>
          <w:color w:val="auto"/>
          <w:szCs w:val="21"/>
          <w:highlight w:val="none"/>
        </w:rPr>
        <w:t>0%、</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0%、0%。</w:t>
      </w:r>
      <w:r>
        <w:rPr>
          <w:color w:val="auto"/>
          <w:highlight w:val="none"/>
        </w:rPr>
        <w:br w:type="page"/>
      </w:r>
      <w:r>
        <w:rPr>
          <w:rFonts w:hint="eastAsia"/>
          <w:b/>
          <w:color w:val="auto"/>
          <w:highlight w:val="none"/>
        </w:rPr>
        <w:t>附件三：中标通知书（如果有）</w:t>
      </w:r>
    </w:p>
    <w:p>
      <w:pPr>
        <w:rPr>
          <w:color w:val="auto"/>
          <w:highlight w:val="none"/>
        </w:rPr>
      </w:pPr>
    </w:p>
    <w:p>
      <w:pPr>
        <w:spacing w:line="360" w:lineRule="auto"/>
        <w:rPr>
          <w:color w:val="auto"/>
          <w:highlight w:val="none"/>
        </w:rPr>
      </w:pPr>
    </w:p>
    <w:sectPr>
      <w:footerReference r:id="rId3" w:type="default"/>
      <w:pgSz w:w="11906" w:h="16838"/>
      <w:pgMar w:top="1440" w:right="1800" w:bottom="1440" w:left="1800" w:header="851" w:footer="598"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rFonts w:asciiTheme="minorEastAsia" w:hAnsiTheme="minorEastAsia" w:eastAsiaTheme="minorEastAsia"/>
      </w:rPr>
    </w:sdtEndPr>
    <w:sdtContent>
      <w:p>
        <w:pPr>
          <w:pStyle w:val="5"/>
          <w:jc w:val="center"/>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3</w:t>
        </w:r>
        <w:r>
          <w:rPr>
            <w:rFonts w:asciiTheme="minorEastAsia" w:hAnsiTheme="minorEastAsia" w:eastAsiaTheme="minorEastAsia"/>
          </w:rPr>
          <w:fldChar w:fldCharType="end"/>
        </w:r>
        <w:r>
          <w:rPr>
            <w:rFonts w:hint="eastAsia" w:asciiTheme="minorEastAsia" w:hAnsiTheme="minorEastAsia" w:eastAsiaTheme="minorEastAsia"/>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2E302"/>
    <w:multiLevelType w:val="singleLevel"/>
    <w:tmpl w:val="3662E302"/>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Formatting/>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YjA2YjhkMmQyOWZiMDg2ZGI0M2FlZDllN2IyMjUifQ=="/>
  </w:docVars>
  <w:rsids>
    <w:rsidRoot w:val="002F3673"/>
    <w:rsid w:val="00001E71"/>
    <w:rsid w:val="00003C57"/>
    <w:rsid w:val="0000583C"/>
    <w:rsid w:val="00006075"/>
    <w:rsid w:val="00007F5A"/>
    <w:rsid w:val="000115D8"/>
    <w:rsid w:val="00013D30"/>
    <w:rsid w:val="00014237"/>
    <w:rsid w:val="00016198"/>
    <w:rsid w:val="00017149"/>
    <w:rsid w:val="00017A06"/>
    <w:rsid w:val="00022DC5"/>
    <w:rsid w:val="000232A4"/>
    <w:rsid w:val="00024ED9"/>
    <w:rsid w:val="00025482"/>
    <w:rsid w:val="00025D1E"/>
    <w:rsid w:val="00026C17"/>
    <w:rsid w:val="000340E4"/>
    <w:rsid w:val="000361EC"/>
    <w:rsid w:val="000401E3"/>
    <w:rsid w:val="00041EFE"/>
    <w:rsid w:val="00042DA8"/>
    <w:rsid w:val="000500F4"/>
    <w:rsid w:val="000540C2"/>
    <w:rsid w:val="00054BFD"/>
    <w:rsid w:val="000616A4"/>
    <w:rsid w:val="00062F9C"/>
    <w:rsid w:val="000633CB"/>
    <w:rsid w:val="00063D28"/>
    <w:rsid w:val="00064E03"/>
    <w:rsid w:val="00070BFD"/>
    <w:rsid w:val="00074263"/>
    <w:rsid w:val="00076E12"/>
    <w:rsid w:val="00077453"/>
    <w:rsid w:val="00081F45"/>
    <w:rsid w:val="00086697"/>
    <w:rsid w:val="000955A5"/>
    <w:rsid w:val="000A1A3B"/>
    <w:rsid w:val="000A3E7A"/>
    <w:rsid w:val="000B0F18"/>
    <w:rsid w:val="000B30E0"/>
    <w:rsid w:val="000B5566"/>
    <w:rsid w:val="000B6C0B"/>
    <w:rsid w:val="000C10A5"/>
    <w:rsid w:val="000C12D9"/>
    <w:rsid w:val="000C6A3D"/>
    <w:rsid w:val="000D4B73"/>
    <w:rsid w:val="000D57E2"/>
    <w:rsid w:val="000E26B2"/>
    <w:rsid w:val="000E7198"/>
    <w:rsid w:val="000F2EDA"/>
    <w:rsid w:val="00101018"/>
    <w:rsid w:val="00102191"/>
    <w:rsid w:val="0011362F"/>
    <w:rsid w:val="00113804"/>
    <w:rsid w:val="00113E12"/>
    <w:rsid w:val="0011495C"/>
    <w:rsid w:val="00114A95"/>
    <w:rsid w:val="00114D5B"/>
    <w:rsid w:val="00115BC4"/>
    <w:rsid w:val="00126232"/>
    <w:rsid w:val="00131392"/>
    <w:rsid w:val="00136695"/>
    <w:rsid w:val="0014199A"/>
    <w:rsid w:val="00143802"/>
    <w:rsid w:val="00143C61"/>
    <w:rsid w:val="00165850"/>
    <w:rsid w:val="00165B6E"/>
    <w:rsid w:val="00171352"/>
    <w:rsid w:val="001738C5"/>
    <w:rsid w:val="00177FF8"/>
    <w:rsid w:val="001818D7"/>
    <w:rsid w:val="0018436B"/>
    <w:rsid w:val="00186963"/>
    <w:rsid w:val="001907E2"/>
    <w:rsid w:val="001930DC"/>
    <w:rsid w:val="001A109D"/>
    <w:rsid w:val="001A399B"/>
    <w:rsid w:val="001A5B54"/>
    <w:rsid w:val="001A6625"/>
    <w:rsid w:val="001A7CBD"/>
    <w:rsid w:val="001B238C"/>
    <w:rsid w:val="001B64D6"/>
    <w:rsid w:val="001B6544"/>
    <w:rsid w:val="001B6B7E"/>
    <w:rsid w:val="001C01DB"/>
    <w:rsid w:val="001C3C42"/>
    <w:rsid w:val="001C3FDF"/>
    <w:rsid w:val="001C5BC4"/>
    <w:rsid w:val="001C6852"/>
    <w:rsid w:val="001D07D0"/>
    <w:rsid w:val="001D34F3"/>
    <w:rsid w:val="001D3864"/>
    <w:rsid w:val="001D4A67"/>
    <w:rsid w:val="001D783C"/>
    <w:rsid w:val="001E1F78"/>
    <w:rsid w:val="001E6EB6"/>
    <w:rsid w:val="001F08EB"/>
    <w:rsid w:val="001F1152"/>
    <w:rsid w:val="001F126D"/>
    <w:rsid w:val="001F3407"/>
    <w:rsid w:val="00200872"/>
    <w:rsid w:val="002047F9"/>
    <w:rsid w:val="00213D1A"/>
    <w:rsid w:val="002152D1"/>
    <w:rsid w:val="00222224"/>
    <w:rsid w:val="00225B38"/>
    <w:rsid w:val="00233221"/>
    <w:rsid w:val="00234103"/>
    <w:rsid w:val="002358A7"/>
    <w:rsid w:val="0024381A"/>
    <w:rsid w:val="0025010B"/>
    <w:rsid w:val="002515B7"/>
    <w:rsid w:val="00251735"/>
    <w:rsid w:val="002663E1"/>
    <w:rsid w:val="002700D4"/>
    <w:rsid w:val="0027163B"/>
    <w:rsid w:val="00277701"/>
    <w:rsid w:val="0028411C"/>
    <w:rsid w:val="0029013E"/>
    <w:rsid w:val="00296CA8"/>
    <w:rsid w:val="00296E17"/>
    <w:rsid w:val="002A2A71"/>
    <w:rsid w:val="002A566F"/>
    <w:rsid w:val="002A5675"/>
    <w:rsid w:val="002B0471"/>
    <w:rsid w:val="002B2329"/>
    <w:rsid w:val="002B338C"/>
    <w:rsid w:val="002C11C0"/>
    <w:rsid w:val="002C4038"/>
    <w:rsid w:val="002C43FB"/>
    <w:rsid w:val="002C4CCE"/>
    <w:rsid w:val="002D1D1B"/>
    <w:rsid w:val="002D558B"/>
    <w:rsid w:val="002E1253"/>
    <w:rsid w:val="002E37E0"/>
    <w:rsid w:val="002E4215"/>
    <w:rsid w:val="002E6670"/>
    <w:rsid w:val="002F10B7"/>
    <w:rsid w:val="002F33A8"/>
    <w:rsid w:val="002F3411"/>
    <w:rsid w:val="002F3673"/>
    <w:rsid w:val="002F3A8C"/>
    <w:rsid w:val="00304CE9"/>
    <w:rsid w:val="00315A32"/>
    <w:rsid w:val="003175E4"/>
    <w:rsid w:val="00322964"/>
    <w:rsid w:val="00326458"/>
    <w:rsid w:val="0032708C"/>
    <w:rsid w:val="00330F51"/>
    <w:rsid w:val="0033346F"/>
    <w:rsid w:val="0033585F"/>
    <w:rsid w:val="00341752"/>
    <w:rsid w:val="00345A5E"/>
    <w:rsid w:val="00347D24"/>
    <w:rsid w:val="00352452"/>
    <w:rsid w:val="00361F13"/>
    <w:rsid w:val="00365072"/>
    <w:rsid w:val="00370CA2"/>
    <w:rsid w:val="00372554"/>
    <w:rsid w:val="003747BE"/>
    <w:rsid w:val="003770FD"/>
    <w:rsid w:val="00381C96"/>
    <w:rsid w:val="003845D6"/>
    <w:rsid w:val="00385023"/>
    <w:rsid w:val="003867C2"/>
    <w:rsid w:val="00386AB3"/>
    <w:rsid w:val="003914F8"/>
    <w:rsid w:val="003951E3"/>
    <w:rsid w:val="00395B32"/>
    <w:rsid w:val="003A3756"/>
    <w:rsid w:val="003A3A86"/>
    <w:rsid w:val="003A578D"/>
    <w:rsid w:val="003A57C3"/>
    <w:rsid w:val="003B2097"/>
    <w:rsid w:val="003C30BA"/>
    <w:rsid w:val="003D3CA8"/>
    <w:rsid w:val="003D761A"/>
    <w:rsid w:val="003E35D5"/>
    <w:rsid w:val="003F16C1"/>
    <w:rsid w:val="003F7565"/>
    <w:rsid w:val="003F7B90"/>
    <w:rsid w:val="004021DD"/>
    <w:rsid w:val="0041031C"/>
    <w:rsid w:val="00410C31"/>
    <w:rsid w:val="004124CA"/>
    <w:rsid w:val="00420C0E"/>
    <w:rsid w:val="0042197A"/>
    <w:rsid w:val="00421D44"/>
    <w:rsid w:val="0042385E"/>
    <w:rsid w:val="00424672"/>
    <w:rsid w:val="00427FFA"/>
    <w:rsid w:val="004309B9"/>
    <w:rsid w:val="00431B67"/>
    <w:rsid w:val="004347B4"/>
    <w:rsid w:val="00437137"/>
    <w:rsid w:val="004379EC"/>
    <w:rsid w:val="004400A8"/>
    <w:rsid w:val="00440494"/>
    <w:rsid w:val="00443FB8"/>
    <w:rsid w:val="004445DE"/>
    <w:rsid w:val="004476BF"/>
    <w:rsid w:val="00453CBD"/>
    <w:rsid w:val="0045727E"/>
    <w:rsid w:val="0046294B"/>
    <w:rsid w:val="004635D8"/>
    <w:rsid w:val="00463F3A"/>
    <w:rsid w:val="00466190"/>
    <w:rsid w:val="004719F6"/>
    <w:rsid w:val="00480599"/>
    <w:rsid w:val="0048269D"/>
    <w:rsid w:val="00483146"/>
    <w:rsid w:val="004864CC"/>
    <w:rsid w:val="004866AF"/>
    <w:rsid w:val="00495E5D"/>
    <w:rsid w:val="004A2E56"/>
    <w:rsid w:val="004A7427"/>
    <w:rsid w:val="004B213C"/>
    <w:rsid w:val="004B788C"/>
    <w:rsid w:val="004C0D84"/>
    <w:rsid w:val="004C6A8E"/>
    <w:rsid w:val="004D296C"/>
    <w:rsid w:val="004D3800"/>
    <w:rsid w:val="004E1F9C"/>
    <w:rsid w:val="004E26E5"/>
    <w:rsid w:val="004E425F"/>
    <w:rsid w:val="004F3333"/>
    <w:rsid w:val="004F4FF5"/>
    <w:rsid w:val="00500F1A"/>
    <w:rsid w:val="00502158"/>
    <w:rsid w:val="005034D5"/>
    <w:rsid w:val="00507B5E"/>
    <w:rsid w:val="0051084A"/>
    <w:rsid w:val="005118EA"/>
    <w:rsid w:val="00511D3E"/>
    <w:rsid w:val="00516170"/>
    <w:rsid w:val="00517210"/>
    <w:rsid w:val="00517BCD"/>
    <w:rsid w:val="005214B1"/>
    <w:rsid w:val="00525E0B"/>
    <w:rsid w:val="00533F5F"/>
    <w:rsid w:val="00542DDF"/>
    <w:rsid w:val="005436EF"/>
    <w:rsid w:val="005506DF"/>
    <w:rsid w:val="00550A2F"/>
    <w:rsid w:val="00550F61"/>
    <w:rsid w:val="00551A84"/>
    <w:rsid w:val="00552428"/>
    <w:rsid w:val="00552D44"/>
    <w:rsid w:val="0056177C"/>
    <w:rsid w:val="00563D55"/>
    <w:rsid w:val="0057001A"/>
    <w:rsid w:val="005710A6"/>
    <w:rsid w:val="005726F2"/>
    <w:rsid w:val="00572CEE"/>
    <w:rsid w:val="005756A7"/>
    <w:rsid w:val="005767F7"/>
    <w:rsid w:val="00592960"/>
    <w:rsid w:val="00593080"/>
    <w:rsid w:val="00593DF1"/>
    <w:rsid w:val="00596E72"/>
    <w:rsid w:val="005A12A2"/>
    <w:rsid w:val="005A2652"/>
    <w:rsid w:val="005A2C99"/>
    <w:rsid w:val="005B3BFB"/>
    <w:rsid w:val="005B5434"/>
    <w:rsid w:val="005B5680"/>
    <w:rsid w:val="005B5D60"/>
    <w:rsid w:val="005B78DE"/>
    <w:rsid w:val="005C47EB"/>
    <w:rsid w:val="005C4F59"/>
    <w:rsid w:val="005C5051"/>
    <w:rsid w:val="005D08FB"/>
    <w:rsid w:val="005D114C"/>
    <w:rsid w:val="005D5041"/>
    <w:rsid w:val="005D5BC9"/>
    <w:rsid w:val="005D7B71"/>
    <w:rsid w:val="005E0BB6"/>
    <w:rsid w:val="005E1534"/>
    <w:rsid w:val="005E508A"/>
    <w:rsid w:val="005F2687"/>
    <w:rsid w:val="005F4DF4"/>
    <w:rsid w:val="005F5524"/>
    <w:rsid w:val="005F6018"/>
    <w:rsid w:val="006017CF"/>
    <w:rsid w:val="00603F8D"/>
    <w:rsid w:val="00606399"/>
    <w:rsid w:val="00607100"/>
    <w:rsid w:val="006075D9"/>
    <w:rsid w:val="00613FF5"/>
    <w:rsid w:val="0061435E"/>
    <w:rsid w:val="00615862"/>
    <w:rsid w:val="00615E03"/>
    <w:rsid w:val="00616C55"/>
    <w:rsid w:val="00620815"/>
    <w:rsid w:val="00635B53"/>
    <w:rsid w:val="00635F3B"/>
    <w:rsid w:val="006371C6"/>
    <w:rsid w:val="00651414"/>
    <w:rsid w:val="006542B1"/>
    <w:rsid w:val="00656861"/>
    <w:rsid w:val="00662A90"/>
    <w:rsid w:val="00667B32"/>
    <w:rsid w:val="00667E15"/>
    <w:rsid w:val="0067178F"/>
    <w:rsid w:val="00671C2A"/>
    <w:rsid w:val="00682651"/>
    <w:rsid w:val="00682A5B"/>
    <w:rsid w:val="00683517"/>
    <w:rsid w:val="00684002"/>
    <w:rsid w:val="00690B55"/>
    <w:rsid w:val="00695AB5"/>
    <w:rsid w:val="006A511A"/>
    <w:rsid w:val="006B1FA7"/>
    <w:rsid w:val="006B2309"/>
    <w:rsid w:val="006B7FB5"/>
    <w:rsid w:val="006C1024"/>
    <w:rsid w:val="006C154B"/>
    <w:rsid w:val="006C1A3E"/>
    <w:rsid w:val="006C25CD"/>
    <w:rsid w:val="006D1A65"/>
    <w:rsid w:val="006D39AE"/>
    <w:rsid w:val="006D3E97"/>
    <w:rsid w:val="006D447E"/>
    <w:rsid w:val="006D4501"/>
    <w:rsid w:val="006D4DB0"/>
    <w:rsid w:val="006D55A2"/>
    <w:rsid w:val="006E1C23"/>
    <w:rsid w:val="006E3D74"/>
    <w:rsid w:val="006E628A"/>
    <w:rsid w:val="006E76A6"/>
    <w:rsid w:val="006F07F3"/>
    <w:rsid w:val="006F28E5"/>
    <w:rsid w:val="006F38BC"/>
    <w:rsid w:val="006F5EC1"/>
    <w:rsid w:val="00706255"/>
    <w:rsid w:val="00710446"/>
    <w:rsid w:val="00710793"/>
    <w:rsid w:val="00713909"/>
    <w:rsid w:val="00716685"/>
    <w:rsid w:val="00716A75"/>
    <w:rsid w:val="00716D12"/>
    <w:rsid w:val="00717CC2"/>
    <w:rsid w:val="0072359F"/>
    <w:rsid w:val="0072493C"/>
    <w:rsid w:val="007253B7"/>
    <w:rsid w:val="00730D7E"/>
    <w:rsid w:val="00731679"/>
    <w:rsid w:val="0073305B"/>
    <w:rsid w:val="0073417B"/>
    <w:rsid w:val="00737049"/>
    <w:rsid w:val="00737E27"/>
    <w:rsid w:val="00742598"/>
    <w:rsid w:val="00742880"/>
    <w:rsid w:val="0074534D"/>
    <w:rsid w:val="007458ED"/>
    <w:rsid w:val="00745D0B"/>
    <w:rsid w:val="00747253"/>
    <w:rsid w:val="007521E2"/>
    <w:rsid w:val="007547FC"/>
    <w:rsid w:val="00754897"/>
    <w:rsid w:val="007620B4"/>
    <w:rsid w:val="007676A1"/>
    <w:rsid w:val="00773A21"/>
    <w:rsid w:val="0077592E"/>
    <w:rsid w:val="00775B63"/>
    <w:rsid w:val="0077650F"/>
    <w:rsid w:val="00776FD4"/>
    <w:rsid w:val="007824CE"/>
    <w:rsid w:val="00782BC7"/>
    <w:rsid w:val="007846BB"/>
    <w:rsid w:val="0078558A"/>
    <w:rsid w:val="007856DA"/>
    <w:rsid w:val="00787C05"/>
    <w:rsid w:val="00790756"/>
    <w:rsid w:val="0079113A"/>
    <w:rsid w:val="00791ECF"/>
    <w:rsid w:val="00792F12"/>
    <w:rsid w:val="007B1C6B"/>
    <w:rsid w:val="007B2785"/>
    <w:rsid w:val="007B2810"/>
    <w:rsid w:val="007C164E"/>
    <w:rsid w:val="007D02FA"/>
    <w:rsid w:val="007D0481"/>
    <w:rsid w:val="007D235C"/>
    <w:rsid w:val="007D2B1F"/>
    <w:rsid w:val="007D72E1"/>
    <w:rsid w:val="007E72BF"/>
    <w:rsid w:val="007F0545"/>
    <w:rsid w:val="007F240D"/>
    <w:rsid w:val="007F25E7"/>
    <w:rsid w:val="007F4D59"/>
    <w:rsid w:val="007F702F"/>
    <w:rsid w:val="007F7B7E"/>
    <w:rsid w:val="008007AB"/>
    <w:rsid w:val="00802C8F"/>
    <w:rsid w:val="00803BF3"/>
    <w:rsid w:val="00803E28"/>
    <w:rsid w:val="00806076"/>
    <w:rsid w:val="00806C70"/>
    <w:rsid w:val="00807E02"/>
    <w:rsid w:val="00812A39"/>
    <w:rsid w:val="00815D39"/>
    <w:rsid w:val="00822A2B"/>
    <w:rsid w:val="008313AD"/>
    <w:rsid w:val="008330B4"/>
    <w:rsid w:val="00835240"/>
    <w:rsid w:val="00840474"/>
    <w:rsid w:val="0084062D"/>
    <w:rsid w:val="00843255"/>
    <w:rsid w:val="008432C4"/>
    <w:rsid w:val="008433F4"/>
    <w:rsid w:val="00843CD2"/>
    <w:rsid w:val="0084419A"/>
    <w:rsid w:val="008472CF"/>
    <w:rsid w:val="008513F4"/>
    <w:rsid w:val="00851C66"/>
    <w:rsid w:val="00854ABC"/>
    <w:rsid w:val="00860AB2"/>
    <w:rsid w:val="008758F1"/>
    <w:rsid w:val="008816FE"/>
    <w:rsid w:val="00881D72"/>
    <w:rsid w:val="00883FB5"/>
    <w:rsid w:val="00893156"/>
    <w:rsid w:val="00896006"/>
    <w:rsid w:val="0089644D"/>
    <w:rsid w:val="008A4BA8"/>
    <w:rsid w:val="008A70FE"/>
    <w:rsid w:val="008B2B2B"/>
    <w:rsid w:val="008B71EC"/>
    <w:rsid w:val="008C0367"/>
    <w:rsid w:val="008C076C"/>
    <w:rsid w:val="008C39BB"/>
    <w:rsid w:val="008D5563"/>
    <w:rsid w:val="008D5E4E"/>
    <w:rsid w:val="008D5F70"/>
    <w:rsid w:val="008D6D9B"/>
    <w:rsid w:val="008E3E1A"/>
    <w:rsid w:val="008E73B3"/>
    <w:rsid w:val="008F2280"/>
    <w:rsid w:val="00905582"/>
    <w:rsid w:val="00911CFF"/>
    <w:rsid w:val="009141BF"/>
    <w:rsid w:val="0091762F"/>
    <w:rsid w:val="009210D9"/>
    <w:rsid w:val="00922CB0"/>
    <w:rsid w:val="00926E10"/>
    <w:rsid w:val="00930773"/>
    <w:rsid w:val="009346FA"/>
    <w:rsid w:val="0094582E"/>
    <w:rsid w:val="009470D6"/>
    <w:rsid w:val="00952529"/>
    <w:rsid w:val="00953727"/>
    <w:rsid w:val="00956793"/>
    <w:rsid w:val="0096732C"/>
    <w:rsid w:val="00970D92"/>
    <w:rsid w:val="009754F8"/>
    <w:rsid w:val="00976FE0"/>
    <w:rsid w:val="00992BD4"/>
    <w:rsid w:val="00995A7E"/>
    <w:rsid w:val="009A0ECB"/>
    <w:rsid w:val="009A5E39"/>
    <w:rsid w:val="009A7E35"/>
    <w:rsid w:val="009B226D"/>
    <w:rsid w:val="009B35F9"/>
    <w:rsid w:val="009C23F4"/>
    <w:rsid w:val="009C589F"/>
    <w:rsid w:val="009D0E3D"/>
    <w:rsid w:val="009E11C1"/>
    <w:rsid w:val="009E2442"/>
    <w:rsid w:val="009E4F6B"/>
    <w:rsid w:val="009E7A22"/>
    <w:rsid w:val="00A0101B"/>
    <w:rsid w:val="00A02C96"/>
    <w:rsid w:val="00A15B9E"/>
    <w:rsid w:val="00A17842"/>
    <w:rsid w:val="00A21D54"/>
    <w:rsid w:val="00A24FC3"/>
    <w:rsid w:val="00A3035C"/>
    <w:rsid w:val="00A3313E"/>
    <w:rsid w:val="00A35586"/>
    <w:rsid w:val="00A4256F"/>
    <w:rsid w:val="00A504A0"/>
    <w:rsid w:val="00A55D14"/>
    <w:rsid w:val="00A55F0B"/>
    <w:rsid w:val="00A60AF1"/>
    <w:rsid w:val="00A64FBF"/>
    <w:rsid w:val="00A74C01"/>
    <w:rsid w:val="00A827C1"/>
    <w:rsid w:val="00A84B6A"/>
    <w:rsid w:val="00A84D65"/>
    <w:rsid w:val="00A8560D"/>
    <w:rsid w:val="00A951D6"/>
    <w:rsid w:val="00A9595F"/>
    <w:rsid w:val="00A95A6D"/>
    <w:rsid w:val="00AA0F7C"/>
    <w:rsid w:val="00AA3290"/>
    <w:rsid w:val="00AA4563"/>
    <w:rsid w:val="00AA4ABC"/>
    <w:rsid w:val="00AA698A"/>
    <w:rsid w:val="00AB07F8"/>
    <w:rsid w:val="00AB1507"/>
    <w:rsid w:val="00AB285F"/>
    <w:rsid w:val="00AB36FC"/>
    <w:rsid w:val="00AC45DC"/>
    <w:rsid w:val="00AC4DDD"/>
    <w:rsid w:val="00AD34FF"/>
    <w:rsid w:val="00AD4FEE"/>
    <w:rsid w:val="00AD571D"/>
    <w:rsid w:val="00AD65A0"/>
    <w:rsid w:val="00AE25D5"/>
    <w:rsid w:val="00AE39DE"/>
    <w:rsid w:val="00AE72FC"/>
    <w:rsid w:val="00AF1DBC"/>
    <w:rsid w:val="00AF30D2"/>
    <w:rsid w:val="00AF4C46"/>
    <w:rsid w:val="00AF57DD"/>
    <w:rsid w:val="00AF717D"/>
    <w:rsid w:val="00AF75CE"/>
    <w:rsid w:val="00AF7F10"/>
    <w:rsid w:val="00B05BA4"/>
    <w:rsid w:val="00B20E8F"/>
    <w:rsid w:val="00B21541"/>
    <w:rsid w:val="00B21B58"/>
    <w:rsid w:val="00B21FCC"/>
    <w:rsid w:val="00B23444"/>
    <w:rsid w:val="00B27965"/>
    <w:rsid w:val="00B324AD"/>
    <w:rsid w:val="00B366DF"/>
    <w:rsid w:val="00B37113"/>
    <w:rsid w:val="00B43220"/>
    <w:rsid w:val="00B456BE"/>
    <w:rsid w:val="00B46616"/>
    <w:rsid w:val="00B47578"/>
    <w:rsid w:val="00B47D41"/>
    <w:rsid w:val="00B50E76"/>
    <w:rsid w:val="00B63806"/>
    <w:rsid w:val="00B64404"/>
    <w:rsid w:val="00B64CEB"/>
    <w:rsid w:val="00B675A2"/>
    <w:rsid w:val="00B74B19"/>
    <w:rsid w:val="00B75314"/>
    <w:rsid w:val="00B80A89"/>
    <w:rsid w:val="00B82128"/>
    <w:rsid w:val="00B87184"/>
    <w:rsid w:val="00B90B79"/>
    <w:rsid w:val="00B90C1D"/>
    <w:rsid w:val="00B9220B"/>
    <w:rsid w:val="00B93048"/>
    <w:rsid w:val="00B94268"/>
    <w:rsid w:val="00B954A8"/>
    <w:rsid w:val="00B97F0D"/>
    <w:rsid w:val="00BA25B6"/>
    <w:rsid w:val="00BA5357"/>
    <w:rsid w:val="00BB431A"/>
    <w:rsid w:val="00BB7A26"/>
    <w:rsid w:val="00BC1AF1"/>
    <w:rsid w:val="00BC1B16"/>
    <w:rsid w:val="00BC4412"/>
    <w:rsid w:val="00BC53DA"/>
    <w:rsid w:val="00BC750B"/>
    <w:rsid w:val="00BD065F"/>
    <w:rsid w:val="00BD09B9"/>
    <w:rsid w:val="00BD2EF0"/>
    <w:rsid w:val="00BD596C"/>
    <w:rsid w:val="00BD7A60"/>
    <w:rsid w:val="00BE5832"/>
    <w:rsid w:val="00BE6568"/>
    <w:rsid w:val="00BF1A0C"/>
    <w:rsid w:val="00C00176"/>
    <w:rsid w:val="00C07A97"/>
    <w:rsid w:val="00C10BC7"/>
    <w:rsid w:val="00C11BCC"/>
    <w:rsid w:val="00C15D91"/>
    <w:rsid w:val="00C21501"/>
    <w:rsid w:val="00C2570E"/>
    <w:rsid w:val="00C26D5B"/>
    <w:rsid w:val="00C31069"/>
    <w:rsid w:val="00C3186B"/>
    <w:rsid w:val="00C335DE"/>
    <w:rsid w:val="00C353AC"/>
    <w:rsid w:val="00C35575"/>
    <w:rsid w:val="00C36355"/>
    <w:rsid w:val="00C43253"/>
    <w:rsid w:val="00C563BD"/>
    <w:rsid w:val="00C6061E"/>
    <w:rsid w:val="00C6196E"/>
    <w:rsid w:val="00C76BCE"/>
    <w:rsid w:val="00C85805"/>
    <w:rsid w:val="00C90A60"/>
    <w:rsid w:val="00C94A39"/>
    <w:rsid w:val="00C9505E"/>
    <w:rsid w:val="00CA01E8"/>
    <w:rsid w:val="00CB3F9E"/>
    <w:rsid w:val="00CB40DA"/>
    <w:rsid w:val="00CB4A76"/>
    <w:rsid w:val="00CC04B0"/>
    <w:rsid w:val="00CC0DC7"/>
    <w:rsid w:val="00CC15C2"/>
    <w:rsid w:val="00CC446E"/>
    <w:rsid w:val="00CC5FDF"/>
    <w:rsid w:val="00CC6A36"/>
    <w:rsid w:val="00CD0DEE"/>
    <w:rsid w:val="00CD0F83"/>
    <w:rsid w:val="00CD3DE0"/>
    <w:rsid w:val="00CD5AFC"/>
    <w:rsid w:val="00CE0383"/>
    <w:rsid w:val="00CE460B"/>
    <w:rsid w:val="00CE5947"/>
    <w:rsid w:val="00CF3674"/>
    <w:rsid w:val="00CF4EA9"/>
    <w:rsid w:val="00CF7063"/>
    <w:rsid w:val="00CF737B"/>
    <w:rsid w:val="00D0243F"/>
    <w:rsid w:val="00D0504B"/>
    <w:rsid w:val="00D1427F"/>
    <w:rsid w:val="00D23FB1"/>
    <w:rsid w:val="00D26A28"/>
    <w:rsid w:val="00D31DE3"/>
    <w:rsid w:val="00D33807"/>
    <w:rsid w:val="00D33DC3"/>
    <w:rsid w:val="00D341E1"/>
    <w:rsid w:val="00D34F12"/>
    <w:rsid w:val="00D3732E"/>
    <w:rsid w:val="00D4264A"/>
    <w:rsid w:val="00D438C1"/>
    <w:rsid w:val="00D456C3"/>
    <w:rsid w:val="00D517AC"/>
    <w:rsid w:val="00D52F5D"/>
    <w:rsid w:val="00D57BB5"/>
    <w:rsid w:val="00D63090"/>
    <w:rsid w:val="00D64710"/>
    <w:rsid w:val="00D82326"/>
    <w:rsid w:val="00D872BE"/>
    <w:rsid w:val="00DA10C8"/>
    <w:rsid w:val="00DA130D"/>
    <w:rsid w:val="00DB106B"/>
    <w:rsid w:val="00DB1E85"/>
    <w:rsid w:val="00DB2F75"/>
    <w:rsid w:val="00DB3207"/>
    <w:rsid w:val="00DB376C"/>
    <w:rsid w:val="00DB7D4F"/>
    <w:rsid w:val="00DC1038"/>
    <w:rsid w:val="00DC3044"/>
    <w:rsid w:val="00DC434F"/>
    <w:rsid w:val="00DD12C6"/>
    <w:rsid w:val="00DD246C"/>
    <w:rsid w:val="00DD4629"/>
    <w:rsid w:val="00DD4D51"/>
    <w:rsid w:val="00DD64CE"/>
    <w:rsid w:val="00DE4878"/>
    <w:rsid w:val="00DE7339"/>
    <w:rsid w:val="00DF27A5"/>
    <w:rsid w:val="00DF661E"/>
    <w:rsid w:val="00E07041"/>
    <w:rsid w:val="00E07AB0"/>
    <w:rsid w:val="00E11601"/>
    <w:rsid w:val="00E13729"/>
    <w:rsid w:val="00E13F64"/>
    <w:rsid w:val="00E149F8"/>
    <w:rsid w:val="00E22ED1"/>
    <w:rsid w:val="00E26E8B"/>
    <w:rsid w:val="00E304B3"/>
    <w:rsid w:val="00E31ECF"/>
    <w:rsid w:val="00E321F3"/>
    <w:rsid w:val="00E32E29"/>
    <w:rsid w:val="00E35DE4"/>
    <w:rsid w:val="00E46B07"/>
    <w:rsid w:val="00E50397"/>
    <w:rsid w:val="00E5260A"/>
    <w:rsid w:val="00E611A0"/>
    <w:rsid w:val="00E6201A"/>
    <w:rsid w:val="00E665F8"/>
    <w:rsid w:val="00E7541B"/>
    <w:rsid w:val="00E7560E"/>
    <w:rsid w:val="00E75A6D"/>
    <w:rsid w:val="00E76335"/>
    <w:rsid w:val="00E77819"/>
    <w:rsid w:val="00E80F1B"/>
    <w:rsid w:val="00E83C82"/>
    <w:rsid w:val="00E84A75"/>
    <w:rsid w:val="00E85F80"/>
    <w:rsid w:val="00E86551"/>
    <w:rsid w:val="00E86D71"/>
    <w:rsid w:val="00E87BB1"/>
    <w:rsid w:val="00E9246D"/>
    <w:rsid w:val="00E94465"/>
    <w:rsid w:val="00EA1F64"/>
    <w:rsid w:val="00EA6178"/>
    <w:rsid w:val="00EA7BD6"/>
    <w:rsid w:val="00EB046D"/>
    <w:rsid w:val="00EB0633"/>
    <w:rsid w:val="00EB5242"/>
    <w:rsid w:val="00EC23F6"/>
    <w:rsid w:val="00EC2D6A"/>
    <w:rsid w:val="00EC7805"/>
    <w:rsid w:val="00ED4B0F"/>
    <w:rsid w:val="00ED4E24"/>
    <w:rsid w:val="00EE1192"/>
    <w:rsid w:val="00EE2780"/>
    <w:rsid w:val="00EE5260"/>
    <w:rsid w:val="00EE56CC"/>
    <w:rsid w:val="00EE65BD"/>
    <w:rsid w:val="00EF1771"/>
    <w:rsid w:val="00EF5F81"/>
    <w:rsid w:val="00F00A20"/>
    <w:rsid w:val="00F0163E"/>
    <w:rsid w:val="00F14021"/>
    <w:rsid w:val="00F202D2"/>
    <w:rsid w:val="00F20700"/>
    <w:rsid w:val="00F2271F"/>
    <w:rsid w:val="00F24060"/>
    <w:rsid w:val="00F25C34"/>
    <w:rsid w:val="00F26284"/>
    <w:rsid w:val="00F26E7F"/>
    <w:rsid w:val="00F2799E"/>
    <w:rsid w:val="00F27B87"/>
    <w:rsid w:val="00F32C29"/>
    <w:rsid w:val="00F4135C"/>
    <w:rsid w:val="00F477C9"/>
    <w:rsid w:val="00F50B9B"/>
    <w:rsid w:val="00F512F6"/>
    <w:rsid w:val="00F51A85"/>
    <w:rsid w:val="00F51C9B"/>
    <w:rsid w:val="00F5214B"/>
    <w:rsid w:val="00F54503"/>
    <w:rsid w:val="00F57203"/>
    <w:rsid w:val="00F578DD"/>
    <w:rsid w:val="00F5798F"/>
    <w:rsid w:val="00F6080C"/>
    <w:rsid w:val="00F64BDC"/>
    <w:rsid w:val="00F66078"/>
    <w:rsid w:val="00F660FE"/>
    <w:rsid w:val="00F70676"/>
    <w:rsid w:val="00F7389F"/>
    <w:rsid w:val="00F75E38"/>
    <w:rsid w:val="00F81A59"/>
    <w:rsid w:val="00F82379"/>
    <w:rsid w:val="00F836DB"/>
    <w:rsid w:val="00F92819"/>
    <w:rsid w:val="00F93EE6"/>
    <w:rsid w:val="00F9506A"/>
    <w:rsid w:val="00F97629"/>
    <w:rsid w:val="00FA4F0D"/>
    <w:rsid w:val="00FA513B"/>
    <w:rsid w:val="00FB4B50"/>
    <w:rsid w:val="00FB6D45"/>
    <w:rsid w:val="00FC0D59"/>
    <w:rsid w:val="00FC0E3D"/>
    <w:rsid w:val="00FC3F10"/>
    <w:rsid w:val="00FC6899"/>
    <w:rsid w:val="00FD0C94"/>
    <w:rsid w:val="00FD4E2F"/>
    <w:rsid w:val="00FD7224"/>
    <w:rsid w:val="00FF18AE"/>
    <w:rsid w:val="00FF4F48"/>
    <w:rsid w:val="00FF6035"/>
    <w:rsid w:val="01D13F55"/>
    <w:rsid w:val="021B0A27"/>
    <w:rsid w:val="022B232E"/>
    <w:rsid w:val="02D23CFD"/>
    <w:rsid w:val="02D9306B"/>
    <w:rsid w:val="03B42225"/>
    <w:rsid w:val="04060DFC"/>
    <w:rsid w:val="047B1407"/>
    <w:rsid w:val="04D55885"/>
    <w:rsid w:val="05243000"/>
    <w:rsid w:val="05A97A1C"/>
    <w:rsid w:val="066B0825"/>
    <w:rsid w:val="06CE465E"/>
    <w:rsid w:val="06CF5F4A"/>
    <w:rsid w:val="07127408"/>
    <w:rsid w:val="07A22BFA"/>
    <w:rsid w:val="07E146A0"/>
    <w:rsid w:val="082109A4"/>
    <w:rsid w:val="08451E37"/>
    <w:rsid w:val="08AD4D96"/>
    <w:rsid w:val="09A862CF"/>
    <w:rsid w:val="0A7E1CF7"/>
    <w:rsid w:val="0AEA3D83"/>
    <w:rsid w:val="0B713AE6"/>
    <w:rsid w:val="0C124120"/>
    <w:rsid w:val="0C1D2B5B"/>
    <w:rsid w:val="0C412C9F"/>
    <w:rsid w:val="0C511729"/>
    <w:rsid w:val="0C95030A"/>
    <w:rsid w:val="0CA32E9B"/>
    <w:rsid w:val="0CD26630"/>
    <w:rsid w:val="0D370642"/>
    <w:rsid w:val="0D455A5B"/>
    <w:rsid w:val="0D913723"/>
    <w:rsid w:val="0E9F2E64"/>
    <w:rsid w:val="0EA7604C"/>
    <w:rsid w:val="0EB8112C"/>
    <w:rsid w:val="0EC90326"/>
    <w:rsid w:val="0EF663FC"/>
    <w:rsid w:val="0FCD48F6"/>
    <w:rsid w:val="0FE941A2"/>
    <w:rsid w:val="10203640"/>
    <w:rsid w:val="116E7A14"/>
    <w:rsid w:val="11EB3D5E"/>
    <w:rsid w:val="11F6552A"/>
    <w:rsid w:val="120E648F"/>
    <w:rsid w:val="12196768"/>
    <w:rsid w:val="12361F17"/>
    <w:rsid w:val="12E376F0"/>
    <w:rsid w:val="1355576F"/>
    <w:rsid w:val="138B42F2"/>
    <w:rsid w:val="142838B1"/>
    <w:rsid w:val="14526423"/>
    <w:rsid w:val="149271DB"/>
    <w:rsid w:val="156448C0"/>
    <w:rsid w:val="159019FF"/>
    <w:rsid w:val="16580D79"/>
    <w:rsid w:val="16B26E62"/>
    <w:rsid w:val="16E24513"/>
    <w:rsid w:val="17F41D7C"/>
    <w:rsid w:val="182B2918"/>
    <w:rsid w:val="187657DA"/>
    <w:rsid w:val="18887AA4"/>
    <w:rsid w:val="18B92C1F"/>
    <w:rsid w:val="18CE71C0"/>
    <w:rsid w:val="191E3667"/>
    <w:rsid w:val="19385389"/>
    <w:rsid w:val="1A40393F"/>
    <w:rsid w:val="1A581613"/>
    <w:rsid w:val="1C0E6F36"/>
    <w:rsid w:val="1C881C2F"/>
    <w:rsid w:val="1CC1612A"/>
    <w:rsid w:val="1D236E37"/>
    <w:rsid w:val="1D8A75A3"/>
    <w:rsid w:val="1DE672B6"/>
    <w:rsid w:val="1E4A5889"/>
    <w:rsid w:val="1E53491A"/>
    <w:rsid w:val="1E7733F1"/>
    <w:rsid w:val="1F176F9E"/>
    <w:rsid w:val="1F4F6777"/>
    <w:rsid w:val="1F913E8A"/>
    <w:rsid w:val="1FF66BE5"/>
    <w:rsid w:val="20284DC9"/>
    <w:rsid w:val="20C83127"/>
    <w:rsid w:val="21770771"/>
    <w:rsid w:val="21AA4120"/>
    <w:rsid w:val="21DF62DC"/>
    <w:rsid w:val="224942DF"/>
    <w:rsid w:val="225000C1"/>
    <w:rsid w:val="22C31F47"/>
    <w:rsid w:val="22EA6AC6"/>
    <w:rsid w:val="23260509"/>
    <w:rsid w:val="23350935"/>
    <w:rsid w:val="23FA4B72"/>
    <w:rsid w:val="2402033C"/>
    <w:rsid w:val="2553016B"/>
    <w:rsid w:val="25A158E3"/>
    <w:rsid w:val="25BA7981"/>
    <w:rsid w:val="25DB2B43"/>
    <w:rsid w:val="26093F32"/>
    <w:rsid w:val="26396417"/>
    <w:rsid w:val="26806F82"/>
    <w:rsid w:val="26A37A90"/>
    <w:rsid w:val="26F20045"/>
    <w:rsid w:val="279F3CA6"/>
    <w:rsid w:val="27E549AD"/>
    <w:rsid w:val="28307A73"/>
    <w:rsid w:val="283A4CAB"/>
    <w:rsid w:val="28860EC2"/>
    <w:rsid w:val="29AE4B73"/>
    <w:rsid w:val="29C82E63"/>
    <w:rsid w:val="2A112105"/>
    <w:rsid w:val="2A4B7595"/>
    <w:rsid w:val="2A8A7335"/>
    <w:rsid w:val="2ACF0FA1"/>
    <w:rsid w:val="2AE821A9"/>
    <w:rsid w:val="2AF461B5"/>
    <w:rsid w:val="2B0D6978"/>
    <w:rsid w:val="2B6E4DD1"/>
    <w:rsid w:val="2BDA5F38"/>
    <w:rsid w:val="2BFCFB38"/>
    <w:rsid w:val="2C40413E"/>
    <w:rsid w:val="2C463CB2"/>
    <w:rsid w:val="2C9366CF"/>
    <w:rsid w:val="2CCB4203"/>
    <w:rsid w:val="2D354F5A"/>
    <w:rsid w:val="2E566DC0"/>
    <w:rsid w:val="2E600BB2"/>
    <w:rsid w:val="2E607E76"/>
    <w:rsid w:val="2F8D32CD"/>
    <w:rsid w:val="2F997E62"/>
    <w:rsid w:val="2FFE3ED6"/>
    <w:rsid w:val="3057372B"/>
    <w:rsid w:val="308E36E1"/>
    <w:rsid w:val="30C15C0C"/>
    <w:rsid w:val="31141F3E"/>
    <w:rsid w:val="31896B00"/>
    <w:rsid w:val="31942A4A"/>
    <w:rsid w:val="31C37942"/>
    <w:rsid w:val="31CE1AC3"/>
    <w:rsid w:val="32D00794"/>
    <w:rsid w:val="32D43E81"/>
    <w:rsid w:val="33C343FE"/>
    <w:rsid w:val="33D15FB8"/>
    <w:rsid w:val="33FB2BBF"/>
    <w:rsid w:val="3416711A"/>
    <w:rsid w:val="344231C2"/>
    <w:rsid w:val="345852C8"/>
    <w:rsid w:val="34FF358E"/>
    <w:rsid w:val="350A518A"/>
    <w:rsid w:val="36D90906"/>
    <w:rsid w:val="37415A60"/>
    <w:rsid w:val="37773619"/>
    <w:rsid w:val="37853475"/>
    <w:rsid w:val="378E454F"/>
    <w:rsid w:val="37E45A5B"/>
    <w:rsid w:val="37F3261E"/>
    <w:rsid w:val="38125C35"/>
    <w:rsid w:val="386416E9"/>
    <w:rsid w:val="38E76344"/>
    <w:rsid w:val="393344CA"/>
    <w:rsid w:val="39781C8F"/>
    <w:rsid w:val="39813467"/>
    <w:rsid w:val="39A20C61"/>
    <w:rsid w:val="39E11D73"/>
    <w:rsid w:val="3A194F6B"/>
    <w:rsid w:val="3AAE0DA4"/>
    <w:rsid w:val="3BB23BD0"/>
    <w:rsid w:val="3BBB5547"/>
    <w:rsid w:val="3BFC5653"/>
    <w:rsid w:val="3C654DEC"/>
    <w:rsid w:val="3D234E03"/>
    <w:rsid w:val="3DBA1B54"/>
    <w:rsid w:val="3E7559A6"/>
    <w:rsid w:val="3E9F61C0"/>
    <w:rsid w:val="3EAE55C8"/>
    <w:rsid w:val="3ED97BDB"/>
    <w:rsid w:val="3F3A358A"/>
    <w:rsid w:val="40455756"/>
    <w:rsid w:val="40BA5A34"/>
    <w:rsid w:val="40CB0AFA"/>
    <w:rsid w:val="40E2606B"/>
    <w:rsid w:val="41152DDF"/>
    <w:rsid w:val="41A805E0"/>
    <w:rsid w:val="41ED4C96"/>
    <w:rsid w:val="42B43BED"/>
    <w:rsid w:val="4306798E"/>
    <w:rsid w:val="442403EB"/>
    <w:rsid w:val="443C2BA3"/>
    <w:rsid w:val="444C5C1D"/>
    <w:rsid w:val="44E10D16"/>
    <w:rsid w:val="455A1258"/>
    <w:rsid w:val="459932D6"/>
    <w:rsid w:val="46FF396F"/>
    <w:rsid w:val="470E34AC"/>
    <w:rsid w:val="479E2495"/>
    <w:rsid w:val="47F65D50"/>
    <w:rsid w:val="485E653D"/>
    <w:rsid w:val="489063E7"/>
    <w:rsid w:val="49184D2B"/>
    <w:rsid w:val="49D95CC5"/>
    <w:rsid w:val="49E4202D"/>
    <w:rsid w:val="49EC09FA"/>
    <w:rsid w:val="49EC251B"/>
    <w:rsid w:val="4A7513BD"/>
    <w:rsid w:val="4B081176"/>
    <w:rsid w:val="4B0B6A56"/>
    <w:rsid w:val="4B616A90"/>
    <w:rsid w:val="4B7710A0"/>
    <w:rsid w:val="4D7775DB"/>
    <w:rsid w:val="4E60589F"/>
    <w:rsid w:val="4E70419E"/>
    <w:rsid w:val="4E781496"/>
    <w:rsid w:val="4E8F1355"/>
    <w:rsid w:val="4EEB58A5"/>
    <w:rsid w:val="4F674E9A"/>
    <w:rsid w:val="4F7FAA63"/>
    <w:rsid w:val="4FAA06BA"/>
    <w:rsid w:val="4FB06626"/>
    <w:rsid w:val="50A4601E"/>
    <w:rsid w:val="512452B1"/>
    <w:rsid w:val="512745E6"/>
    <w:rsid w:val="51865C9A"/>
    <w:rsid w:val="520846B9"/>
    <w:rsid w:val="523C1E5D"/>
    <w:rsid w:val="525043F8"/>
    <w:rsid w:val="526135CA"/>
    <w:rsid w:val="53325E33"/>
    <w:rsid w:val="53385DDC"/>
    <w:rsid w:val="54767DFB"/>
    <w:rsid w:val="547916C5"/>
    <w:rsid w:val="54895287"/>
    <w:rsid w:val="549330ED"/>
    <w:rsid w:val="55486F96"/>
    <w:rsid w:val="556F0727"/>
    <w:rsid w:val="55812015"/>
    <w:rsid w:val="55BD6309"/>
    <w:rsid w:val="55D06E05"/>
    <w:rsid w:val="57393045"/>
    <w:rsid w:val="577720D5"/>
    <w:rsid w:val="58916536"/>
    <w:rsid w:val="598371D2"/>
    <w:rsid w:val="59A678FF"/>
    <w:rsid w:val="5AE07078"/>
    <w:rsid w:val="5C3B45FA"/>
    <w:rsid w:val="5C9D37DE"/>
    <w:rsid w:val="5D1F25A9"/>
    <w:rsid w:val="5D230680"/>
    <w:rsid w:val="5D2A0990"/>
    <w:rsid w:val="5D307DE8"/>
    <w:rsid w:val="5D9F089B"/>
    <w:rsid w:val="5DE276E8"/>
    <w:rsid w:val="5DFB49E1"/>
    <w:rsid w:val="5F3C3AA2"/>
    <w:rsid w:val="608F20E3"/>
    <w:rsid w:val="61096212"/>
    <w:rsid w:val="61D219B4"/>
    <w:rsid w:val="621367B4"/>
    <w:rsid w:val="62514430"/>
    <w:rsid w:val="62684906"/>
    <w:rsid w:val="626856B9"/>
    <w:rsid w:val="62C016B3"/>
    <w:rsid w:val="62F5576B"/>
    <w:rsid w:val="63236A50"/>
    <w:rsid w:val="63A61D43"/>
    <w:rsid w:val="64796BE6"/>
    <w:rsid w:val="64C20EAB"/>
    <w:rsid w:val="654F2808"/>
    <w:rsid w:val="654F3155"/>
    <w:rsid w:val="65AE6AF5"/>
    <w:rsid w:val="65CF3CFD"/>
    <w:rsid w:val="66937A59"/>
    <w:rsid w:val="66E15D7F"/>
    <w:rsid w:val="66E22BFD"/>
    <w:rsid w:val="67183B67"/>
    <w:rsid w:val="67231DC5"/>
    <w:rsid w:val="67AA3173"/>
    <w:rsid w:val="6806130D"/>
    <w:rsid w:val="686C650B"/>
    <w:rsid w:val="68770EC4"/>
    <w:rsid w:val="68C103CB"/>
    <w:rsid w:val="68E17697"/>
    <w:rsid w:val="692C5B77"/>
    <w:rsid w:val="698E3E02"/>
    <w:rsid w:val="69C77F24"/>
    <w:rsid w:val="6A513555"/>
    <w:rsid w:val="6A5A13BC"/>
    <w:rsid w:val="6A837816"/>
    <w:rsid w:val="6B1A1E0B"/>
    <w:rsid w:val="6B845EB9"/>
    <w:rsid w:val="6B8737AE"/>
    <w:rsid w:val="6BCB6177"/>
    <w:rsid w:val="6C487DC7"/>
    <w:rsid w:val="6CFF5023"/>
    <w:rsid w:val="6D43520A"/>
    <w:rsid w:val="6E5A3410"/>
    <w:rsid w:val="6E803BA0"/>
    <w:rsid w:val="6EB1482C"/>
    <w:rsid w:val="6ED819E4"/>
    <w:rsid w:val="6EDF43F1"/>
    <w:rsid w:val="6EE162AF"/>
    <w:rsid w:val="6F941488"/>
    <w:rsid w:val="6FE371A8"/>
    <w:rsid w:val="6FE57C15"/>
    <w:rsid w:val="70876B2A"/>
    <w:rsid w:val="70F24AC0"/>
    <w:rsid w:val="7172095F"/>
    <w:rsid w:val="71747D19"/>
    <w:rsid w:val="719474DC"/>
    <w:rsid w:val="71981719"/>
    <w:rsid w:val="71C22F0C"/>
    <w:rsid w:val="71D063D7"/>
    <w:rsid w:val="71FE787C"/>
    <w:rsid w:val="727F3DC9"/>
    <w:rsid w:val="72FD2626"/>
    <w:rsid w:val="731F278E"/>
    <w:rsid w:val="73272C83"/>
    <w:rsid w:val="73E533D7"/>
    <w:rsid w:val="74B62D80"/>
    <w:rsid w:val="74B80C72"/>
    <w:rsid w:val="755A47B6"/>
    <w:rsid w:val="756F1F41"/>
    <w:rsid w:val="75804910"/>
    <w:rsid w:val="7598245C"/>
    <w:rsid w:val="75AB7A73"/>
    <w:rsid w:val="761F6984"/>
    <w:rsid w:val="763B4B94"/>
    <w:rsid w:val="76670D63"/>
    <w:rsid w:val="7761116D"/>
    <w:rsid w:val="77FA0A8C"/>
    <w:rsid w:val="782B161D"/>
    <w:rsid w:val="78A50BD1"/>
    <w:rsid w:val="78A75533"/>
    <w:rsid w:val="78D51173"/>
    <w:rsid w:val="793025E9"/>
    <w:rsid w:val="797C24BD"/>
    <w:rsid w:val="79D14776"/>
    <w:rsid w:val="79DD199F"/>
    <w:rsid w:val="79DE1FE8"/>
    <w:rsid w:val="7A6D6FF8"/>
    <w:rsid w:val="7B415945"/>
    <w:rsid w:val="7B8234EA"/>
    <w:rsid w:val="7BAF5AA2"/>
    <w:rsid w:val="7BCE4D9D"/>
    <w:rsid w:val="7BCE5CED"/>
    <w:rsid w:val="7BD11650"/>
    <w:rsid w:val="7C554A5D"/>
    <w:rsid w:val="7C636E2C"/>
    <w:rsid w:val="7C8534CE"/>
    <w:rsid w:val="7CBA2DFE"/>
    <w:rsid w:val="7CC64528"/>
    <w:rsid w:val="7D105664"/>
    <w:rsid w:val="7D683211"/>
    <w:rsid w:val="7DAC43D7"/>
    <w:rsid w:val="7E2A7E92"/>
    <w:rsid w:val="7E6A2967"/>
    <w:rsid w:val="7EB52364"/>
    <w:rsid w:val="E2CFC54B"/>
    <w:rsid w:val="EB79D8EA"/>
    <w:rsid w:val="F3FF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styleId="3">
    <w:name w:val="annotation text"/>
    <w:basedOn w:val="1"/>
    <w:link w:val="14"/>
    <w:unhideWhenUsed/>
    <w:qFormat/>
    <w:uiPriority w:val="0"/>
    <w:pPr>
      <w:jc w:val="left"/>
    </w:pPr>
  </w:style>
  <w:style w:type="paragraph" w:styleId="4">
    <w:name w:val="Balloon Text"/>
    <w:basedOn w:val="1"/>
    <w:link w:val="13"/>
    <w:autoRedefine/>
    <w:unhideWhenUsed/>
    <w:qFormat/>
    <w:uiPriority w:val="99"/>
    <w:rPr>
      <w:sz w:val="18"/>
      <w:szCs w:val="18"/>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autoRedefine/>
    <w:unhideWhenUsed/>
    <w:qFormat/>
    <w:uiPriority w:val="99"/>
    <w:rPr>
      <w:b/>
      <w:bCs/>
    </w:rPr>
  </w:style>
  <w:style w:type="character" w:styleId="10">
    <w:name w:val="annotation reference"/>
    <w:basedOn w:val="9"/>
    <w:unhideWhenUsed/>
    <w:qFormat/>
    <w:uiPriority w:val="0"/>
    <w:rPr>
      <w:sz w:val="21"/>
      <w:szCs w:val="21"/>
    </w:rPr>
  </w:style>
  <w:style w:type="character" w:customStyle="1" w:styleId="11">
    <w:name w:val="页眉 字符"/>
    <w:basedOn w:val="9"/>
    <w:link w:val="6"/>
    <w:autoRedefine/>
    <w:qFormat/>
    <w:uiPriority w:val="99"/>
    <w:rPr>
      <w:rFonts w:ascii="Calibri" w:hAnsi="Calibri" w:eastAsia="宋体" w:cs="Times New Roman"/>
      <w:sz w:val="18"/>
      <w:szCs w:val="18"/>
    </w:rPr>
  </w:style>
  <w:style w:type="character" w:customStyle="1" w:styleId="12">
    <w:name w:val="页脚 字符"/>
    <w:basedOn w:val="9"/>
    <w:link w:val="5"/>
    <w:autoRedefine/>
    <w:qFormat/>
    <w:uiPriority w:val="99"/>
    <w:rPr>
      <w:rFonts w:ascii="Calibri" w:hAnsi="Calibri" w:eastAsia="宋体" w:cs="Times New Roman"/>
      <w:sz w:val="18"/>
      <w:szCs w:val="18"/>
    </w:rPr>
  </w:style>
  <w:style w:type="character" w:customStyle="1" w:styleId="13">
    <w:name w:val="批注框文本 字符"/>
    <w:basedOn w:val="9"/>
    <w:link w:val="4"/>
    <w:autoRedefine/>
    <w:semiHidden/>
    <w:qFormat/>
    <w:uiPriority w:val="99"/>
    <w:rPr>
      <w:rFonts w:ascii="Calibri" w:hAnsi="Calibri" w:eastAsia="宋体" w:cs="Times New Roman"/>
      <w:sz w:val="18"/>
      <w:szCs w:val="18"/>
    </w:rPr>
  </w:style>
  <w:style w:type="character" w:customStyle="1" w:styleId="14">
    <w:name w:val="批注文字 字符"/>
    <w:basedOn w:val="9"/>
    <w:link w:val="3"/>
    <w:semiHidden/>
    <w:qFormat/>
    <w:uiPriority w:val="0"/>
    <w:rPr>
      <w:rFonts w:ascii="Calibri" w:hAnsi="Calibri" w:eastAsia="宋体" w:cs="Times New Roman"/>
    </w:rPr>
  </w:style>
  <w:style w:type="character" w:customStyle="1" w:styleId="15">
    <w:name w:val="批注主题 字符"/>
    <w:basedOn w:val="14"/>
    <w:link w:val="7"/>
    <w:autoRedefine/>
    <w:semiHidden/>
    <w:qFormat/>
    <w:uiPriority w:val="99"/>
    <w:rPr>
      <w:rFonts w:ascii="Calibri" w:hAnsi="Calibri" w:eastAsia="宋体" w:cs="Times New Roman"/>
      <w:b/>
      <w:bCs/>
    </w:rPr>
  </w:style>
  <w:style w:type="paragraph" w:customStyle="1" w:styleId="16">
    <w:name w:val="列表段落1"/>
    <w:basedOn w:val="1"/>
    <w:autoRedefine/>
    <w:unhideWhenUsed/>
    <w:qFormat/>
    <w:uiPriority w:val="99"/>
    <w:pPr>
      <w:ind w:firstLine="420" w:firstLineChars="200"/>
    </w:pPr>
  </w:style>
  <w:style w:type="paragraph" w:styleId="1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6682</Words>
  <Characters>6990</Characters>
  <Lines>62</Lines>
  <Paragraphs>17</Paragraphs>
  <TotalTime>72</TotalTime>
  <ScaleCrop>false</ScaleCrop>
  <LinksUpToDate>false</LinksUpToDate>
  <CharactersWithSpaces>8423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2017-06-16T08:53:00Z</dcterms:created>
  <dc:creator>设计中心</dc:creator>
  <cp:lastModifiedBy>Lee</cp:lastModifiedBy>
  <cp:lastPrinted>2024-01-08T08:09:00Z</cp:lastPrinted>
  <dcterms:modified xsi:type="dcterms:W3CDTF">2024-01-09T01:26:48Z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2024E192EAB24E278EA8CE505B4E3499_13</vt:lpwstr>
  </property>
</Properties>
</file>