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cs="宋体"/>
          <w:color w:val="auto"/>
          <w:highlight w:val="none"/>
        </w:rPr>
      </w:pPr>
      <w:r>
        <w:rPr>
          <w:rFonts w:hint="eastAsia" w:ascii="宋体" w:hAnsi="宋体" w:cs="宋体"/>
          <w:color w:val="auto"/>
          <w:sz w:val="28"/>
          <w:szCs w:val="28"/>
          <w:highlight w:val="none"/>
        </w:rPr>
        <w:t>附件1：</w:t>
      </w:r>
    </w:p>
    <w:p>
      <w:pPr>
        <w:jc w:val="center"/>
        <w:rPr>
          <w:rFonts w:hint="eastAsia" w:ascii="仿宋" w:hAnsi="仿宋"/>
          <w:b/>
          <w:color w:val="auto"/>
          <w:sz w:val="32"/>
          <w:szCs w:val="32"/>
          <w:highlight w:val="none"/>
        </w:rPr>
      </w:pPr>
      <w:r>
        <w:rPr>
          <w:rFonts w:hint="eastAsia" w:ascii="仿宋" w:hAnsi="仿宋"/>
          <w:b/>
          <w:color w:val="auto"/>
          <w:sz w:val="32"/>
          <w:szCs w:val="32"/>
          <w:highlight w:val="none"/>
        </w:rPr>
        <w:t>投标报价书</w:t>
      </w:r>
    </w:p>
    <w:tbl>
      <w:tblPr>
        <w:tblStyle w:val="4"/>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
        <w:gridCol w:w="5103"/>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jc w:val="center"/>
              <w:rPr>
                <w:rFonts w:ascii="仿宋" w:hAnsi="仿宋"/>
                <w:b/>
                <w:color w:val="auto"/>
                <w:highlight w:val="none"/>
              </w:rPr>
            </w:pPr>
            <w:r>
              <w:rPr>
                <w:rFonts w:hint="eastAsia" w:ascii="仿宋" w:hAnsi="仿宋"/>
                <w:b/>
                <w:color w:val="auto"/>
                <w:highlight w:val="none"/>
              </w:rPr>
              <w:t>编号</w:t>
            </w:r>
          </w:p>
        </w:tc>
        <w:tc>
          <w:tcPr>
            <w:tcW w:w="5103" w:type="dxa"/>
            <w:noWrap w:val="0"/>
            <w:vAlign w:val="center"/>
          </w:tcPr>
          <w:p>
            <w:pPr>
              <w:jc w:val="center"/>
              <w:rPr>
                <w:rFonts w:ascii="仿宋" w:hAnsi="仿宋"/>
                <w:b/>
                <w:color w:val="auto"/>
                <w:highlight w:val="none"/>
              </w:rPr>
            </w:pPr>
            <w:r>
              <w:rPr>
                <w:rFonts w:hint="eastAsia" w:ascii="仿宋" w:hAnsi="仿宋"/>
                <w:b/>
                <w:color w:val="auto"/>
                <w:highlight w:val="none"/>
              </w:rPr>
              <w:t>工程名称</w:t>
            </w:r>
          </w:p>
        </w:tc>
        <w:tc>
          <w:tcPr>
            <w:tcW w:w="1559" w:type="dxa"/>
            <w:tcBorders>
              <w:right w:val="single" w:color="auto" w:sz="4" w:space="0"/>
            </w:tcBorders>
            <w:noWrap w:val="0"/>
            <w:vAlign w:val="center"/>
          </w:tcPr>
          <w:p>
            <w:pPr>
              <w:jc w:val="center"/>
              <w:rPr>
                <w:rFonts w:hint="eastAsia" w:ascii="宋体" w:hAnsi="宋体" w:cs="宋体"/>
                <w:b/>
                <w:color w:val="auto"/>
                <w:highlight w:val="none"/>
              </w:rPr>
            </w:pPr>
            <w:r>
              <w:rPr>
                <w:rFonts w:hint="eastAsia" w:ascii="宋体" w:hAnsi="宋体" w:cs="宋体"/>
                <w:b/>
                <w:color w:val="auto"/>
                <w:highlight w:val="none"/>
              </w:rPr>
              <w:t>投标上限价（万元）</w:t>
            </w:r>
          </w:p>
        </w:tc>
        <w:tc>
          <w:tcPr>
            <w:tcW w:w="1843" w:type="dxa"/>
            <w:tcBorders>
              <w:left w:val="single" w:color="auto" w:sz="4" w:space="0"/>
            </w:tcBorders>
            <w:noWrap w:val="0"/>
            <w:vAlign w:val="center"/>
          </w:tcPr>
          <w:p>
            <w:pPr>
              <w:jc w:val="center"/>
              <w:rPr>
                <w:rFonts w:ascii="仿宋" w:hAnsi="仿宋"/>
                <w:b/>
                <w:color w:val="auto"/>
                <w:highlight w:val="none"/>
              </w:rPr>
            </w:pPr>
            <w:r>
              <w:rPr>
                <w:rFonts w:hint="eastAsia" w:ascii="仿宋" w:hAnsi="仿宋"/>
                <w:b/>
                <w:color w:val="auto"/>
                <w:highlight w:val="none"/>
              </w:rPr>
              <w:t>报价（万元）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852" w:type="dxa"/>
            <w:noWrap w:val="0"/>
            <w:vAlign w:val="center"/>
          </w:tcPr>
          <w:p>
            <w:pPr>
              <w:jc w:val="center"/>
              <w:rPr>
                <w:rFonts w:hint="eastAsia" w:ascii="仿宋" w:hAnsi="仿宋"/>
                <w:color w:val="auto"/>
                <w:highlight w:val="none"/>
              </w:rPr>
            </w:pPr>
            <w:r>
              <w:rPr>
                <w:rFonts w:hint="eastAsia" w:ascii="宋体" w:hAnsi="宋体" w:cs="宋体"/>
                <w:color w:val="auto"/>
                <w:highlight w:val="none"/>
              </w:rPr>
              <w:t>1</w:t>
            </w:r>
          </w:p>
        </w:tc>
        <w:tc>
          <w:tcPr>
            <w:tcW w:w="5103" w:type="dxa"/>
            <w:noWrap w:val="0"/>
            <w:vAlign w:val="center"/>
          </w:tcPr>
          <w:p>
            <w:pPr>
              <w:adjustRightInd w:val="0"/>
              <w:snapToGrid w:val="0"/>
              <w:rPr>
                <w:rFonts w:hint="eastAsia" w:ascii="仿宋" w:hAnsi="仿宋"/>
                <w:color w:val="auto"/>
                <w:szCs w:val="21"/>
                <w:highlight w:val="none"/>
              </w:rPr>
            </w:pPr>
            <w:r>
              <w:rPr>
                <w:rFonts w:hint="eastAsia" w:ascii="仿宋" w:hAnsi="仿宋"/>
                <w:color w:val="auto"/>
                <w:sz w:val="24"/>
                <w:highlight w:val="none"/>
              </w:rPr>
              <w:t>深圳市华大医院项目树木迁移、采伐工程</w:t>
            </w:r>
          </w:p>
        </w:tc>
        <w:tc>
          <w:tcPr>
            <w:tcW w:w="1559" w:type="dxa"/>
            <w:tcBorders>
              <w:right w:val="single" w:color="auto" w:sz="4" w:space="0"/>
            </w:tcBorders>
            <w:noWrap w:val="0"/>
            <w:vAlign w:val="center"/>
          </w:tcPr>
          <w:p>
            <w:pPr>
              <w:adjustRightInd w:val="0"/>
              <w:snapToGrid w:val="0"/>
              <w:jc w:val="center"/>
              <w:rPr>
                <w:rFonts w:ascii="宋体" w:hAnsi="宋体" w:cs="宋体"/>
                <w:color w:val="auto"/>
                <w:sz w:val="24"/>
                <w:highlight w:val="none"/>
              </w:rPr>
            </w:pPr>
            <w:r>
              <w:rPr>
                <w:rFonts w:hint="eastAsia" w:ascii="仿宋" w:hAnsi="仿宋"/>
                <w:bCs/>
                <w:color w:val="auto"/>
                <w:sz w:val="24"/>
                <w:highlight w:val="none"/>
              </w:rPr>
              <w:t>30.970403</w:t>
            </w:r>
          </w:p>
        </w:tc>
        <w:tc>
          <w:tcPr>
            <w:tcW w:w="1843" w:type="dxa"/>
            <w:tcBorders>
              <w:left w:val="single" w:color="auto" w:sz="4" w:space="0"/>
            </w:tcBorders>
            <w:noWrap w:val="0"/>
            <w:vAlign w:val="center"/>
          </w:tcPr>
          <w:p>
            <w:pPr>
              <w:adjustRightInd w:val="0"/>
              <w:snapToGrid w:val="0"/>
              <w:spacing w:line="360" w:lineRule="auto"/>
              <w:jc w:val="center"/>
              <w:rPr>
                <w:rFonts w:hint="eastAsia" w:ascii="仿宋" w:hAnsi="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7"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156" w:beforeLines="50" w:line="440" w:lineRule="exact"/>
              <w:ind w:firstLine="482" w:firstLineChars="200"/>
              <w:textAlignment w:val="auto"/>
              <w:rPr>
                <w:rFonts w:hint="eastAsia" w:ascii="仿宋" w:hAnsi="仿宋" w:eastAsia="仿宋"/>
                <w:color w:val="auto"/>
                <w:sz w:val="24"/>
                <w:highlight w:val="none"/>
                <w:shd w:val="clear" w:color="auto" w:fill="FFFFFF"/>
              </w:rPr>
            </w:pPr>
            <w:r>
              <w:rPr>
                <w:rFonts w:hint="eastAsia" w:ascii="仿宋" w:hAnsi="仿宋"/>
                <w:b/>
                <w:color w:val="auto"/>
                <w:sz w:val="24"/>
                <w:highlight w:val="none"/>
              </w:rPr>
              <w:t xml:space="preserve">本次服务具体要求： </w:t>
            </w:r>
          </w:p>
          <w:p>
            <w:pPr>
              <w:pStyle w:val="7"/>
              <w:keepNext w:val="0"/>
              <w:keepLines w:val="0"/>
              <w:pageBreakBefore w:val="0"/>
              <w:widowControl w:val="0"/>
              <w:kinsoku/>
              <w:wordWrap/>
              <w:overflowPunct/>
              <w:topLinePunct w:val="0"/>
              <w:autoSpaceDE/>
              <w:autoSpaceDN/>
              <w:bidi w:val="0"/>
              <w:adjustRightInd w:val="0"/>
              <w:snapToGrid w:val="0"/>
              <w:spacing w:line="440" w:lineRule="exact"/>
              <w:ind w:firstLine="480"/>
              <w:textAlignment w:val="auto"/>
              <w:rPr>
                <w:rFonts w:ascii="宋体" w:hAnsi="宋体" w:eastAsia="宋体" w:cs="宋体"/>
                <w:bCs/>
                <w:color w:val="auto"/>
                <w:highlight w:val="none"/>
                <w:lang w:eastAsia="zh-CN"/>
              </w:rPr>
            </w:pPr>
            <w:r>
              <w:rPr>
                <w:rFonts w:hint="eastAsia" w:ascii="宋体" w:hAnsi="宋体" w:eastAsia="宋体" w:cs="宋体"/>
                <w:bCs/>
                <w:color w:val="auto"/>
                <w:highlight w:val="none"/>
                <w:lang w:eastAsia="zh-CN"/>
              </w:rPr>
              <w:t>负责市华大医院项目树木迁移、采伐工程并取得砍伐、迁移城市树木行政许可决定书：其中城市绿地范围内的树木采取迁移工作，需要开展树木评估报告、迁移方案编制、寻找接收场地、办理迁移行政许可决定书手续、取得乔木处置批复文件等、实施树木迁移、做好后期养护工作并移交至城管局等；非林地范围的树木采取采伐工作，需开展伐区调查作业设计报告编制，配合建设单位完成林木采伐许可证的办理并取得批复后，开展采伐作业。</w:t>
            </w:r>
          </w:p>
          <w:p>
            <w:pPr>
              <w:pStyle w:val="7"/>
              <w:keepNext w:val="0"/>
              <w:keepLines w:val="0"/>
              <w:pageBreakBefore w:val="0"/>
              <w:widowControl w:val="0"/>
              <w:kinsoku/>
              <w:wordWrap/>
              <w:overflowPunct/>
              <w:topLinePunct w:val="0"/>
              <w:autoSpaceDE/>
              <w:autoSpaceDN/>
              <w:bidi w:val="0"/>
              <w:adjustRightInd w:val="0"/>
              <w:snapToGrid w:val="0"/>
              <w:spacing w:line="440" w:lineRule="exact"/>
              <w:ind w:firstLine="482"/>
              <w:textAlignment w:val="auto"/>
              <w:rPr>
                <w:rFonts w:hint="eastAsia" w:ascii="仿宋" w:hAnsi="仿宋" w:eastAsia="宋体"/>
                <w:b/>
                <w:color w:val="auto"/>
                <w:highlight w:val="none"/>
                <w:lang w:eastAsia="zh-CN"/>
              </w:rPr>
            </w:pPr>
            <w:r>
              <w:rPr>
                <w:rFonts w:hint="eastAsia" w:ascii="仿宋" w:hAnsi="仿宋" w:eastAsia="宋体"/>
                <w:b/>
                <w:color w:val="auto"/>
                <w:highlight w:val="none"/>
                <w:lang w:eastAsia="zh-CN"/>
              </w:rPr>
              <w:t>计价原则及结算方式：</w:t>
            </w:r>
          </w:p>
          <w:p>
            <w:pPr>
              <w:pStyle w:val="2"/>
              <w:keepNext w:val="0"/>
              <w:keepLines w:val="0"/>
              <w:pageBreakBefore w:val="0"/>
              <w:widowControl w:val="0"/>
              <w:numPr>
                <w:ilvl w:val="0"/>
                <w:numId w:val="1"/>
              </w:numPr>
              <w:kinsoku/>
              <w:wordWrap/>
              <w:overflowPunct/>
              <w:topLinePunct w:val="0"/>
              <w:autoSpaceDE/>
              <w:autoSpaceDN/>
              <w:bidi w:val="0"/>
              <w:spacing w:line="440" w:lineRule="exact"/>
              <w:ind w:firstLine="480" w:firstLineChars="200"/>
              <w:textAlignment w:val="auto"/>
              <w:rPr>
                <w:rFonts w:hint="eastAsia" w:ascii="仿宋" w:hAnsi="仿宋"/>
                <w:color w:val="auto"/>
                <w:sz w:val="24"/>
                <w:highlight w:val="none"/>
              </w:rPr>
            </w:pPr>
            <w:r>
              <w:rPr>
                <w:rFonts w:hint="eastAsia" w:ascii="仿宋" w:hAnsi="仿宋"/>
                <w:color w:val="auto"/>
                <w:sz w:val="24"/>
                <w:highlight w:val="none"/>
              </w:rPr>
              <w:t>树木迁移、采伐工程以投标报价中的综合单价包干，结算时不因实际工程量的调整而改变清单单价。</w:t>
            </w:r>
          </w:p>
          <w:p>
            <w:pPr>
              <w:pStyle w:val="2"/>
              <w:keepNext w:val="0"/>
              <w:keepLines w:val="0"/>
              <w:pageBreakBefore w:val="0"/>
              <w:widowControl w:val="0"/>
              <w:numPr>
                <w:ilvl w:val="0"/>
                <w:numId w:val="1"/>
              </w:numPr>
              <w:kinsoku/>
              <w:wordWrap/>
              <w:overflowPunct/>
              <w:topLinePunct w:val="0"/>
              <w:autoSpaceDE/>
              <w:autoSpaceDN/>
              <w:bidi w:val="0"/>
              <w:spacing w:line="440" w:lineRule="exact"/>
              <w:ind w:firstLine="480" w:firstLineChars="200"/>
              <w:textAlignment w:val="auto"/>
              <w:rPr>
                <w:rFonts w:hint="eastAsia" w:ascii="仿宋" w:hAnsi="仿宋"/>
                <w:color w:val="auto"/>
                <w:sz w:val="24"/>
                <w:highlight w:val="none"/>
              </w:rPr>
            </w:pPr>
            <w:r>
              <w:rPr>
                <w:rFonts w:hint="eastAsia" w:ascii="仿宋" w:hAnsi="仿宋"/>
                <w:color w:val="auto"/>
                <w:sz w:val="24"/>
                <w:highlight w:val="none"/>
              </w:rPr>
              <w:t>本项目措施项目费用包干，结算不做调整。</w:t>
            </w:r>
          </w:p>
          <w:p>
            <w:pPr>
              <w:pStyle w:val="2"/>
              <w:keepNext w:val="0"/>
              <w:keepLines w:val="0"/>
              <w:pageBreakBefore w:val="0"/>
              <w:widowControl w:val="0"/>
              <w:numPr>
                <w:ilvl w:val="0"/>
                <w:numId w:val="1"/>
              </w:numPr>
              <w:kinsoku/>
              <w:wordWrap/>
              <w:overflowPunct/>
              <w:topLinePunct w:val="0"/>
              <w:autoSpaceDE/>
              <w:autoSpaceDN/>
              <w:bidi w:val="0"/>
              <w:spacing w:line="440" w:lineRule="exact"/>
              <w:ind w:firstLine="480" w:firstLineChars="200"/>
              <w:textAlignment w:val="auto"/>
              <w:rPr>
                <w:rFonts w:hint="eastAsia" w:ascii="仿宋" w:hAnsi="仿宋"/>
                <w:color w:val="auto"/>
                <w:sz w:val="24"/>
                <w:highlight w:val="none"/>
              </w:rPr>
            </w:pPr>
            <w:r>
              <w:rPr>
                <w:rFonts w:hint="eastAsia" w:ascii="仿宋" w:hAnsi="仿宋"/>
                <w:color w:val="auto"/>
                <w:sz w:val="24"/>
                <w:highlight w:val="none"/>
              </w:rPr>
              <w:t>伐区调查作业设计报告编制费等其他费用总价包干，结算时不做调整。</w:t>
            </w:r>
          </w:p>
          <w:p>
            <w:pPr>
              <w:pStyle w:val="2"/>
              <w:keepNext w:val="0"/>
              <w:keepLines w:val="0"/>
              <w:pageBreakBefore w:val="0"/>
              <w:widowControl w:val="0"/>
              <w:numPr>
                <w:ilvl w:val="0"/>
                <w:numId w:val="1"/>
              </w:numPr>
              <w:kinsoku/>
              <w:wordWrap/>
              <w:overflowPunct/>
              <w:topLinePunct w:val="0"/>
              <w:autoSpaceDE/>
              <w:autoSpaceDN/>
              <w:bidi w:val="0"/>
              <w:spacing w:line="440" w:lineRule="exact"/>
              <w:ind w:firstLine="480" w:firstLineChars="200"/>
              <w:textAlignment w:val="auto"/>
              <w:rPr>
                <w:rFonts w:hint="eastAsia" w:ascii="仿宋" w:hAnsi="仿宋"/>
                <w:color w:val="auto"/>
                <w:sz w:val="24"/>
                <w:highlight w:val="none"/>
              </w:rPr>
            </w:pPr>
            <w:r>
              <w:rPr>
                <w:rFonts w:hint="eastAsia" w:ascii="仿宋" w:hAnsi="仿宋"/>
                <w:color w:val="auto"/>
                <w:sz w:val="24"/>
                <w:highlight w:val="none"/>
              </w:rPr>
              <w:t>在办理本项目范围内的树木迁移和砍伐中，开展树木评估报告、编制迁移方案、寻找接收场地、办理迁移行政许可决定书手续等所需要的费用请投标人在投标总价中综合考虑，后期不予调整。</w:t>
            </w:r>
          </w:p>
          <w:p>
            <w:pPr>
              <w:pStyle w:val="2"/>
              <w:keepNext w:val="0"/>
              <w:keepLines w:val="0"/>
              <w:pageBreakBefore w:val="0"/>
              <w:widowControl w:val="0"/>
              <w:numPr>
                <w:ilvl w:val="0"/>
                <w:numId w:val="1"/>
              </w:numPr>
              <w:kinsoku/>
              <w:wordWrap/>
              <w:overflowPunct/>
              <w:topLinePunct w:val="0"/>
              <w:autoSpaceDE/>
              <w:autoSpaceDN/>
              <w:bidi w:val="0"/>
              <w:spacing w:line="440" w:lineRule="exact"/>
              <w:ind w:firstLine="480" w:firstLineChars="200"/>
              <w:textAlignment w:val="auto"/>
              <w:rPr>
                <w:rFonts w:hint="eastAsia" w:ascii="仿宋" w:hAnsi="仿宋"/>
                <w:color w:val="auto"/>
                <w:sz w:val="24"/>
                <w:highlight w:val="none"/>
              </w:rPr>
            </w:pPr>
            <w:r>
              <w:rPr>
                <w:rFonts w:hint="eastAsia" w:ascii="仿宋" w:hAnsi="仿宋"/>
                <w:color w:val="auto"/>
                <w:sz w:val="24"/>
                <w:highlight w:val="none"/>
              </w:rPr>
              <w:t>本项目最终结算价以深圳市财政投资评审中心审核结果为准。</w:t>
            </w:r>
          </w:p>
          <w:p>
            <w:pPr>
              <w:pStyle w:val="7"/>
              <w:keepNext w:val="0"/>
              <w:keepLines w:val="0"/>
              <w:pageBreakBefore w:val="0"/>
              <w:widowControl w:val="0"/>
              <w:kinsoku/>
              <w:wordWrap/>
              <w:overflowPunct/>
              <w:topLinePunct w:val="0"/>
              <w:autoSpaceDE/>
              <w:autoSpaceDN/>
              <w:bidi w:val="0"/>
              <w:adjustRightInd w:val="0"/>
              <w:snapToGrid w:val="0"/>
              <w:spacing w:line="440" w:lineRule="exact"/>
              <w:ind w:firstLine="482"/>
              <w:textAlignment w:val="auto"/>
              <w:rPr>
                <w:rFonts w:hint="eastAsia" w:ascii="仿宋" w:hAnsi="仿宋" w:eastAsia="宋体"/>
                <w:b/>
                <w:color w:val="auto"/>
                <w:highlight w:val="none"/>
                <w:lang w:eastAsia="zh-CN"/>
              </w:rPr>
            </w:pPr>
            <w:r>
              <w:rPr>
                <w:rFonts w:hint="eastAsia" w:ascii="仿宋" w:hAnsi="仿宋" w:eastAsia="宋体"/>
                <w:b/>
                <w:color w:val="auto"/>
                <w:highlight w:val="none"/>
                <w:lang w:eastAsia="zh-CN"/>
              </w:rPr>
              <w:t>付款方式：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本合同不设预付款，迁移、采伐清运完成后，按照相关文件确定的迁移和砍伐数量支付至计算总价的85%（且不超过合同总价不含暂列金额的85%）；施工单位提交完整的结算后支付至建设单位委托的第三方咨询公司审核金额的90%（且不超过合同价不含暂列金额的90%）；剩余款项在管养期且经政府管理部门验收合格、移交接收方且本项目审计完后一个月内支付。</w:t>
            </w:r>
          </w:p>
          <w:p>
            <w:pPr>
              <w:adjustRightInd w:val="0"/>
              <w:snapToGrid w:val="0"/>
              <w:spacing w:line="360" w:lineRule="auto"/>
              <w:ind w:firstLine="480" w:firstLineChars="200"/>
              <w:rPr>
                <w:rFonts w:hint="eastAsia" w:ascii="仿宋" w:hAnsi="仿宋"/>
                <w:color w:val="auto"/>
                <w:sz w:val="24"/>
                <w:highlight w:val="none"/>
              </w:rPr>
            </w:pPr>
            <w:r>
              <w:rPr>
                <w:rFonts w:hint="eastAsia" w:ascii="宋体" w:hAnsi="宋体" w:cs="宋体"/>
                <w:color w:val="auto"/>
                <w:sz w:val="24"/>
                <w:highlight w:val="none"/>
              </w:rPr>
              <w:t>如本项目需审计，则本合同最终结算金额以审计审定价为准。</w:t>
            </w:r>
          </w:p>
        </w:tc>
      </w:tr>
    </w:tbl>
    <w:p>
      <w:pPr>
        <w:rPr>
          <w:rFonts w:ascii="仿宋" w:hAnsi="仿宋"/>
          <w:color w:val="auto"/>
          <w:sz w:val="28"/>
          <w:szCs w:val="28"/>
          <w:highlight w:val="none"/>
        </w:rPr>
      </w:pPr>
      <w:r>
        <w:rPr>
          <w:rFonts w:hint="eastAsia" w:ascii="仿宋" w:hAnsi="仿宋"/>
          <w:color w:val="auto"/>
          <w:sz w:val="28"/>
          <w:szCs w:val="28"/>
          <w:highlight w:val="none"/>
        </w:rPr>
        <w:t>投标人法定代表签名：              投标单位（署名并盖章）：</w:t>
      </w:r>
    </w:p>
    <w:p>
      <w:pPr>
        <w:ind w:firstLine="4760" w:firstLineChars="1700"/>
      </w:pPr>
      <w:r>
        <w:rPr>
          <w:rFonts w:hint="eastAsia" w:ascii="仿宋" w:hAnsi="仿宋"/>
          <w:color w:val="auto"/>
          <w:sz w:val="28"/>
          <w:szCs w:val="28"/>
          <w:highlight w:val="none"/>
        </w:rPr>
        <w:t>日期：</w:t>
      </w:r>
      <w:bookmarkStart w:id="8" w:name="_GoBack"/>
      <w:bookmarkEnd w:id="8"/>
      <w:bookmarkStart w:id="0" w:name="Bookmark36"/>
      <w:bookmarkEnd w:id="0"/>
      <w:bookmarkStart w:id="1" w:name="Bookmark44"/>
      <w:bookmarkEnd w:id="1"/>
      <w:bookmarkStart w:id="2" w:name="Bookmark40"/>
      <w:bookmarkEnd w:id="2"/>
      <w:bookmarkStart w:id="3" w:name="Bookmark35"/>
      <w:bookmarkEnd w:id="3"/>
      <w:bookmarkStart w:id="4" w:name="Bookmark38"/>
      <w:bookmarkEnd w:id="4"/>
      <w:bookmarkStart w:id="5" w:name="Bookmark37"/>
      <w:bookmarkEnd w:id="5"/>
      <w:bookmarkStart w:id="6" w:name="Bookmark34"/>
      <w:bookmarkEnd w:id="6"/>
      <w:bookmarkStart w:id="7" w:name="Bookmark39"/>
      <w:bookmarkEnd w:id="7"/>
    </w:p>
    <w:sectPr>
      <w:footerReference r:id="rId3" w:type="default"/>
      <w:footerReference r:id="rId4" w:type="even"/>
      <w:pgSz w:w="11906" w:h="16838"/>
      <w:pgMar w:top="1440" w:right="1418" w:bottom="1440"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in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37F94"/>
    <w:multiLevelType w:val="singleLevel"/>
    <w:tmpl w:val="04637F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DI0ZWExNGZkY2ZjZDQxYzU1Njg1MzI3M2Q1YWQifQ=="/>
  </w:docVars>
  <w:rsids>
    <w:rsidRoot w:val="30280179"/>
    <w:rsid w:val="3028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sz w:val="28"/>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uiPriority w:val="0"/>
  </w:style>
  <w:style w:type="paragraph" w:styleId="7">
    <w:name w:val="List Paragraph"/>
    <w:basedOn w:val="1"/>
    <w:qFormat/>
    <w:uiPriority w:val="0"/>
    <w:pPr>
      <w:ind w:firstLine="420" w:firstLineChars="200"/>
      <w:jc w:val="left"/>
    </w:pPr>
    <w:rPr>
      <w:rFonts w:eastAsia="PMingLiU"/>
      <w:sz w:val="24"/>
      <w:lang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2023-05-15T03:03:00Z</dcterms:created>
  <dc:creator>张大老板</dc:creator>
  <cp:lastModifiedBy>张大老板</cp:lastModifiedBy>
  <dcterms:modified xsi:type="dcterms:W3CDTF">2023-05-15T03:04:03Z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CD9E0F69DAA541FA9C65DB7F36160D68_11</vt:lpwstr>
  </property>
</Properties>
</file>