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Cs w:val="21"/>
          <w:highlight w:val="none"/>
        </w:rPr>
        <w:t>附表一：</w:t>
      </w:r>
      <w:bookmarkStart w:id="0" w:name="_GoBack"/>
      <w:bookmarkEnd w:id="0"/>
    </w:p>
    <w:p>
      <w:pPr>
        <w:jc w:val="center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投标报价书</w:t>
      </w:r>
    </w:p>
    <w:tbl>
      <w:tblPr>
        <w:tblStyle w:val="3"/>
        <w:tblW w:w="0" w:type="auto"/>
        <w:tblInd w:w="-4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5528"/>
        <w:gridCol w:w="1134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编号</w:t>
            </w:r>
          </w:p>
        </w:tc>
        <w:tc>
          <w:tcPr>
            <w:tcW w:w="5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工程名称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上限价（万元）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报价（万元）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55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sz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val="en-US" w:eastAsia="zh-CN"/>
              </w:rPr>
              <w:t>深圳市公安局龙岗分局三所三队一中心1号地块建设工程项目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shd w:val="clear" w:color="auto" w:fill="FFFFFF"/>
                <w:lang w:eastAsia="zh-CN"/>
              </w:rPr>
              <w:t>竣工环境保护验收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FF0000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11.377531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/>
              <w:snapToGrid/>
              <w:spacing w:line="500" w:lineRule="exact"/>
              <w:rPr>
                <w:rFonts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本次服务具体要求：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1、工作人员要求：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咨询服务工作的人员应不少于</w:t>
            </w:r>
            <w:r>
              <w:rPr>
                <w:rFonts w:hint="eastAsia"/>
                <w:sz w:val="24"/>
                <w:highlight w:val="none"/>
              </w:rPr>
              <w:t>3</w:t>
            </w:r>
            <w:r>
              <w:rPr>
                <w:rFonts w:hint="eastAsia" w:ascii="宋体" w:hAnsi="宋体"/>
                <w:sz w:val="24"/>
                <w:highlight w:val="none"/>
              </w:rPr>
              <w:t>人，一名项目负责人，两名专业人员或助理人员。其中负责人应有环保验收的相关工作经验。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 xml:space="preserve">2、服务周期和时间要求： 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服务周期为自中标通知书发出之日起至本项目通过环保验收为止。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本次招标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内容及要求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：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根据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《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深环批函[2008］125号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》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依照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《中华人民共和国民法典》、《中华人民共和国建筑法》、《中华人民共和国环境保护法》及其国家、深圳市现行有关建设项目竣工环保验收制度及办法，开展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深圳市公安局龙岗分局三所三队一中心1号地块建设工程项目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竣工环境保护验收工作，协助申报并完成相关审批程序，确保项目竣工环境保护验收通过，包括但不限于开展以下工作：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、严格按照国家、深圳市现行的关于建设项目环境保护验收的法规和技术标准，开展本项目及附属配套工程环境保护验收工作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（含噪音、污水、废水及废气等检测、监测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以及周边居民或使用者的环保调查等环保验收所需要的一切工作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，编制建设项目竣工环境保护验收报告；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、组织专家对所提交的环境保护验收报告进行评审，根据专家及环境保护行政主管部门的审核意见对报告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在规定的时间内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进行修改，</w:t>
            </w:r>
            <w:r>
              <w:rPr>
                <w:rFonts w:hint="eastAsia" w:ascii="宋体" w:hAnsi="宋体"/>
                <w:sz w:val="24"/>
                <w:highlight w:val="none"/>
              </w:rPr>
              <w:t>直至通过环保验收主管部门认可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，并完成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项目竣工环境保护验收成果文件公示报备；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、配合及参加相关各种汇报会、论证会，并按甲方要求制作相关资料和电子文件；</w:t>
            </w:r>
          </w:p>
          <w:p>
            <w:pPr>
              <w:spacing w:line="500" w:lineRule="exact"/>
              <w:jc w:val="left"/>
              <w:rPr>
                <w:rFonts w:hint="eastAsia" w:ascii="宋体" w:hAnsi="宋体" w:eastAsia="宋体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Times New Roman"/>
                <w:sz w:val="24"/>
                <w:highlight w:val="none"/>
              </w:rPr>
              <w:t>、按甲方要求随时提供相关技术性及事务性服务。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4、服务成果提交：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环保验收主管部门认可的环境保护验收调查报告……………………8套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以上全套电子文档………………………………………………………4套</w:t>
            </w:r>
          </w:p>
          <w:p>
            <w:pPr>
              <w:spacing w:line="500" w:lineRule="exact"/>
              <w:ind w:firstLine="0" w:firstLineChars="0"/>
              <w:jc w:val="left"/>
              <w:rPr>
                <w:rFonts w:hint="eastAsia" w:ascii="宋体" w:hAnsi="宋体"/>
                <w:sz w:val="24"/>
                <w:highlight w:val="none"/>
              </w:rPr>
            </w:pPr>
          </w:p>
          <w:p>
            <w:pPr>
              <w:spacing w:line="500" w:lineRule="exact"/>
              <w:rPr>
                <w:rFonts w:hint="eastAsia" w:ascii="宋体" w:hAnsi="宋体" w:eastAsia="宋体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shd w:val="clear" w:color="auto" w:fill="FFFFFF"/>
              </w:rPr>
              <w:t>投标文件组成：</w:t>
            </w:r>
          </w:p>
          <w:p>
            <w:pPr>
              <w:spacing w:line="500" w:lineRule="exac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1、</w:t>
            </w:r>
            <w:r>
              <w:rPr>
                <w:sz w:val="24"/>
                <w:highlight w:val="none"/>
              </w:rPr>
              <w:t>投标报价书（按</w:t>
            </w:r>
            <w:r>
              <w:rPr>
                <w:rFonts w:hint="eastAsia"/>
                <w:sz w:val="24"/>
                <w:highlight w:val="none"/>
              </w:rPr>
              <w:t>招标人</w:t>
            </w:r>
            <w:r>
              <w:rPr>
                <w:sz w:val="24"/>
                <w:highlight w:val="none"/>
              </w:rPr>
              <w:t>提供的</w:t>
            </w:r>
            <w:r>
              <w:rPr>
                <w:rFonts w:hint="eastAsia"/>
                <w:sz w:val="24"/>
                <w:highlight w:val="none"/>
              </w:rPr>
              <w:t>附表一</w:t>
            </w:r>
            <w:r>
              <w:rPr>
                <w:sz w:val="24"/>
                <w:highlight w:val="none"/>
              </w:rPr>
              <w:t>表格</w:t>
            </w:r>
            <w:r>
              <w:rPr>
                <w:rFonts w:hint="eastAsia"/>
                <w:sz w:val="24"/>
                <w:highlight w:val="none"/>
              </w:rPr>
              <w:t>，</w:t>
            </w:r>
            <w:r>
              <w:rPr>
                <w:sz w:val="24"/>
                <w:highlight w:val="none"/>
              </w:rPr>
              <w:t>签名加盖公章）</w:t>
            </w:r>
            <w:r>
              <w:rPr>
                <w:rFonts w:hint="eastAsia"/>
                <w:sz w:val="24"/>
                <w:highlight w:val="none"/>
              </w:rPr>
              <w:t>；</w:t>
            </w:r>
          </w:p>
          <w:p>
            <w:pPr>
              <w:spacing w:line="500" w:lineRule="exac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2、营业执照（复印件加盖公章）；</w:t>
            </w:r>
          </w:p>
          <w:p>
            <w:pPr>
              <w:spacing w:line="500" w:lineRule="exac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3、法定代表人证明书及法定代表人授权委托书（原件，需签名加盖公章），法定代表人和法定代表人授权委托人身份证复印件（加盖公章）；</w:t>
            </w:r>
          </w:p>
          <w:p>
            <w:pPr>
              <w:spacing w:line="500" w:lineRule="exact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4、资质证书</w:t>
            </w:r>
            <w:r>
              <w:rPr>
                <w:rFonts w:hint="eastAsia"/>
                <w:sz w:val="24"/>
                <w:highlight w:val="none"/>
                <w:lang w:eastAsia="zh-CN"/>
              </w:rPr>
              <w:t>。</w:t>
            </w:r>
          </w:p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  <w:shd w:val="clear" w:color="auto" w:fill="FFFFFF"/>
                <w:lang w:eastAsia="zh-CN"/>
              </w:rPr>
            </w:pPr>
          </w:p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  <w:shd w:val="clear" w:color="auto" w:fill="FFFFFF"/>
                <w:lang w:eastAsia="zh-CN"/>
              </w:rPr>
            </w:pPr>
          </w:p>
          <w:p>
            <w:pPr>
              <w:adjustRightInd/>
              <w:snapToGrid/>
              <w:spacing w:line="500" w:lineRule="exact"/>
              <w:ind w:firstLine="0" w:firstLineChars="0"/>
              <w:rPr>
                <w:rFonts w:hint="eastAsia" w:ascii="宋体" w:hAnsi="宋体" w:eastAsia="宋体"/>
                <w:sz w:val="24"/>
                <w:highlight w:val="none"/>
                <w:shd w:val="clear" w:color="auto" w:fill="FFFFFF"/>
                <w:lang w:eastAsia="zh-CN"/>
              </w:rPr>
            </w:pPr>
          </w:p>
          <w:p>
            <w:pPr>
              <w:adjustRightInd/>
              <w:snapToGrid/>
              <w:spacing w:line="500" w:lineRule="exact"/>
              <w:ind w:firstLine="0" w:firstLineChars="0"/>
              <w:rPr>
                <w:rFonts w:ascii="宋体" w:hAnsi="宋体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投标人法定代表签名：            投标单位（署名并盖章）：</w:t>
      </w:r>
    </w:p>
    <w:p>
      <w:pPr>
        <w:ind w:firstLine="4760" w:firstLineChars="1700"/>
        <w:rPr>
          <w:rFonts w:hint="eastAsia" w:ascii="宋体" w:hAnsi="宋体"/>
          <w:szCs w:val="21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jAxNTM1YTQ5NjhlYzdhOTE1NzNiZTg1NjJhZjEifQ=="/>
  </w:docVars>
  <w:rsids>
    <w:rsidRoot w:val="00000000"/>
    <w:rsid w:val="017936BE"/>
    <w:rsid w:val="0B462863"/>
    <w:rsid w:val="107734BE"/>
    <w:rsid w:val="18D23988"/>
    <w:rsid w:val="203E5BD8"/>
    <w:rsid w:val="399C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874</Characters>
  <Lines>0</Lines>
  <Paragraphs>0</Paragraphs>
  <TotalTime>0</TotalTime>
  <ScaleCrop>false</ScaleCrop>
  <LinksUpToDate>false</LinksUpToDate>
  <CharactersWithSpaces>887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2022-10-20T07:10:17Z</dcterms:created>
  <dc:creator>Administrator</dc:creator>
  <cp:lastModifiedBy>Administrator</cp:lastModifiedBy>
  <dcterms:modified xsi:type="dcterms:W3CDTF">2022-10-20T07:10:33Z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52FDA3748A4D4905AF541F3D3263CD52</vt:lpwstr>
  </property>
</Properties>
</file>