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highlight w:val="none"/>
        </w:rPr>
      </w:pPr>
      <w:r>
        <w:rPr>
          <w:rFonts w:hint="eastAsia" w:ascii="仿宋" w:hAnsi="仿宋"/>
          <w:sz w:val="28"/>
          <w:szCs w:val="28"/>
          <w:highlight w:val="none"/>
        </w:rPr>
        <w:t>附</w:t>
      </w:r>
      <w:r>
        <w:rPr>
          <w:rFonts w:hint="eastAsia" w:ascii="等线" w:hAnsi="等线" w:eastAsia="等线"/>
          <w:sz w:val="28"/>
          <w:szCs w:val="28"/>
          <w:highlight w:val="none"/>
        </w:rPr>
        <w:t>件</w:t>
      </w:r>
      <w:r>
        <w:rPr>
          <w:rFonts w:ascii="仿宋" w:hAnsi="仿宋" w:eastAsia="等线"/>
          <w:sz w:val="28"/>
          <w:szCs w:val="28"/>
          <w:highlight w:val="none"/>
        </w:rPr>
        <w:t>1</w:t>
      </w:r>
      <w:r>
        <w:rPr>
          <w:rFonts w:hint="eastAsia" w:ascii="仿宋" w:hAnsi="仿宋"/>
          <w:sz w:val="28"/>
          <w:szCs w:val="28"/>
          <w:highlight w:val="none"/>
        </w:rPr>
        <w:t>：</w:t>
      </w:r>
    </w:p>
    <w:p>
      <w:pPr>
        <w:jc w:val="center"/>
        <w:rPr>
          <w:rFonts w:ascii="仿宋" w:hAnsi="仿宋"/>
          <w:b/>
          <w:sz w:val="32"/>
          <w:szCs w:val="32"/>
          <w:highlight w:val="none"/>
        </w:rPr>
      </w:pPr>
      <w:r>
        <w:rPr>
          <w:rFonts w:hint="eastAsia" w:ascii="仿宋" w:hAnsi="仿宋"/>
          <w:b/>
          <w:sz w:val="32"/>
          <w:szCs w:val="32"/>
          <w:highlight w:val="none"/>
        </w:rPr>
        <w:t>投标报价书</w:t>
      </w:r>
    </w:p>
    <w:tbl>
      <w:tblPr>
        <w:tblStyle w:val="3"/>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5103"/>
        <w:gridCol w:w="155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vAlign w:val="center"/>
          </w:tcPr>
          <w:p>
            <w:pPr>
              <w:jc w:val="center"/>
              <w:rPr>
                <w:rFonts w:ascii="仿宋" w:hAnsi="仿宋"/>
                <w:b/>
                <w:highlight w:val="none"/>
              </w:rPr>
            </w:pPr>
            <w:r>
              <w:rPr>
                <w:rFonts w:hint="eastAsia" w:ascii="仿宋" w:hAnsi="仿宋"/>
                <w:b/>
                <w:highlight w:val="none"/>
              </w:rPr>
              <w:t>编号</w:t>
            </w:r>
          </w:p>
        </w:tc>
        <w:tc>
          <w:tcPr>
            <w:tcW w:w="5103" w:type="dxa"/>
            <w:vAlign w:val="center"/>
          </w:tcPr>
          <w:p>
            <w:pPr>
              <w:jc w:val="center"/>
              <w:rPr>
                <w:rFonts w:ascii="仿宋" w:hAnsi="仿宋"/>
                <w:b/>
                <w:highlight w:val="none"/>
              </w:rPr>
            </w:pPr>
            <w:r>
              <w:rPr>
                <w:rFonts w:hint="eastAsia" w:ascii="仿宋" w:hAnsi="仿宋"/>
                <w:b/>
                <w:highlight w:val="none"/>
              </w:rPr>
              <w:t>工程名称</w:t>
            </w:r>
          </w:p>
        </w:tc>
        <w:tc>
          <w:tcPr>
            <w:tcW w:w="1559" w:type="dxa"/>
            <w:tcBorders>
              <w:right w:val="single" w:color="auto" w:sz="4" w:space="0"/>
            </w:tcBorders>
            <w:vAlign w:val="center"/>
          </w:tcPr>
          <w:p>
            <w:pPr>
              <w:jc w:val="center"/>
              <w:rPr>
                <w:rFonts w:ascii="仿宋" w:hAnsi="仿宋"/>
                <w:b/>
                <w:highlight w:val="none"/>
              </w:rPr>
            </w:pPr>
            <w:r>
              <w:rPr>
                <w:rFonts w:hint="eastAsia" w:ascii="仿宋" w:hAnsi="仿宋"/>
                <w:b/>
                <w:highlight w:val="none"/>
              </w:rPr>
              <w:t>投标上限价（万元）</w:t>
            </w:r>
          </w:p>
        </w:tc>
        <w:tc>
          <w:tcPr>
            <w:tcW w:w="1843" w:type="dxa"/>
            <w:tcBorders>
              <w:left w:val="single" w:color="auto" w:sz="4" w:space="0"/>
            </w:tcBorders>
            <w:vAlign w:val="center"/>
          </w:tcPr>
          <w:p>
            <w:pPr>
              <w:jc w:val="center"/>
              <w:rPr>
                <w:rFonts w:ascii="仿宋" w:hAnsi="仿宋"/>
                <w:b/>
                <w:highlight w:val="none"/>
              </w:rPr>
            </w:pPr>
            <w:r>
              <w:rPr>
                <w:rFonts w:hint="eastAsia" w:ascii="仿宋" w:hAnsi="仿宋"/>
                <w:b/>
                <w:highlight w:val="none"/>
              </w:rPr>
              <w:t>报价（万元）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852" w:type="dxa"/>
            <w:vAlign w:val="center"/>
          </w:tcPr>
          <w:p>
            <w:pPr>
              <w:jc w:val="center"/>
              <w:rPr>
                <w:rFonts w:ascii="仿宋" w:hAnsi="仿宋"/>
                <w:highlight w:val="none"/>
              </w:rPr>
            </w:pPr>
            <w:r>
              <w:rPr>
                <w:rFonts w:hint="eastAsia" w:ascii="仿宋" w:hAnsi="仿宋"/>
                <w:highlight w:val="none"/>
              </w:rPr>
              <w:t>1</w:t>
            </w:r>
          </w:p>
        </w:tc>
        <w:tc>
          <w:tcPr>
            <w:tcW w:w="5103" w:type="dxa"/>
            <w:vAlign w:val="center"/>
          </w:tcPr>
          <w:p>
            <w:pPr>
              <w:adjustRightInd w:val="0"/>
              <w:snapToGrid w:val="0"/>
              <w:spacing w:line="360" w:lineRule="auto"/>
              <w:rPr>
                <w:rFonts w:ascii="仿宋" w:hAnsi="仿宋"/>
                <w:szCs w:val="21"/>
                <w:highlight w:val="none"/>
              </w:rPr>
            </w:pPr>
            <w:r>
              <w:rPr>
                <w:rFonts w:hint="eastAsia" w:ascii="仿宋" w:hAnsi="仿宋"/>
                <w:bCs/>
                <w:sz w:val="24"/>
                <w:highlight w:val="none"/>
                <w:lang w:eastAsia="zh-CN"/>
              </w:rPr>
              <w:t>深圳市</w:t>
            </w:r>
            <w:r>
              <w:rPr>
                <w:rFonts w:hint="eastAsia" w:ascii="宋体" w:hAnsi="宋体" w:cs="宋体"/>
                <w:color w:val="auto"/>
                <w:sz w:val="24"/>
                <w:highlight w:val="none"/>
              </w:rPr>
              <w:t>儿童医院科教综合楼</w:t>
            </w:r>
            <w:r>
              <w:rPr>
                <w:rFonts w:hint="eastAsia" w:ascii="宋体" w:hAnsi="宋体" w:cs="宋体"/>
                <w:color w:val="auto"/>
                <w:sz w:val="24"/>
                <w:highlight w:val="none"/>
                <w:lang w:eastAsia="zh-CN"/>
              </w:rPr>
              <w:t>建设</w:t>
            </w:r>
            <w:r>
              <w:rPr>
                <w:rFonts w:hint="eastAsia" w:ascii="仿宋" w:hAnsi="仿宋"/>
                <w:bCs/>
                <w:sz w:val="24"/>
                <w:highlight w:val="none"/>
                <w:lang w:eastAsia="zh-CN"/>
              </w:rPr>
              <w:t>项目</w:t>
            </w:r>
            <w:r>
              <w:rPr>
                <w:rFonts w:hint="eastAsia" w:ascii="仿宋" w:hAnsi="仿宋"/>
                <w:sz w:val="24"/>
                <w:highlight w:val="none"/>
              </w:rPr>
              <w:t>水土保持监测和验收工作</w:t>
            </w:r>
          </w:p>
        </w:tc>
        <w:tc>
          <w:tcPr>
            <w:tcW w:w="1559" w:type="dxa"/>
            <w:tcBorders>
              <w:right w:val="single" w:color="auto" w:sz="4" w:space="0"/>
            </w:tcBorders>
            <w:vAlign w:val="center"/>
          </w:tcPr>
          <w:p>
            <w:pPr>
              <w:adjustRightInd w:val="0"/>
              <w:snapToGrid w:val="0"/>
              <w:spacing w:line="360" w:lineRule="auto"/>
              <w:jc w:val="center"/>
              <w:rPr>
                <w:rFonts w:ascii="仿宋" w:hAnsi="仿宋"/>
                <w:sz w:val="24"/>
                <w:highlight w:val="none"/>
              </w:rPr>
            </w:pPr>
            <w:r>
              <w:rPr>
                <w:rFonts w:hint="eastAsia" w:ascii="仿宋" w:hAnsi="仿宋"/>
                <w:sz w:val="24"/>
                <w:highlight w:val="none"/>
                <w:lang w:val="en-US" w:eastAsia="zh-CN"/>
              </w:rPr>
              <w:t>17.91</w:t>
            </w:r>
            <w:r>
              <w:rPr>
                <w:rFonts w:hint="eastAsia" w:ascii="仿宋" w:hAnsi="仿宋"/>
                <w:sz w:val="24"/>
                <w:highlight w:val="none"/>
              </w:rPr>
              <w:t xml:space="preserve"> </w:t>
            </w:r>
          </w:p>
        </w:tc>
        <w:tc>
          <w:tcPr>
            <w:tcW w:w="1843" w:type="dxa"/>
            <w:tcBorders>
              <w:left w:val="single" w:color="auto" w:sz="4" w:space="0"/>
            </w:tcBorders>
            <w:vAlign w:val="center"/>
          </w:tcPr>
          <w:p>
            <w:pPr>
              <w:adjustRightInd w:val="0"/>
              <w:snapToGrid w:val="0"/>
              <w:spacing w:line="360" w:lineRule="auto"/>
              <w:jc w:val="center"/>
              <w:rPr>
                <w:rFonts w:ascii="仿宋" w:hAnsi="仿宋"/>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7" w:type="dxa"/>
            <w:gridSpan w:val="4"/>
          </w:tcPr>
          <w:p>
            <w:pPr>
              <w:adjustRightInd w:val="0"/>
              <w:snapToGrid w:val="0"/>
              <w:spacing w:line="360" w:lineRule="auto"/>
              <w:rPr>
                <w:rFonts w:ascii="仿宋" w:hAnsi="仿宋" w:eastAsia="仿宋"/>
                <w:szCs w:val="21"/>
                <w:highlight w:val="none"/>
                <w:shd w:val="clear" w:color="auto" w:fill="FFFFFF"/>
              </w:rPr>
            </w:pPr>
            <w:r>
              <w:rPr>
                <w:rFonts w:hint="eastAsia" w:ascii="仿宋" w:hAnsi="仿宋"/>
                <w:b/>
                <w:sz w:val="24"/>
                <w:highlight w:val="none"/>
              </w:rPr>
              <w:t>本次服务具体要求：</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（一）工作内容</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1、水土保持监测时间：合同签订起至工程完成水土保持验收工作。</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2、水土保持监测内容</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按照相关法律法规、水务主管部门相关文件的要求，落实水土保持方案报告书的全部内容和工程相关设计文件中相关内容的监测工作。对水土保持设计和施工管理提出建议，优化水土流失防治措施，发现重大水土流失危害隐患，提出防治对策建议。</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（1）水土流失监测：包括施工期水土流失动态监测和水土流失危害监测；</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（2）水土保持工程的监测：包括水土保持工程措施和植物措施的种类、数量、质量监测；</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（3）水土流失防治效益监测：包括实施水土保持措施后的水土流失控制和景观影响度改善效果监测。</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（4）其他监测内容按国家水利部及水务主管部门相关规定执行。</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（5）每次监测完成后出具相应的水土保持监测报告。</w:t>
            </w:r>
          </w:p>
          <w:p>
            <w:pPr>
              <w:adjustRightInd w:val="0"/>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（6）提交资料：监测实施方案、原始监测记录表、监测季度报告表、监测年度报告、水土保持监测意见、检查汇报材料、监测总结报告、监测照片集、其他有关监测成果。</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3、水土保持验收工作内容</w:t>
            </w:r>
          </w:p>
          <w:p>
            <w:pPr>
              <w:adjustRightInd w:val="0"/>
              <w:snapToGrid w:val="0"/>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w:t>
            </w:r>
            <w:r>
              <w:rPr>
                <w:rFonts w:hint="eastAsia" w:ascii="宋体" w:hAnsi="宋体" w:cs="宋体"/>
                <w:bCs/>
                <w:color w:val="auto"/>
                <w:sz w:val="24"/>
                <w:highlight w:val="none"/>
              </w:rPr>
              <w:t>按照相关法律法规、水务主管部门批复文件的要求，依据水土保持方案报告书及工程相关设计文件，编制项目水土保持设施验收报告、水土保持验收鉴定书、水土保持设施验收备案表等；</w:t>
            </w:r>
          </w:p>
          <w:p>
            <w:pPr>
              <w:adjustRightInd w:val="0"/>
              <w:snapToGrid w:val="0"/>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宋体" w:hAnsi="宋体" w:cs="宋体"/>
                <w:bCs/>
                <w:color w:val="auto"/>
                <w:sz w:val="24"/>
                <w:highlight w:val="none"/>
              </w:rPr>
              <w:t>（2）由</w:t>
            </w:r>
            <w:r>
              <w:rPr>
                <w:rFonts w:hint="eastAsia" w:ascii="宋体" w:hAnsi="宋体" w:cs="宋体"/>
                <w:color w:val="auto"/>
                <w:sz w:val="24"/>
                <w:highlight w:val="none"/>
              </w:rPr>
              <w:t>投标人</w:t>
            </w:r>
            <w:r>
              <w:rPr>
                <w:rFonts w:hint="eastAsia" w:ascii="宋体" w:hAnsi="宋体" w:cs="宋体"/>
                <w:bCs/>
                <w:color w:val="auto"/>
                <w:sz w:val="24"/>
                <w:highlight w:val="none"/>
              </w:rPr>
              <w:t>委派的水土保持设施监测及验收咨询人员必须尽职尽责，认真履行职责。水土保持方案实施工作总结报告应符合国家、省、市主管部门的有关规范要求，达到水务主管部门水土保持专项验收的要求。在整个监测过程中，投标人若发现问题或隐患，应及时书面通知招标人，并提出整改意见，招标人按要求完成整改意见后，投标人应确保顺利完成水土保持专项验收工作。</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（3）在本项目提供完整基础资料及工程现场达到水土保持验收标准后三个月内，代理</w:t>
            </w:r>
            <w:r>
              <w:rPr>
                <w:rFonts w:hint="eastAsia" w:asciiTheme="minorEastAsia" w:hAnsiTheme="minorEastAsia" w:eastAsiaTheme="minorEastAsia" w:cstheme="minorEastAsia"/>
                <w:sz w:val="24"/>
                <w:highlight w:val="none"/>
              </w:rPr>
              <w:t>招标人</w:t>
            </w:r>
            <w:r>
              <w:rPr>
                <w:rFonts w:hint="eastAsia" w:asciiTheme="minorEastAsia" w:hAnsiTheme="minorEastAsia" w:eastAsiaTheme="minorEastAsia" w:cstheme="minorEastAsia"/>
                <w:bCs/>
                <w:sz w:val="24"/>
                <w:highlight w:val="none"/>
              </w:rPr>
              <w:t>完成项目的水土保持专项验收备案。</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（二）</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职责</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1、按照相关法律法规以及水务主管部门批复文件的要求编制本项目水土保持监测方案，并按方案开展监测工作。</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2、承担并完成合同期内本项目水土保持监测和验收工作。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sz w:val="24"/>
                <w:highlight w:val="none"/>
              </w:rPr>
              <w:t>3、本项目水土保持监测时段分为</w:t>
            </w:r>
            <w:r>
              <w:rPr>
                <w:rFonts w:hint="eastAsia" w:ascii="宋体" w:hAnsi="宋体" w:cs="宋体"/>
                <w:bCs/>
                <w:color w:val="auto"/>
                <w:sz w:val="24"/>
                <w:highlight w:val="none"/>
                <w:lang w:eastAsia="zh-CN"/>
              </w:rPr>
              <w:t>施工准备期、</w:t>
            </w:r>
            <w:r>
              <w:rPr>
                <w:rFonts w:hint="eastAsia" w:ascii="宋体" w:hAnsi="宋体" w:cs="宋体"/>
                <w:bCs/>
                <w:color w:val="auto"/>
                <w:sz w:val="24"/>
                <w:highlight w:val="none"/>
              </w:rPr>
              <w:t>施工期和自然恢复期。</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 xml:space="preserve">（1）施工期监测： </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①施工过程中，扰动地表面积、水土保持工程措施拦挡效果每月监测1次；主体工程建设进度、水土流失影响因子、水土保持植物措施生长情况等每3个月监测记录1次；</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②正在使用的土方转运场，正在实施的水土保持措施建设情况等至少每10天监测记录1次；</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③遇暴雨、大风等情况时，根据项目要求及时加测；</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④水土流失灾害事件发生后1周内完成监测；</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⑤巡查监测次数一年3次以上，巡查时间安排在汛期、降雨高峰期增加巡查2到3次；</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⑥定位监测在监测点布设后监测期内每年汛前2次，汛期过后1次，汛期每月监测一次，降雨高峰期相应增加监测次数，每年监测频次控制在8～10次；</w:t>
            </w:r>
          </w:p>
          <w:p>
            <w:pPr>
              <w:adjustRightInd w:val="0"/>
              <w:snapToGrid w:val="0"/>
              <w:spacing w:line="360" w:lineRule="auto"/>
              <w:ind w:firstLine="480" w:firstLineChars="200"/>
              <w:rPr>
                <w:rFonts w:asciiTheme="minorEastAsia" w:hAnsiTheme="minorEastAsia" w:eastAsiaTheme="minorEastAsia" w:cstheme="minorEastAsia"/>
                <w:bCs/>
                <w:color w:val="FF0000"/>
                <w:sz w:val="24"/>
                <w:highlight w:val="none"/>
              </w:rPr>
            </w:pPr>
            <w:r>
              <w:rPr>
                <w:rFonts w:hint="eastAsia" w:asciiTheme="minorEastAsia" w:hAnsiTheme="minorEastAsia" w:eastAsiaTheme="minorEastAsia" w:cstheme="minorEastAsia"/>
                <w:bCs/>
                <w:sz w:val="24"/>
                <w:highlight w:val="none"/>
              </w:rPr>
              <w:t>（2）自然恢复期监测：</w:t>
            </w:r>
            <w:r>
              <w:rPr>
                <w:rFonts w:hint="eastAsia" w:ascii="宋体" w:hAnsi="宋体" w:cs="宋体"/>
                <w:bCs/>
                <w:sz w:val="24"/>
                <w:highlight w:val="none"/>
              </w:rPr>
              <w:t>施工完工后植被自然恢复期每半年监测1次，共2次。</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根据水务主管部门规定，按汛期、非汛期向</w:t>
            </w:r>
            <w:r>
              <w:rPr>
                <w:rFonts w:hint="eastAsia" w:asciiTheme="minorEastAsia" w:hAnsiTheme="minorEastAsia" w:eastAsiaTheme="minorEastAsia" w:cstheme="minorEastAsia"/>
                <w:sz w:val="24"/>
                <w:highlight w:val="none"/>
              </w:rPr>
              <w:t>招标人</w:t>
            </w:r>
            <w:r>
              <w:rPr>
                <w:rFonts w:hint="eastAsia" w:asciiTheme="minorEastAsia" w:hAnsiTheme="minorEastAsia" w:eastAsiaTheme="minorEastAsia" w:cstheme="minorEastAsia"/>
                <w:bCs/>
                <w:sz w:val="24"/>
                <w:highlight w:val="none"/>
              </w:rPr>
              <w:t>提交水土保持月报、季报，该报告得到</w:t>
            </w:r>
            <w:r>
              <w:rPr>
                <w:rFonts w:hint="eastAsia" w:asciiTheme="minorEastAsia" w:hAnsiTheme="minorEastAsia" w:eastAsiaTheme="minorEastAsia" w:cstheme="minorEastAsia"/>
                <w:sz w:val="24"/>
                <w:highlight w:val="none"/>
              </w:rPr>
              <w:t>招标人</w:t>
            </w:r>
            <w:r>
              <w:rPr>
                <w:rFonts w:hint="eastAsia" w:asciiTheme="minorEastAsia" w:hAnsiTheme="minorEastAsia" w:eastAsiaTheme="minorEastAsia" w:cstheme="minorEastAsia"/>
                <w:bCs/>
                <w:sz w:val="24"/>
                <w:highlight w:val="none"/>
              </w:rPr>
              <w:t>认可后，</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负责将其提交水务主管部门。</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4、本项目进行水土保持验收工作时，</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 xml:space="preserve">负责提供本工程的水土保持监测总结报告，并负责该项目水土保持专项验收工作。 </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5、由</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委派的专项水土保持监测人员必须尽职尽责，认真履行职责。在整个监测过程中，</w:t>
            </w:r>
            <w:r>
              <w:rPr>
                <w:rFonts w:hint="eastAsia" w:asciiTheme="minorEastAsia" w:hAnsiTheme="minorEastAsia" w:eastAsiaTheme="minorEastAsia" w:cstheme="minorEastAsia"/>
                <w:sz w:val="24"/>
                <w:highlight w:val="none"/>
              </w:rPr>
              <w:t>投标人</w:t>
            </w:r>
            <w:r>
              <w:rPr>
                <w:rFonts w:hint="eastAsia" w:asciiTheme="minorEastAsia" w:hAnsiTheme="minorEastAsia" w:eastAsiaTheme="minorEastAsia" w:cstheme="minorEastAsia"/>
                <w:bCs/>
                <w:sz w:val="24"/>
                <w:highlight w:val="none"/>
              </w:rPr>
              <w:t>若发现问题或隐患，应及时通知</w:t>
            </w:r>
            <w:r>
              <w:rPr>
                <w:rFonts w:hint="eastAsia" w:asciiTheme="minorEastAsia" w:hAnsiTheme="minorEastAsia" w:eastAsiaTheme="minorEastAsia" w:cstheme="minorEastAsia"/>
                <w:sz w:val="24"/>
                <w:highlight w:val="none"/>
              </w:rPr>
              <w:t>招标人</w:t>
            </w:r>
            <w:r>
              <w:rPr>
                <w:rFonts w:hint="eastAsia" w:asciiTheme="minorEastAsia" w:hAnsiTheme="minorEastAsia" w:eastAsiaTheme="minorEastAsia" w:cstheme="minorEastAsia"/>
                <w:bCs/>
                <w:sz w:val="24"/>
                <w:highlight w:val="none"/>
              </w:rPr>
              <w:t>，并提出整改意见。</w:t>
            </w:r>
          </w:p>
          <w:p>
            <w:pPr>
              <w:adjustRightInd w:val="0"/>
              <w:snapToGrid w:val="0"/>
              <w:spacing w:line="360" w:lineRule="auto"/>
              <w:ind w:firstLine="480" w:firstLineChars="200"/>
              <w:rPr>
                <w:rFonts w:asciiTheme="minorEastAsia" w:hAnsiTheme="minorEastAsia" w:eastAsiaTheme="minorEastAsia" w:cstheme="minorEastAsia"/>
                <w:bCs/>
                <w:sz w:val="24"/>
                <w:highlight w:val="none"/>
              </w:rPr>
            </w:pPr>
            <w:r>
              <w:rPr>
                <w:rFonts w:hint="eastAsia" w:asciiTheme="minorEastAsia" w:hAnsiTheme="minorEastAsia" w:eastAsiaTheme="minorEastAsia" w:cstheme="minorEastAsia"/>
                <w:bCs/>
                <w:sz w:val="24"/>
                <w:highlight w:val="none"/>
              </w:rPr>
              <w:t>6、自签订合同日起5个工作日进场及收取编制监测方案的资料，10个工作日出监测方案，并交付</w:t>
            </w:r>
            <w:r>
              <w:rPr>
                <w:rFonts w:hint="eastAsia" w:asciiTheme="minorEastAsia" w:hAnsiTheme="minorEastAsia" w:eastAsiaTheme="minorEastAsia" w:cstheme="minorEastAsia"/>
                <w:sz w:val="24"/>
                <w:highlight w:val="none"/>
              </w:rPr>
              <w:t>招标人</w:t>
            </w:r>
            <w:r>
              <w:rPr>
                <w:rFonts w:hint="eastAsia" w:asciiTheme="minorEastAsia" w:hAnsiTheme="minorEastAsia" w:eastAsiaTheme="minorEastAsia" w:cstheme="minorEastAsia"/>
                <w:bCs/>
                <w:sz w:val="24"/>
                <w:highlight w:val="none"/>
              </w:rPr>
              <w:t>及水务主管部门。</w:t>
            </w:r>
          </w:p>
          <w:p>
            <w:pPr>
              <w:adjustRightInd w:val="0"/>
              <w:snapToGrid w:val="0"/>
              <w:spacing w:line="360" w:lineRule="auto"/>
              <w:ind w:firstLine="480" w:firstLineChars="200"/>
              <w:rPr>
                <w:rFonts w:asciiTheme="minorEastAsia" w:hAnsiTheme="minorEastAsia" w:eastAsiaTheme="minorEastAsia" w:cstheme="minorEastAsia"/>
                <w:bCs/>
                <w:color w:val="auto"/>
                <w:sz w:val="24"/>
                <w:highlight w:val="none"/>
              </w:rPr>
            </w:pPr>
            <w:r>
              <w:rPr>
                <w:rFonts w:hint="eastAsia" w:ascii="宋体" w:hAnsi="宋体" w:cs="宋体"/>
                <w:bCs/>
                <w:color w:val="auto"/>
                <w:sz w:val="24"/>
                <w:highlight w:val="none"/>
              </w:rPr>
              <w:t>7、水土保持监测成果按照档案管理相关规定建立档案并移交建设单位。</w:t>
            </w:r>
          </w:p>
          <w:p>
            <w:pPr>
              <w:adjustRightInd w:val="0"/>
              <w:snapToGrid w:val="0"/>
              <w:spacing w:line="360" w:lineRule="auto"/>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b/>
                <w:sz w:val="24"/>
                <w:highlight w:val="none"/>
              </w:rPr>
              <w:t>付款及结算方式：</w:t>
            </w:r>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合同价格为总价包干，该合同价为投标人完成本合同工作内容所需的全部费用，包括但不限于：人工费、材料费、管理费、住宿费、差旅费、保险费、资料费、杂费、税金等，以及为实现合同目的所需的全部费用。</w:t>
            </w:r>
          </w:p>
          <w:p>
            <w:pPr>
              <w:adjustRightInd w:val="0"/>
              <w:snapToGrid w:val="0"/>
              <w:spacing w:line="360" w:lineRule="auto"/>
              <w:ind w:firstLine="480" w:firstLineChars="200"/>
              <w:rPr>
                <w:rFonts w:ascii="仿宋" w:hAnsi="仿宋"/>
                <w:color w:val="auto"/>
                <w:sz w:val="24"/>
                <w:highlight w:val="none"/>
              </w:rPr>
            </w:pPr>
            <w:r>
              <w:rPr>
                <w:rFonts w:hint="eastAsia" w:ascii="仿宋" w:hAnsi="仿宋"/>
                <w:color w:val="auto"/>
                <w:sz w:val="24"/>
                <w:highlight w:val="none"/>
              </w:rPr>
              <w:t>由于下列情况造成工作量的变化，均不调整合同价款：</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1、工程分批验收可能导致的水土保持专项验收分批进行，多次出具报告等情况；</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2、由于水务主管部门要求，调整总结报告或反复办理验收及备案等情况；                          </w:t>
            </w:r>
          </w:p>
          <w:p>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3、由于水务主管部门要求，调整检测内容或频次，投标人按调整要求执行，不调整合同价款；</w:t>
            </w:r>
          </w:p>
          <w:p>
            <w:pPr>
              <w:adjustRightInd w:val="0"/>
              <w:snapToGrid w:val="0"/>
              <w:spacing w:line="360" w:lineRule="auto"/>
              <w:ind w:firstLine="480" w:firstLineChars="200"/>
              <w:rPr>
                <w:rFonts w:ascii="仿宋" w:hAnsi="仿宋"/>
                <w:color w:val="auto"/>
                <w:sz w:val="24"/>
                <w:highlight w:val="none"/>
              </w:rPr>
            </w:pPr>
            <w:r>
              <w:rPr>
                <w:rFonts w:hint="eastAsia" w:ascii="宋体" w:hAnsi="宋体" w:cs="宋体"/>
                <w:color w:val="auto"/>
                <w:sz w:val="24"/>
                <w:highlight w:val="none"/>
              </w:rPr>
              <w:t>4、如</w:t>
            </w:r>
            <w:r>
              <w:rPr>
                <w:rFonts w:hint="eastAsia" w:ascii="宋体" w:hAnsi="宋体" w:cs="宋体"/>
                <w:bCs/>
                <w:color w:val="auto"/>
                <w:sz w:val="24"/>
                <w:highlight w:val="none"/>
              </w:rPr>
              <w:t>相关法律法规</w:t>
            </w:r>
            <w:r>
              <w:rPr>
                <w:rFonts w:hint="eastAsia" w:ascii="仿宋" w:hAnsi="仿宋"/>
                <w:color w:val="auto"/>
                <w:sz w:val="24"/>
                <w:highlight w:val="none"/>
              </w:rPr>
              <w:t>要求高于本次招标的实施要求，投标人应按高标准执行，造成检测内容、频次或点数的调整，结算时不予调整，投标报价时应充分考虑此情况；</w:t>
            </w:r>
          </w:p>
          <w:p>
            <w:pPr>
              <w:adjustRightInd w:val="0"/>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工程结算</w:t>
            </w:r>
            <w:r>
              <w:rPr>
                <w:rFonts w:hint="eastAsia" w:ascii="仿宋" w:hAnsi="仿宋"/>
                <w:color w:val="auto"/>
                <w:sz w:val="24"/>
                <w:highlight w:val="none"/>
              </w:rPr>
              <w:t>报送政府财政投资评审，以评审结果或发包人指定的具有法定资质的第三方机构出具的审定（审核）结论作为工程结算的依据</w:t>
            </w:r>
            <w:r>
              <w:rPr>
                <w:rFonts w:hint="eastAsia" w:ascii="宋体" w:hAnsi="宋体" w:cs="宋体"/>
                <w:color w:val="auto"/>
                <w:sz w:val="24"/>
                <w:highlight w:val="none"/>
              </w:rPr>
              <w:t>。若被各级审计机关再次就结算进行审计的，应以审计机关的审计结论作为结算依据。如审计机关审计结论认定工程结算多计工程款项的，投标人应在接到</w:t>
            </w:r>
            <w:r>
              <w:rPr>
                <w:rFonts w:hint="eastAsia" w:ascii="宋体" w:hAnsi="宋体" w:cs="宋体"/>
                <w:color w:val="auto"/>
                <w:sz w:val="24"/>
                <w:szCs w:val="32"/>
                <w:highlight w:val="none"/>
              </w:rPr>
              <w:t>招标人</w:t>
            </w:r>
            <w:r>
              <w:rPr>
                <w:rFonts w:hint="eastAsia" w:ascii="宋体" w:hAnsi="宋体" w:cs="宋体"/>
                <w:color w:val="auto"/>
                <w:sz w:val="24"/>
                <w:highlight w:val="none"/>
              </w:rPr>
              <w:t>书面通知后15日内无条件返还多支付的工程款。最终结算价服务类限额不得超过（含）100万元。</w:t>
            </w:r>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（一）付款进度</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lang w:eastAsia="zh-CN"/>
              </w:rPr>
              <w:t>（</w:t>
            </w:r>
            <w:r>
              <w:rPr>
                <w:rFonts w:hint="eastAsia" w:ascii="仿宋" w:hAnsi="仿宋"/>
                <w:color w:val="auto"/>
                <w:sz w:val="24"/>
                <w:highlight w:val="none"/>
                <w:lang w:val="en-US" w:eastAsia="zh-CN"/>
              </w:rPr>
              <w:t>1</w:t>
            </w:r>
            <w:r>
              <w:rPr>
                <w:rFonts w:hint="eastAsia" w:ascii="仿宋" w:hAnsi="仿宋"/>
                <w:color w:val="auto"/>
                <w:sz w:val="24"/>
                <w:highlight w:val="none"/>
                <w:lang w:eastAsia="zh-CN"/>
              </w:rPr>
              <w:t>）</w:t>
            </w:r>
            <w:r>
              <w:rPr>
                <w:rFonts w:hint="eastAsia" w:ascii="仿宋" w:hAnsi="仿宋"/>
                <w:color w:val="auto"/>
                <w:sz w:val="24"/>
                <w:highlight w:val="none"/>
              </w:rPr>
              <w:t>本项目桩基施工完成后，</w:t>
            </w:r>
            <w:r>
              <w:rPr>
                <w:rFonts w:hint="eastAsia" w:ascii="仿宋" w:hAnsi="仿宋"/>
                <w:color w:val="auto"/>
                <w:sz w:val="24"/>
                <w:szCs w:val="32"/>
                <w:highlight w:val="none"/>
              </w:rPr>
              <w:t>招标人</w:t>
            </w:r>
            <w:r>
              <w:rPr>
                <w:rFonts w:hint="eastAsia" w:ascii="仿宋" w:hAnsi="仿宋"/>
                <w:color w:val="auto"/>
                <w:sz w:val="24"/>
                <w:highlight w:val="none"/>
              </w:rPr>
              <w:t>支付至</w:t>
            </w:r>
            <w:r>
              <w:rPr>
                <w:rFonts w:hint="eastAsia" w:ascii="仿宋" w:hAnsi="仿宋"/>
                <w:color w:val="auto"/>
                <w:sz w:val="24"/>
                <w:highlight w:val="none"/>
                <w:lang w:eastAsia="zh-CN"/>
              </w:rPr>
              <w:t>合同金额</w:t>
            </w:r>
            <w:r>
              <w:rPr>
                <w:rFonts w:hint="eastAsia" w:ascii="仿宋" w:hAnsi="仿宋"/>
                <w:color w:val="auto"/>
                <w:sz w:val="24"/>
                <w:highlight w:val="none"/>
              </w:rPr>
              <w:t>的20%；</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（2）本项目基坑开挖完成后，</w:t>
            </w:r>
            <w:r>
              <w:rPr>
                <w:rFonts w:hint="eastAsia" w:ascii="仿宋" w:hAnsi="仿宋"/>
                <w:color w:val="auto"/>
                <w:sz w:val="24"/>
                <w:szCs w:val="32"/>
                <w:highlight w:val="none"/>
              </w:rPr>
              <w:t>招标人</w:t>
            </w:r>
            <w:r>
              <w:rPr>
                <w:rFonts w:hint="eastAsia" w:ascii="仿宋" w:hAnsi="仿宋"/>
                <w:color w:val="auto"/>
                <w:sz w:val="24"/>
                <w:highlight w:val="none"/>
              </w:rPr>
              <w:t>支付至</w:t>
            </w:r>
            <w:r>
              <w:rPr>
                <w:rFonts w:hint="eastAsia" w:ascii="仿宋" w:hAnsi="仿宋"/>
                <w:color w:val="auto"/>
                <w:sz w:val="24"/>
                <w:highlight w:val="none"/>
                <w:lang w:eastAsia="zh-CN"/>
              </w:rPr>
              <w:t>合同金额</w:t>
            </w:r>
            <w:r>
              <w:rPr>
                <w:rFonts w:hint="eastAsia" w:ascii="仿宋" w:hAnsi="仿宋"/>
                <w:color w:val="auto"/>
                <w:sz w:val="24"/>
                <w:highlight w:val="none"/>
              </w:rPr>
              <w:t>的35%；</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（3）本项目±0.00施工完成后，</w:t>
            </w:r>
            <w:r>
              <w:rPr>
                <w:rFonts w:hint="eastAsia" w:ascii="仿宋" w:hAnsi="仿宋"/>
                <w:color w:val="auto"/>
                <w:sz w:val="24"/>
                <w:szCs w:val="32"/>
                <w:highlight w:val="none"/>
              </w:rPr>
              <w:t>招标人</w:t>
            </w:r>
            <w:r>
              <w:rPr>
                <w:rFonts w:hint="eastAsia" w:ascii="仿宋" w:hAnsi="仿宋"/>
                <w:color w:val="auto"/>
                <w:sz w:val="24"/>
                <w:highlight w:val="none"/>
              </w:rPr>
              <w:t>支付至</w:t>
            </w:r>
            <w:r>
              <w:rPr>
                <w:rFonts w:hint="eastAsia" w:ascii="仿宋" w:hAnsi="仿宋"/>
                <w:color w:val="auto"/>
                <w:sz w:val="24"/>
                <w:highlight w:val="none"/>
                <w:lang w:eastAsia="zh-CN"/>
              </w:rPr>
              <w:t>合同金额</w:t>
            </w:r>
            <w:r>
              <w:rPr>
                <w:rFonts w:hint="eastAsia" w:ascii="仿宋" w:hAnsi="仿宋"/>
                <w:color w:val="auto"/>
                <w:sz w:val="24"/>
                <w:highlight w:val="none"/>
              </w:rPr>
              <w:t>的45%；</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（4）本项目主体结构封顶后，</w:t>
            </w:r>
            <w:r>
              <w:rPr>
                <w:rFonts w:hint="eastAsia" w:ascii="仿宋" w:hAnsi="仿宋"/>
                <w:color w:val="auto"/>
                <w:sz w:val="24"/>
                <w:szCs w:val="32"/>
                <w:highlight w:val="none"/>
              </w:rPr>
              <w:t>招标人</w:t>
            </w:r>
            <w:r>
              <w:rPr>
                <w:rFonts w:hint="eastAsia" w:ascii="仿宋" w:hAnsi="仿宋"/>
                <w:color w:val="auto"/>
                <w:sz w:val="24"/>
                <w:highlight w:val="none"/>
              </w:rPr>
              <w:t>支付至</w:t>
            </w:r>
            <w:r>
              <w:rPr>
                <w:rFonts w:hint="eastAsia" w:ascii="仿宋" w:hAnsi="仿宋"/>
                <w:color w:val="auto"/>
                <w:sz w:val="24"/>
                <w:highlight w:val="none"/>
                <w:lang w:eastAsia="zh-CN"/>
              </w:rPr>
              <w:t>合同金额</w:t>
            </w:r>
            <w:r>
              <w:rPr>
                <w:rFonts w:hint="eastAsia" w:ascii="仿宋" w:hAnsi="仿宋"/>
                <w:color w:val="auto"/>
                <w:sz w:val="24"/>
                <w:highlight w:val="none"/>
              </w:rPr>
              <w:t>的60%；</w:t>
            </w:r>
          </w:p>
          <w:p>
            <w:pPr>
              <w:adjustRightInd w:val="0"/>
              <w:snapToGrid w:val="0"/>
              <w:spacing w:line="360" w:lineRule="auto"/>
              <w:ind w:firstLine="480" w:firstLineChars="200"/>
              <w:rPr>
                <w:rFonts w:hint="eastAsia" w:ascii="仿宋" w:hAnsi="仿宋"/>
                <w:color w:val="auto"/>
                <w:sz w:val="24"/>
                <w:highlight w:val="none"/>
                <w:lang w:eastAsia="zh-CN"/>
              </w:rPr>
            </w:pPr>
            <w:r>
              <w:rPr>
                <w:rFonts w:hint="eastAsia" w:ascii="仿宋" w:hAnsi="仿宋"/>
                <w:color w:val="auto"/>
                <w:sz w:val="24"/>
                <w:highlight w:val="none"/>
              </w:rPr>
              <w:t>（5）本项目水土保持专项验收通过且投标人提供所有监测和验收报告后，</w:t>
            </w:r>
            <w:r>
              <w:rPr>
                <w:rFonts w:hint="eastAsia" w:ascii="仿宋" w:hAnsi="仿宋"/>
                <w:color w:val="auto"/>
                <w:sz w:val="24"/>
                <w:szCs w:val="32"/>
                <w:highlight w:val="none"/>
              </w:rPr>
              <w:t>招标人</w:t>
            </w:r>
            <w:r>
              <w:rPr>
                <w:rFonts w:hint="eastAsia" w:ascii="仿宋" w:hAnsi="仿宋"/>
                <w:color w:val="auto"/>
                <w:sz w:val="24"/>
                <w:highlight w:val="none"/>
              </w:rPr>
              <w:t>支付至</w:t>
            </w:r>
            <w:r>
              <w:rPr>
                <w:rFonts w:hint="eastAsia" w:ascii="仿宋" w:hAnsi="仿宋"/>
                <w:color w:val="auto"/>
                <w:sz w:val="24"/>
                <w:highlight w:val="none"/>
                <w:lang w:eastAsia="zh-CN"/>
              </w:rPr>
              <w:t>合同金额</w:t>
            </w:r>
            <w:r>
              <w:rPr>
                <w:rFonts w:hint="eastAsia" w:ascii="仿宋" w:hAnsi="仿宋"/>
                <w:color w:val="auto"/>
                <w:sz w:val="24"/>
                <w:highlight w:val="none"/>
              </w:rPr>
              <w:t>的</w:t>
            </w:r>
            <w:r>
              <w:rPr>
                <w:rFonts w:hint="eastAsia" w:ascii="仿宋" w:hAnsi="仿宋"/>
                <w:color w:val="auto"/>
                <w:sz w:val="24"/>
                <w:highlight w:val="none"/>
                <w:lang w:val="en-US" w:eastAsia="zh-CN"/>
              </w:rPr>
              <w:t>85</w:t>
            </w:r>
            <w:r>
              <w:rPr>
                <w:rFonts w:hint="eastAsia" w:ascii="仿宋" w:hAnsi="仿宋"/>
                <w:color w:val="auto"/>
                <w:sz w:val="24"/>
                <w:highlight w:val="none"/>
              </w:rPr>
              <w:t>%</w:t>
            </w:r>
            <w:r>
              <w:rPr>
                <w:rFonts w:hint="eastAsia" w:ascii="仿宋" w:hAnsi="仿宋"/>
                <w:color w:val="auto"/>
                <w:sz w:val="24"/>
                <w:highlight w:val="none"/>
                <w:lang w:eastAsia="zh-CN"/>
              </w:rPr>
              <w:t>；</w:t>
            </w:r>
          </w:p>
          <w:p>
            <w:pPr>
              <w:adjustRightInd w:val="0"/>
              <w:snapToGrid w:val="0"/>
              <w:spacing w:line="360" w:lineRule="auto"/>
              <w:ind w:firstLine="480" w:firstLineChars="200"/>
              <w:rPr>
                <w:rFonts w:asciiTheme="minorEastAsia" w:hAnsiTheme="minorEastAsia" w:eastAsiaTheme="minorEastAsia" w:cstheme="minorEastAsia"/>
                <w:color w:val="FF0000"/>
                <w:sz w:val="24"/>
                <w:highlight w:val="none"/>
              </w:rPr>
            </w:pPr>
            <w:r>
              <w:rPr>
                <w:rFonts w:hint="eastAsia" w:ascii="仿宋" w:hAnsi="仿宋"/>
                <w:color w:val="auto"/>
                <w:sz w:val="24"/>
                <w:highlight w:val="none"/>
                <w:lang w:eastAsia="zh-CN"/>
              </w:rPr>
              <w:t>（</w:t>
            </w:r>
            <w:r>
              <w:rPr>
                <w:rFonts w:hint="eastAsia" w:ascii="仿宋" w:hAnsi="仿宋"/>
                <w:color w:val="auto"/>
                <w:sz w:val="24"/>
                <w:highlight w:val="none"/>
                <w:lang w:val="en-US" w:eastAsia="zh-CN"/>
              </w:rPr>
              <w:t>6</w:t>
            </w:r>
            <w:r>
              <w:rPr>
                <w:rFonts w:hint="eastAsia" w:ascii="仿宋" w:hAnsi="仿宋"/>
                <w:color w:val="auto"/>
                <w:sz w:val="24"/>
                <w:highlight w:val="none"/>
                <w:lang w:eastAsia="zh-CN"/>
              </w:rPr>
              <w:t>）</w:t>
            </w:r>
            <w:r>
              <w:rPr>
                <w:rFonts w:hint="eastAsia" w:ascii="宋体" w:hAnsi="宋体" w:cs="宋体"/>
                <w:color w:val="auto"/>
                <w:sz w:val="24"/>
                <w:highlight w:val="none"/>
              </w:rPr>
              <w:t>剩余款项待政府财政投资评审部门的评审结论或发包人指定的具有法定资质的第三方机构出具的审定（审核）结论后一次性付清</w:t>
            </w:r>
            <w:r>
              <w:rPr>
                <w:rFonts w:hint="eastAsia" w:ascii="宋体" w:hAnsi="宋体" w:cs="宋体"/>
                <w:color w:val="auto"/>
                <w:sz w:val="24"/>
                <w:highlight w:val="none"/>
                <w:lang w:eastAsia="zh-CN"/>
              </w:rPr>
              <w:t>。</w:t>
            </w:r>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（二）付款方式</w:t>
            </w:r>
          </w:p>
          <w:p>
            <w:pPr>
              <w:adjustRightInd w:val="0"/>
              <w:snapToGrid w:val="0"/>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1、投标人应按付款进度之规定及本合同项下的其它相关条款的规定，向招标人出具附有工作进度报告和相关工作成果的付款申请。</w:t>
            </w:r>
          </w:p>
          <w:p>
            <w:pPr>
              <w:adjustRightInd w:val="0"/>
              <w:snapToGrid w:val="0"/>
              <w:spacing w:line="360" w:lineRule="auto"/>
              <w:ind w:firstLine="480" w:firstLineChars="200"/>
              <w:rPr>
                <w:rFonts w:ascii="仿宋" w:hAnsi="仿宋"/>
                <w:sz w:val="24"/>
                <w:highlight w:val="none"/>
              </w:rPr>
            </w:pPr>
            <w:r>
              <w:rPr>
                <w:rFonts w:hint="eastAsia" w:asciiTheme="minorEastAsia" w:hAnsiTheme="minorEastAsia" w:eastAsiaTheme="minorEastAsia" w:cstheme="minorEastAsia"/>
                <w:sz w:val="24"/>
                <w:highlight w:val="none"/>
              </w:rPr>
              <w:t>2、每次付款申请时,投标人应向招标人开具与付款金额等额的税务发票。</w:t>
            </w:r>
          </w:p>
        </w:tc>
      </w:tr>
    </w:tbl>
    <w:p>
      <w:pPr>
        <w:rPr>
          <w:rFonts w:ascii="仿宋" w:hAnsi="仿宋"/>
          <w:sz w:val="28"/>
          <w:szCs w:val="28"/>
          <w:highlight w:val="none"/>
        </w:rPr>
      </w:pPr>
    </w:p>
    <w:p>
      <w:pPr>
        <w:rPr>
          <w:rFonts w:ascii="仿宋" w:hAnsi="仿宋"/>
          <w:sz w:val="28"/>
          <w:szCs w:val="28"/>
          <w:highlight w:val="none"/>
        </w:rPr>
      </w:pPr>
      <w:r>
        <w:rPr>
          <w:rFonts w:hint="eastAsia" w:ascii="仿宋" w:hAnsi="仿宋"/>
          <w:sz w:val="28"/>
          <w:szCs w:val="28"/>
          <w:highlight w:val="none"/>
        </w:rPr>
        <w:t>投标人法定代表签名：              投标单位（署名并盖章）：</w:t>
      </w:r>
    </w:p>
    <w:p>
      <w:pPr>
        <w:ind w:firstLine="4760" w:firstLineChars="1700"/>
        <w:rPr>
          <w:rFonts w:ascii="仿宋" w:hAnsi="仿宋"/>
          <w:sz w:val="28"/>
          <w:szCs w:val="28"/>
          <w:highlight w:val="none"/>
        </w:rPr>
      </w:pPr>
      <w:r>
        <w:rPr>
          <w:rFonts w:hint="eastAsia" w:ascii="仿宋" w:hAnsi="仿宋"/>
          <w:sz w:val="28"/>
          <w:szCs w:val="28"/>
          <w:highlight w:val="none"/>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4ZDI0ZWExNGZkY2ZjZDQxYzU1Njg1MzI3M2Q1YWQifQ=="/>
  </w:docVars>
  <w:rsids>
    <w:rsidRoot w:val="0FC74896"/>
    <w:rsid w:val="0FC7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2022-10-13T07:36:00Z</dcterms:created>
  <dc:creator>张大老板</dc:creator>
  <cp:lastModifiedBy>张大老板</cp:lastModifiedBy>
  <dcterms:modified xsi:type="dcterms:W3CDTF">2022-10-13T07:36:49Z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270A403B51024B86AEA03D6CFCBF9BCD</vt:lpwstr>
  </property>
</Properties>
</file>