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00.bin" ContentType="application/vnd.ms-office.activeX"/>
  <Override PartName="/word/activeX/activeX100.xml" ContentType="application/vnd.ms-office.activeX+xml"/>
  <Override PartName="/word/activeX/activeX101.bin" ContentType="application/vnd.ms-office.activeX"/>
  <Override PartName="/word/activeX/activeX101.xml" ContentType="application/vnd.ms-office.activeX+xml"/>
  <Override PartName="/word/activeX/activeX102.bin" ContentType="application/vnd.ms-office.activeX"/>
  <Override PartName="/word/activeX/activeX102.xml" ContentType="application/vnd.ms-office.activeX+xml"/>
  <Override PartName="/word/activeX/activeX103.bin" ContentType="application/vnd.ms-office.activeX"/>
  <Override PartName="/word/activeX/activeX103.xml" ContentType="application/vnd.ms-office.activeX+xml"/>
  <Override PartName="/word/activeX/activeX104.bin" ContentType="application/vnd.ms-office.activeX"/>
  <Override PartName="/word/activeX/activeX104.xml" ContentType="application/vnd.ms-office.activeX+xml"/>
  <Override PartName="/word/activeX/activeX105.bin" ContentType="application/vnd.ms-office.activeX"/>
  <Override PartName="/word/activeX/activeX105.xml" ContentType="application/vnd.ms-office.activeX+xml"/>
  <Override PartName="/word/activeX/activeX106.bin" ContentType="application/vnd.ms-office.activeX"/>
  <Override PartName="/word/activeX/activeX106.xml" ContentType="application/vnd.ms-office.activeX+xml"/>
  <Override PartName="/word/activeX/activeX107.bin" ContentType="application/vnd.ms-office.activeX"/>
  <Override PartName="/word/activeX/activeX107.xml" ContentType="application/vnd.ms-office.activeX+xml"/>
  <Override PartName="/word/activeX/activeX108.bin" ContentType="application/vnd.ms-office.activeX"/>
  <Override PartName="/word/activeX/activeX108.xml" ContentType="application/vnd.ms-office.activeX+xml"/>
  <Override PartName="/word/activeX/activeX109.bin" ContentType="application/vnd.ms-office.activeX"/>
  <Override PartName="/word/activeX/activeX109.xml" ContentType="application/vnd.ms-office.activeX+xml"/>
  <Override PartName="/word/activeX/activeX11.bin" ContentType="application/vnd.ms-office.activeX"/>
  <Override PartName="/word/activeX/activeX11.xml" ContentType="application/vnd.ms-office.activeX+xml"/>
  <Override PartName="/word/activeX/activeX110.bin" ContentType="application/vnd.ms-office.activeX"/>
  <Override PartName="/word/activeX/activeX110.xml" ContentType="application/vnd.ms-office.activeX+xml"/>
  <Override PartName="/word/activeX/activeX111.bin" ContentType="application/vnd.ms-office.activeX"/>
  <Override PartName="/word/activeX/activeX111.xml" ContentType="application/vnd.ms-office.activeX+xml"/>
  <Override PartName="/word/activeX/activeX112.bin" ContentType="application/vnd.ms-office.activeX"/>
  <Override PartName="/word/activeX/activeX112.xml" ContentType="application/vnd.ms-office.activeX+xml"/>
  <Override PartName="/word/activeX/activeX113.bin" ContentType="application/vnd.ms-office.activeX"/>
  <Override PartName="/word/activeX/activeX113.xml" ContentType="application/vnd.ms-office.activeX+xml"/>
  <Override PartName="/word/activeX/activeX114.bin" ContentType="application/vnd.ms-office.activeX"/>
  <Override PartName="/word/activeX/activeX114.xml" ContentType="application/vnd.ms-office.activeX+xml"/>
  <Override PartName="/word/activeX/activeX115.bin" ContentType="application/vnd.ms-office.activeX"/>
  <Override PartName="/word/activeX/activeX115.xml" ContentType="application/vnd.ms-office.activeX+xml"/>
  <Override PartName="/word/activeX/activeX116.bin" ContentType="application/vnd.ms-office.activeX"/>
  <Override PartName="/word/activeX/activeX116.xml" ContentType="application/vnd.ms-office.activeX+xml"/>
  <Override PartName="/word/activeX/activeX117.bin" ContentType="application/vnd.ms-office.activeX"/>
  <Override PartName="/word/activeX/activeX117.xml" ContentType="application/vnd.ms-office.activeX+xml"/>
  <Override PartName="/word/activeX/activeX118.bin" ContentType="application/vnd.ms-office.activeX"/>
  <Override PartName="/word/activeX/activeX118.xml" ContentType="application/vnd.ms-office.activeX+xml"/>
  <Override PartName="/word/activeX/activeX119.bin" ContentType="application/vnd.ms-office.activeX"/>
  <Override PartName="/word/activeX/activeX119.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activeX/activeX95.bin" ContentType="application/vnd.ms-office.activeX"/>
  <Override PartName="/word/activeX/activeX95.xml" ContentType="application/vnd.ms-office.activeX+xml"/>
  <Override PartName="/word/activeX/activeX96.bin" ContentType="application/vnd.ms-office.activeX"/>
  <Override PartName="/word/activeX/activeX96.xml" ContentType="application/vnd.ms-office.activeX+xml"/>
  <Override PartName="/word/activeX/activeX97.bin" ContentType="application/vnd.ms-office.activeX"/>
  <Override PartName="/word/activeX/activeX97.xml" ContentType="application/vnd.ms-office.activeX+xml"/>
  <Override PartName="/word/activeX/activeX98.bin" ContentType="application/vnd.ms-office.activeX"/>
  <Override PartName="/word/activeX/activeX98.xml" ContentType="application/vnd.ms-office.activeX+xml"/>
  <Override PartName="/word/activeX/activeX99.bin" ContentType="application/vnd.ms-office.activeX"/>
  <Override PartName="/word/activeX/activeX9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hint="eastAsia" w:ascii="仿宋" w:hAnsi="仿宋"/>
          <w:b/>
          <w:bCs/>
          <w:color w:val="auto"/>
          <w:sz w:val="31"/>
          <w:szCs w:val="31"/>
          <w:highlight w:val="none"/>
          <w:lang w:val="en-US" w:eastAsia="zh-CN"/>
        </w:rPr>
      </w:pPr>
      <w:r>
        <w:rPr>
          <w:rFonts w:hint="eastAsia" w:ascii="仿宋" w:hAnsi="仿宋"/>
          <w:b/>
          <w:bCs/>
          <w:color w:val="auto"/>
          <w:sz w:val="31"/>
          <w:szCs w:val="31"/>
          <w:highlight w:val="none"/>
        </w:rPr>
        <w:t>深圳职业技术学院北校区一期</w:t>
      </w:r>
      <w:r>
        <w:rPr>
          <w:rFonts w:hint="eastAsia" w:ascii="仿宋" w:hAnsi="仿宋"/>
          <w:b/>
          <w:bCs/>
          <w:color w:val="auto"/>
          <w:sz w:val="31"/>
          <w:szCs w:val="31"/>
          <w:highlight w:val="none"/>
          <w:lang w:val="en-US" w:eastAsia="zh-CN"/>
        </w:rPr>
        <w:t>项目</w:t>
      </w:r>
    </w:p>
    <w:p>
      <w:pPr>
        <w:adjustRightInd w:val="0"/>
        <w:snapToGrid w:val="0"/>
        <w:spacing w:line="360" w:lineRule="auto"/>
        <w:jc w:val="center"/>
        <w:outlineLvl w:val="0"/>
        <w:rPr>
          <w:rFonts w:hint="eastAsia" w:ascii="仿宋" w:hAnsi="仿宋"/>
          <w:b/>
          <w:bCs/>
          <w:color w:val="auto"/>
          <w:sz w:val="31"/>
          <w:szCs w:val="31"/>
          <w:highlight w:val="none"/>
        </w:rPr>
      </w:pPr>
      <w:r>
        <w:rPr>
          <w:rFonts w:hint="eastAsia" w:ascii="仿宋" w:hAnsi="仿宋"/>
          <w:b/>
          <w:bCs/>
          <w:color w:val="auto"/>
          <w:sz w:val="31"/>
          <w:szCs w:val="31"/>
          <w:highlight w:val="none"/>
          <w:lang w:val="en-US" w:eastAsia="zh-CN"/>
        </w:rPr>
        <w:t>标识采购及安装</w:t>
      </w:r>
      <w:r>
        <w:rPr>
          <w:rFonts w:hint="eastAsia" w:ascii="仿宋" w:hAnsi="仿宋"/>
          <w:b/>
          <w:bCs/>
          <w:color w:val="auto"/>
          <w:sz w:val="31"/>
          <w:szCs w:val="31"/>
          <w:highlight w:val="none"/>
        </w:rPr>
        <w:t>工程招标公告</w:t>
      </w:r>
    </w:p>
    <w:p>
      <w:pPr>
        <w:adjustRightInd w:val="0"/>
        <w:snapToGrid w:val="0"/>
        <w:spacing w:line="360" w:lineRule="auto"/>
        <w:rPr>
          <w:rFonts w:hint="eastAsia" w:ascii="仿宋" w:hAnsi="仿宋"/>
          <w:color w:val="auto"/>
          <w:sz w:val="24"/>
          <w:highlight w:val="none"/>
        </w:rPr>
      </w:pPr>
      <w:r>
        <w:rPr>
          <w:rFonts w:hint="eastAsia" w:ascii="仿宋" w:hAnsi="仿宋"/>
          <w:b/>
          <w:color w:val="auto"/>
          <w:sz w:val="24"/>
          <w:highlight w:val="none"/>
        </w:rPr>
        <w:t>项目名称:</w:t>
      </w:r>
      <w:r>
        <w:rPr>
          <w:rFonts w:hint="eastAsia" w:ascii="仿宋" w:hAnsi="仿宋"/>
          <w:color w:val="auto"/>
          <w:sz w:val="24"/>
          <w:highlight w:val="none"/>
        </w:rPr>
        <w:t>深圳职业技术学院北校区一期</w:t>
      </w:r>
    </w:p>
    <w:p>
      <w:pPr>
        <w:adjustRightInd w:val="0"/>
        <w:snapToGrid w:val="0"/>
        <w:spacing w:line="360" w:lineRule="auto"/>
        <w:rPr>
          <w:rFonts w:hint="eastAsia" w:ascii="仿宋" w:hAnsi="仿宋"/>
          <w:color w:val="auto"/>
          <w:sz w:val="24"/>
          <w:highlight w:val="none"/>
          <w:lang w:val="en-US" w:eastAsia="zh-CN"/>
        </w:rPr>
      </w:pPr>
      <w:r>
        <w:rPr>
          <w:rFonts w:hint="eastAsia" w:ascii="仿宋" w:hAnsi="仿宋"/>
          <w:b/>
          <w:color w:val="auto"/>
          <w:sz w:val="24"/>
          <w:highlight w:val="none"/>
          <w:lang w:val="en-US" w:eastAsia="zh-CN"/>
        </w:rPr>
        <w:t>工程</w:t>
      </w:r>
      <w:r>
        <w:rPr>
          <w:rFonts w:hint="eastAsia" w:ascii="仿宋" w:hAnsi="仿宋"/>
          <w:b/>
          <w:color w:val="auto"/>
          <w:sz w:val="24"/>
          <w:highlight w:val="none"/>
        </w:rPr>
        <w:t>名称:</w:t>
      </w:r>
      <w:r>
        <w:rPr>
          <w:rFonts w:hint="eastAsia" w:ascii="仿宋" w:hAnsi="仿宋"/>
          <w:color w:val="auto"/>
          <w:sz w:val="24"/>
          <w:highlight w:val="none"/>
        </w:rPr>
        <w:t>深圳职业技术学院北校区一期</w:t>
      </w:r>
      <w:r>
        <w:rPr>
          <w:rFonts w:hint="eastAsia" w:ascii="仿宋" w:hAnsi="仿宋"/>
          <w:color w:val="auto"/>
          <w:sz w:val="24"/>
          <w:highlight w:val="none"/>
          <w:lang w:val="en-US" w:eastAsia="zh-CN"/>
        </w:rPr>
        <w:t>项目标识采购及安装工程</w:t>
      </w:r>
    </w:p>
    <w:p>
      <w:pPr>
        <w:adjustRightInd w:val="0"/>
        <w:snapToGrid w:val="0"/>
        <w:spacing w:line="360" w:lineRule="auto"/>
        <w:rPr>
          <w:rFonts w:hint="eastAsia" w:ascii="仿宋" w:hAnsi="仿宋"/>
          <w:color w:val="auto"/>
          <w:sz w:val="24"/>
          <w:highlight w:val="none"/>
        </w:rPr>
      </w:pPr>
      <w:r>
        <w:rPr>
          <w:rFonts w:hint="eastAsia" w:ascii="仿宋" w:hAnsi="仿宋"/>
          <w:b/>
          <w:color w:val="auto"/>
          <w:sz w:val="24"/>
          <w:highlight w:val="none"/>
        </w:rPr>
        <w:t>招标人：</w:t>
      </w:r>
      <w:r>
        <w:rPr>
          <w:rFonts w:hint="eastAsia" w:ascii="仿宋" w:hAnsi="仿宋"/>
          <w:color w:val="auto"/>
          <w:sz w:val="24"/>
          <w:highlight w:val="none"/>
        </w:rPr>
        <w:t xml:space="preserve">深圳市建筑工务署教育工程管理中心   </w:t>
      </w:r>
    </w:p>
    <w:p>
      <w:pPr>
        <w:adjustRightInd w:val="0"/>
        <w:snapToGrid w:val="0"/>
        <w:spacing w:line="360" w:lineRule="auto"/>
        <w:rPr>
          <w:rFonts w:hint="eastAsia" w:ascii="仿宋" w:hAnsi="仿宋"/>
          <w:color w:val="auto"/>
          <w:sz w:val="24"/>
          <w:highlight w:val="none"/>
        </w:rPr>
      </w:pPr>
      <w:r>
        <w:rPr>
          <w:rFonts w:hint="eastAsia" w:ascii="仿宋" w:hAnsi="仿宋"/>
          <w:b/>
          <w:color w:val="auto"/>
          <w:sz w:val="24"/>
          <w:highlight w:val="none"/>
        </w:rPr>
        <w:t>项目地址：</w:t>
      </w:r>
      <w:r>
        <w:rPr>
          <w:rFonts w:hint="eastAsia" w:ascii="仿宋" w:hAnsi="仿宋"/>
          <w:color w:val="auto"/>
          <w:sz w:val="24"/>
          <w:highlight w:val="none"/>
        </w:rPr>
        <w:t>位于广东省深圳市南山区深圳职业技术学院北校区</w:t>
      </w:r>
    </w:p>
    <w:p>
      <w:pPr>
        <w:adjustRightInd w:val="0"/>
        <w:snapToGrid w:val="0"/>
        <w:spacing w:line="360" w:lineRule="auto"/>
        <w:rPr>
          <w:rFonts w:hint="eastAsia" w:ascii="仿宋" w:hAnsi="仿宋"/>
          <w:b/>
          <w:color w:val="auto"/>
          <w:sz w:val="24"/>
          <w:highlight w:val="none"/>
        </w:rPr>
      </w:pPr>
      <w:r>
        <w:rPr>
          <w:rFonts w:hint="eastAsia" w:ascii="仿宋" w:hAnsi="仿宋"/>
          <w:b/>
          <w:color w:val="auto"/>
          <w:sz w:val="24"/>
          <w:highlight w:val="none"/>
        </w:rPr>
        <w:t>项目</w:t>
      </w:r>
      <w:r>
        <w:rPr>
          <w:rFonts w:hint="eastAsia" w:ascii="仿宋" w:hAnsi="仿宋"/>
          <w:b/>
          <w:color w:val="auto"/>
          <w:sz w:val="24"/>
          <w:highlight w:val="none"/>
          <w:lang w:val="en-US" w:eastAsia="zh-CN"/>
        </w:rPr>
        <w:t>规模</w:t>
      </w:r>
      <w:r>
        <w:rPr>
          <w:rFonts w:hint="eastAsia" w:ascii="仿宋" w:hAnsi="仿宋"/>
          <w:b/>
          <w:color w:val="auto"/>
          <w:sz w:val="24"/>
          <w:highlight w:val="none"/>
        </w:rPr>
        <w:t>：</w:t>
      </w:r>
      <w:r>
        <w:rPr>
          <w:rFonts w:hint="eastAsia" w:ascii="仿宋" w:hAnsi="仿宋"/>
          <w:b w:val="0"/>
          <w:bCs/>
          <w:color w:val="auto"/>
          <w:sz w:val="24"/>
          <w:highlight w:val="none"/>
        </w:rPr>
        <w:t>建设内容包括新建一栋实训楼，一栋学生宿舍食堂综合楼、门卫及连廊，新建总建筑面积99309.69平方米。实训楼总建筑面积59688.98平方米。学生宿舍食堂综合楼总建筑面积 39352.11 平方米。</w:t>
      </w:r>
    </w:p>
    <w:p>
      <w:pPr>
        <w:adjustRightInd w:val="0"/>
        <w:snapToGrid w:val="0"/>
        <w:spacing w:line="360" w:lineRule="auto"/>
        <w:rPr>
          <w:rFonts w:hint="default" w:ascii="仿宋" w:hAnsi="仿宋" w:eastAsia="宋体"/>
          <w:color w:val="auto"/>
          <w:sz w:val="24"/>
          <w:highlight w:val="none"/>
          <w:lang w:val="en-US" w:eastAsia="zh-CN"/>
        </w:rPr>
      </w:pPr>
      <w:r>
        <w:rPr>
          <w:rFonts w:hint="eastAsia" w:ascii="仿宋" w:hAnsi="仿宋"/>
          <w:b/>
          <w:color w:val="auto"/>
          <w:sz w:val="24"/>
          <w:highlight w:val="none"/>
        </w:rPr>
        <w:t>招标方式：</w:t>
      </w:r>
      <w:r>
        <w:rPr>
          <w:rFonts w:hint="eastAsia" w:ascii="仿宋" w:hAnsi="仿宋"/>
          <w:color w:val="auto"/>
          <w:sz w:val="24"/>
          <w:highlight w:val="none"/>
        </w:rPr>
        <w:t>公开招标</w:t>
      </w:r>
      <w:r>
        <w:rPr>
          <w:rFonts w:hint="eastAsia" w:ascii="仿宋" w:hAnsi="仿宋"/>
          <w:color w:val="auto"/>
          <w:sz w:val="24"/>
          <w:highlight w:val="none"/>
          <w:lang w:eastAsia="zh-CN"/>
        </w:rPr>
        <w:t>、</w:t>
      </w:r>
      <w:r>
        <w:rPr>
          <w:rFonts w:hint="eastAsia" w:ascii="仿宋" w:hAnsi="仿宋"/>
          <w:color w:val="auto"/>
          <w:sz w:val="24"/>
          <w:highlight w:val="none"/>
          <w:lang w:val="en-US" w:eastAsia="zh-CN"/>
        </w:rPr>
        <w:t>资格后审</w:t>
      </w:r>
    </w:p>
    <w:p>
      <w:pPr>
        <w:adjustRightInd w:val="0"/>
        <w:snapToGrid w:val="0"/>
        <w:spacing w:line="360" w:lineRule="auto"/>
        <w:rPr>
          <w:rFonts w:hint="eastAsia" w:ascii="仿宋" w:hAnsi="仿宋"/>
          <w:color w:val="auto"/>
          <w:sz w:val="24"/>
          <w:highlight w:val="none"/>
          <w:lang w:val="en-US" w:eastAsia="zh-CN"/>
        </w:rPr>
      </w:pPr>
      <w:r>
        <w:rPr>
          <w:rFonts w:hint="eastAsia" w:ascii="仿宋" w:hAnsi="仿宋"/>
          <w:b/>
          <w:color w:val="auto"/>
          <w:sz w:val="24"/>
          <w:highlight w:val="none"/>
        </w:rPr>
        <w:t>招标联系人</w:t>
      </w:r>
      <w:r>
        <w:rPr>
          <w:rFonts w:hint="eastAsia" w:ascii="仿宋" w:hAnsi="仿宋"/>
          <w:color w:val="auto"/>
          <w:sz w:val="24"/>
          <w:highlight w:val="none"/>
        </w:rPr>
        <w:t>：</w:t>
      </w:r>
      <w:r>
        <w:rPr>
          <w:rFonts w:hint="eastAsia" w:ascii="仿宋" w:hAnsi="仿宋"/>
          <w:color w:val="auto"/>
          <w:sz w:val="24"/>
          <w:highlight w:val="none"/>
          <w:lang w:val="en-US" w:eastAsia="zh-CN"/>
        </w:rPr>
        <w:t>付工</w:t>
      </w:r>
      <w:r>
        <w:rPr>
          <w:rFonts w:hint="eastAsia" w:ascii="仿宋" w:hAnsi="仿宋"/>
          <w:color w:val="auto"/>
          <w:sz w:val="24"/>
          <w:highlight w:val="none"/>
        </w:rPr>
        <w:t xml:space="preserve"> </w:t>
      </w:r>
      <w:r>
        <w:rPr>
          <w:rFonts w:hint="eastAsia" w:ascii="仿宋" w:hAnsi="仿宋"/>
          <w:color w:val="auto"/>
          <w:sz w:val="24"/>
          <w:highlight w:val="none"/>
          <w:lang w:val="en-US" w:eastAsia="zh-CN"/>
        </w:rPr>
        <w:t xml:space="preserve"> </w:t>
      </w:r>
      <w:r>
        <w:rPr>
          <w:rFonts w:hint="eastAsia" w:ascii="仿宋" w:hAnsi="仿宋"/>
          <w:color w:val="auto"/>
          <w:sz w:val="24"/>
          <w:highlight w:val="none"/>
        </w:rPr>
        <w:t>电话：（0755）83942871</w:t>
      </w:r>
      <w:r>
        <w:rPr>
          <w:rFonts w:hint="eastAsia" w:ascii="仿宋" w:hAnsi="仿宋"/>
          <w:color w:val="auto"/>
          <w:sz w:val="24"/>
          <w:highlight w:val="none"/>
          <w:lang w:val="en-US" w:eastAsia="zh-CN"/>
        </w:rPr>
        <w:t xml:space="preserve">   王工  </w:t>
      </w:r>
      <w:r>
        <w:rPr>
          <w:rFonts w:hint="eastAsia" w:ascii="仿宋" w:hAnsi="仿宋"/>
          <w:color w:val="auto"/>
          <w:sz w:val="24"/>
          <w:highlight w:val="none"/>
        </w:rPr>
        <w:t>电话：</w:t>
      </w:r>
      <w:r>
        <w:rPr>
          <w:rFonts w:hint="eastAsia" w:ascii="仿宋" w:hAnsi="仿宋"/>
          <w:color w:val="auto"/>
          <w:sz w:val="24"/>
          <w:highlight w:val="none"/>
          <w:lang w:val="en-US" w:eastAsia="zh-CN"/>
        </w:rPr>
        <w:t>15957129809</w:t>
      </w:r>
    </w:p>
    <w:p>
      <w:pPr>
        <w:pStyle w:val="6"/>
        <w:spacing w:line="360" w:lineRule="auto"/>
        <w:rPr>
          <w:rFonts w:hint="default" w:ascii="仿宋" w:hAnsi="仿宋" w:eastAsia="宋体" w:cs="Times New Roman"/>
          <w:b w:val="0"/>
          <w:bCs/>
          <w:color w:val="auto"/>
          <w:kern w:val="2"/>
          <w:sz w:val="24"/>
          <w:szCs w:val="24"/>
          <w:highlight w:val="none"/>
          <w:lang w:val="en-US" w:eastAsia="zh-CN" w:bidi="ar-SA"/>
        </w:rPr>
      </w:pPr>
      <w:r>
        <w:rPr>
          <w:rFonts w:hint="default" w:ascii="仿宋" w:hAnsi="仿宋" w:eastAsia="宋体" w:cs="Times New Roman"/>
          <w:b w:val="0"/>
          <w:bCs/>
          <w:color w:val="auto"/>
          <w:kern w:val="2"/>
          <w:sz w:val="24"/>
          <w:szCs w:val="24"/>
          <w:highlight w:val="none"/>
          <w:lang w:val="en-US" w:eastAsia="zh-CN" w:bidi="ar-SA"/>
        </w:rPr>
        <w:t xml:space="preserve">招标人财务联系地址:深圳市福田区侨香村1栋A座裙楼3层317室   </w:t>
      </w:r>
    </w:p>
    <w:p>
      <w:pPr>
        <w:pStyle w:val="6"/>
        <w:spacing w:line="360" w:lineRule="auto"/>
        <w:rPr>
          <w:rFonts w:hint="default" w:ascii="仿宋" w:hAnsi="仿宋" w:eastAsia="宋体" w:cs="Times New Roman"/>
          <w:b w:val="0"/>
          <w:bCs/>
          <w:color w:val="auto"/>
          <w:kern w:val="2"/>
          <w:sz w:val="24"/>
          <w:szCs w:val="24"/>
          <w:highlight w:val="none"/>
          <w:lang w:val="en-US" w:eastAsia="zh-CN" w:bidi="ar-SA"/>
        </w:rPr>
      </w:pPr>
      <w:r>
        <w:rPr>
          <w:rFonts w:hint="default" w:ascii="仿宋" w:hAnsi="仿宋" w:eastAsia="宋体" w:cs="Times New Roman"/>
          <w:b w:val="0"/>
          <w:bCs/>
          <w:color w:val="auto"/>
          <w:kern w:val="2"/>
          <w:sz w:val="24"/>
          <w:szCs w:val="24"/>
          <w:highlight w:val="none"/>
          <w:lang w:val="en-US" w:eastAsia="zh-CN" w:bidi="ar-SA"/>
        </w:rPr>
        <w:t>投标保证金(银行转账)联系人： 曾工</w:t>
      </w:r>
      <w:r>
        <w:rPr>
          <w:rFonts w:hint="eastAsia" w:ascii="仿宋" w:hAnsi="仿宋" w:cs="Times New Roman"/>
          <w:b w:val="0"/>
          <w:bCs/>
          <w:color w:val="auto"/>
          <w:kern w:val="2"/>
          <w:sz w:val="24"/>
          <w:szCs w:val="24"/>
          <w:highlight w:val="none"/>
          <w:lang w:val="en-US" w:eastAsia="zh-CN" w:bidi="ar-SA"/>
        </w:rPr>
        <w:t>，</w:t>
      </w:r>
      <w:r>
        <w:rPr>
          <w:rFonts w:hint="default" w:ascii="仿宋" w:hAnsi="仿宋" w:eastAsia="宋体" w:cs="Times New Roman"/>
          <w:b w:val="0"/>
          <w:bCs/>
          <w:color w:val="auto"/>
          <w:kern w:val="2"/>
          <w:sz w:val="24"/>
          <w:szCs w:val="24"/>
          <w:highlight w:val="none"/>
          <w:lang w:val="en-US" w:eastAsia="zh-CN" w:bidi="ar-SA"/>
        </w:rPr>
        <w:t xml:space="preserve">联系电话：  83939582     </w:t>
      </w:r>
    </w:p>
    <w:p>
      <w:pPr>
        <w:pStyle w:val="6"/>
        <w:spacing w:line="360" w:lineRule="auto"/>
        <w:rPr>
          <w:rFonts w:hint="default" w:ascii="仿宋" w:hAnsi="仿宋" w:eastAsia="宋体" w:cs="Times New Roman"/>
          <w:b w:val="0"/>
          <w:bCs/>
          <w:color w:val="auto"/>
          <w:kern w:val="2"/>
          <w:sz w:val="24"/>
          <w:szCs w:val="24"/>
          <w:highlight w:val="none"/>
          <w:lang w:val="en-US" w:eastAsia="zh-CN" w:bidi="ar-SA"/>
        </w:rPr>
      </w:pPr>
      <w:r>
        <w:rPr>
          <w:rFonts w:hint="default" w:ascii="仿宋" w:hAnsi="仿宋" w:eastAsia="宋体" w:cs="Times New Roman"/>
          <w:b w:val="0"/>
          <w:bCs/>
          <w:color w:val="auto"/>
          <w:kern w:val="2"/>
          <w:sz w:val="24"/>
          <w:szCs w:val="24"/>
          <w:highlight w:val="none"/>
          <w:lang w:val="en-US" w:eastAsia="zh-CN" w:bidi="ar-SA"/>
        </w:rPr>
        <w:t>投标保证金退还联系人：付工</w:t>
      </w:r>
      <w:r>
        <w:rPr>
          <w:rFonts w:hint="eastAsia" w:ascii="仿宋" w:hAnsi="仿宋" w:cs="Times New Roman"/>
          <w:b w:val="0"/>
          <w:bCs/>
          <w:color w:val="auto"/>
          <w:kern w:val="2"/>
          <w:sz w:val="24"/>
          <w:szCs w:val="24"/>
          <w:highlight w:val="none"/>
          <w:lang w:val="en-US" w:eastAsia="zh-CN" w:bidi="ar-SA"/>
        </w:rPr>
        <w:t>，</w:t>
      </w:r>
      <w:r>
        <w:rPr>
          <w:rFonts w:hint="default" w:ascii="仿宋" w:hAnsi="仿宋" w:eastAsia="宋体" w:cs="Times New Roman"/>
          <w:b w:val="0"/>
          <w:bCs/>
          <w:color w:val="auto"/>
          <w:kern w:val="2"/>
          <w:sz w:val="24"/>
          <w:szCs w:val="24"/>
          <w:highlight w:val="none"/>
          <w:lang w:val="en-US" w:eastAsia="zh-CN" w:bidi="ar-SA"/>
        </w:rPr>
        <w:t xml:space="preserve"> 联系电话：83942841</w:t>
      </w:r>
    </w:p>
    <w:p>
      <w:pPr>
        <w:pStyle w:val="19"/>
        <w:adjustRightInd w:val="0"/>
        <w:snapToGrid w:val="0"/>
        <w:spacing w:line="360" w:lineRule="auto"/>
        <w:ind w:firstLine="0" w:firstLineChars="0"/>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color w:val="auto"/>
          <w:highlight w:val="none"/>
        </w:rPr>
        <w:t>招标范围：</w:t>
      </w:r>
      <w:r>
        <w:rPr>
          <w:rFonts w:hint="eastAsia" w:asciiTheme="minorEastAsia" w:hAnsiTheme="minorEastAsia" w:eastAsiaTheme="minorEastAsia" w:cstheme="minorEastAsia"/>
          <w:b w:val="0"/>
          <w:bCs/>
          <w:color w:val="auto"/>
          <w:highlight w:val="none"/>
        </w:rPr>
        <w:t>本次招标内容为</w:t>
      </w:r>
      <w:r>
        <w:rPr>
          <w:rFonts w:hint="eastAsia" w:asciiTheme="minorEastAsia" w:hAnsiTheme="minorEastAsia" w:eastAsiaTheme="minorEastAsia" w:cstheme="minorEastAsia"/>
          <w:b w:val="0"/>
          <w:bCs/>
          <w:color w:val="auto"/>
          <w:highlight w:val="none"/>
          <w:lang w:val="en-US" w:eastAsia="zh-CN"/>
        </w:rPr>
        <w:t>本项目</w:t>
      </w:r>
      <w:r>
        <w:rPr>
          <w:rFonts w:hint="eastAsia" w:asciiTheme="minorEastAsia" w:hAnsiTheme="minorEastAsia" w:eastAsiaTheme="minorEastAsia" w:cstheme="minorEastAsia"/>
          <w:b w:val="0"/>
          <w:bCs/>
          <w:color w:val="auto"/>
          <w:highlight w:val="none"/>
        </w:rPr>
        <w:t>标识采购及安装（含深化设计），标识内容包括：</w:t>
      </w:r>
    </w:p>
    <w:p>
      <w:pPr>
        <w:pStyle w:val="19"/>
        <w:adjustRightInd w:val="0"/>
        <w:snapToGrid w:val="0"/>
        <w:spacing w:line="360" w:lineRule="auto"/>
        <w:ind w:firstLine="480" w:firstLineChars="200"/>
        <w:rPr>
          <w:rFonts w:hint="eastAsia" w:asciiTheme="minorEastAsia" w:hAnsiTheme="minorEastAsia" w:eastAsiaTheme="minorEastAsia" w:cstheme="minorEastAsia"/>
          <w:b w:val="0"/>
          <w:bCs/>
          <w:color w:val="auto"/>
          <w:highlight w:val="none"/>
        </w:rPr>
      </w:pPr>
      <w:r>
        <w:rPr>
          <w:rFonts w:hint="eastAsia" w:asciiTheme="minorEastAsia" w:hAnsiTheme="minorEastAsia" w:eastAsiaTheme="minorEastAsia" w:cstheme="minorEastAsia"/>
          <w:b w:val="0"/>
          <w:bCs/>
          <w:color w:val="auto"/>
          <w:highlight w:val="none"/>
        </w:rPr>
        <w:t>1、户外标识：</w:t>
      </w:r>
      <w:r>
        <w:rPr>
          <w:rFonts w:hint="eastAsia" w:asciiTheme="minorEastAsia" w:hAnsiTheme="minorEastAsia" w:eastAsiaTheme="minorEastAsia" w:cstheme="minorEastAsia"/>
          <w:b w:val="0"/>
          <w:bCs/>
          <w:color w:val="auto"/>
          <w:highlight w:val="none"/>
          <w:lang w:val="en-US" w:eastAsia="zh-CN"/>
        </w:rPr>
        <w:t>包含楼栋标识、户外导视立牌、停车场导向标识</w:t>
      </w:r>
      <w:r>
        <w:rPr>
          <w:rFonts w:hint="eastAsia" w:asciiTheme="minorEastAsia" w:hAnsiTheme="minorEastAsia" w:eastAsiaTheme="minorEastAsia" w:cstheme="minorEastAsia"/>
          <w:b w:val="0"/>
          <w:bCs/>
          <w:color w:val="auto"/>
          <w:highlight w:val="none"/>
        </w:rPr>
        <w:t>等；</w:t>
      </w:r>
    </w:p>
    <w:p>
      <w:pPr>
        <w:pStyle w:val="19"/>
        <w:adjustRightInd w:val="0"/>
        <w:snapToGrid w:val="0"/>
        <w:spacing w:line="360" w:lineRule="auto"/>
        <w:ind w:firstLine="480" w:firstLineChars="200"/>
        <w:rPr>
          <w:rFonts w:hint="eastAsia" w:asciiTheme="minorEastAsia" w:hAnsiTheme="minorEastAsia" w:eastAsiaTheme="minorEastAsia" w:cstheme="minorEastAsia"/>
          <w:b w:val="0"/>
          <w:bCs/>
          <w:color w:val="auto"/>
          <w:highlight w:val="none"/>
          <w:lang w:val="en-US" w:eastAsia="zh-CN"/>
        </w:rPr>
      </w:pPr>
      <w:r>
        <w:rPr>
          <w:rFonts w:hint="eastAsia" w:asciiTheme="minorEastAsia" w:hAnsiTheme="minorEastAsia" w:eastAsiaTheme="minorEastAsia" w:cstheme="minorEastAsia"/>
          <w:b w:val="0"/>
          <w:bCs/>
          <w:color w:val="auto"/>
          <w:highlight w:val="none"/>
        </w:rPr>
        <w:t>2、室内标识：</w:t>
      </w:r>
      <w:r>
        <w:rPr>
          <w:rFonts w:hint="eastAsia" w:asciiTheme="minorEastAsia" w:hAnsiTheme="minorEastAsia" w:eastAsiaTheme="minorEastAsia" w:cstheme="minorEastAsia"/>
          <w:b w:val="0"/>
          <w:bCs/>
          <w:color w:val="auto"/>
          <w:highlight w:val="none"/>
          <w:lang w:val="en-US" w:eastAsia="zh-CN"/>
        </w:rPr>
        <w:t>包含</w:t>
      </w:r>
      <w:r>
        <w:rPr>
          <w:rFonts w:hint="eastAsia" w:asciiTheme="minorEastAsia" w:hAnsiTheme="minorEastAsia" w:eastAsiaTheme="minorEastAsia" w:cstheme="minorEastAsia"/>
          <w:b w:val="0"/>
          <w:bCs/>
          <w:color w:val="auto"/>
          <w:highlight w:val="none"/>
        </w:rPr>
        <w:t>室内总索引</w:t>
      </w:r>
      <w:r>
        <w:rPr>
          <w:rFonts w:hint="eastAsia" w:asciiTheme="minorEastAsia" w:hAnsiTheme="minorEastAsia" w:eastAsiaTheme="minorEastAsia" w:cstheme="minorEastAsia"/>
          <w:b w:val="0"/>
          <w:bCs/>
          <w:color w:val="auto"/>
          <w:highlight w:val="none"/>
          <w:lang w:val="en-US" w:eastAsia="zh-CN"/>
        </w:rPr>
        <w:t>标识</w:t>
      </w:r>
      <w:r>
        <w:rPr>
          <w:rFonts w:hint="eastAsia" w:asciiTheme="minorEastAsia" w:hAnsiTheme="minorEastAsia" w:eastAsiaTheme="minorEastAsia" w:cstheme="minorEastAsia"/>
          <w:b w:val="0"/>
          <w:bCs/>
          <w:color w:val="auto"/>
          <w:highlight w:val="none"/>
          <w:lang w:eastAsia="zh-CN"/>
        </w:rPr>
        <w:t>、</w:t>
      </w:r>
      <w:r>
        <w:rPr>
          <w:rFonts w:hint="eastAsia" w:asciiTheme="minorEastAsia" w:hAnsiTheme="minorEastAsia" w:eastAsiaTheme="minorEastAsia" w:cstheme="minorEastAsia"/>
          <w:b w:val="0"/>
          <w:bCs/>
          <w:color w:val="auto"/>
          <w:highlight w:val="none"/>
          <w:lang w:val="en-US" w:eastAsia="zh-CN"/>
        </w:rPr>
        <w:t>停车场包柱导向标识、停车场出入口标识、导向吊牌标识、立柱导向标识、贴墙导向标识、楼层索引标识、楼梯层号标识、形象墙、办公室门牌</w:t>
      </w:r>
      <w:r>
        <w:rPr>
          <w:rFonts w:hint="eastAsia" w:asciiTheme="minorEastAsia" w:hAnsiTheme="minorEastAsia" w:eastAsiaTheme="minorEastAsia" w:cstheme="minorEastAsia"/>
          <w:b w:val="0"/>
          <w:bCs/>
          <w:color w:val="auto"/>
          <w:highlight w:val="none"/>
        </w:rPr>
        <w:t>标识</w:t>
      </w:r>
      <w:r>
        <w:rPr>
          <w:rFonts w:hint="eastAsia" w:asciiTheme="minorEastAsia" w:hAnsiTheme="minorEastAsia" w:eastAsiaTheme="minorEastAsia" w:cstheme="minorEastAsia"/>
          <w:b w:val="0"/>
          <w:bCs/>
          <w:color w:val="auto"/>
          <w:highlight w:val="none"/>
          <w:lang w:val="en-US" w:eastAsia="zh-CN"/>
        </w:rPr>
        <w:t>、实验室门牌</w:t>
      </w:r>
      <w:r>
        <w:rPr>
          <w:rFonts w:hint="eastAsia" w:asciiTheme="minorEastAsia" w:hAnsiTheme="minorEastAsia" w:eastAsiaTheme="minorEastAsia" w:cstheme="minorEastAsia"/>
          <w:b w:val="0"/>
          <w:bCs/>
          <w:color w:val="auto"/>
          <w:highlight w:val="none"/>
        </w:rPr>
        <w:t>标识</w:t>
      </w:r>
      <w:r>
        <w:rPr>
          <w:rFonts w:hint="eastAsia" w:asciiTheme="minorEastAsia" w:hAnsiTheme="minorEastAsia" w:eastAsiaTheme="minorEastAsia" w:cstheme="minorEastAsia"/>
          <w:b w:val="0"/>
          <w:bCs/>
          <w:color w:val="auto"/>
          <w:highlight w:val="none"/>
          <w:lang w:val="en-US" w:eastAsia="zh-CN"/>
        </w:rPr>
        <w:t>、功能房门牌</w:t>
      </w:r>
      <w:r>
        <w:rPr>
          <w:rFonts w:hint="eastAsia" w:asciiTheme="minorEastAsia" w:hAnsiTheme="minorEastAsia" w:eastAsiaTheme="minorEastAsia" w:cstheme="minorEastAsia"/>
          <w:b w:val="0"/>
          <w:bCs/>
          <w:color w:val="auto"/>
          <w:highlight w:val="none"/>
        </w:rPr>
        <w:t>标识</w:t>
      </w:r>
      <w:r>
        <w:rPr>
          <w:rFonts w:hint="eastAsia" w:asciiTheme="minorEastAsia" w:hAnsiTheme="minorEastAsia" w:eastAsiaTheme="minorEastAsia" w:cstheme="minorEastAsia"/>
          <w:b w:val="0"/>
          <w:bCs/>
          <w:color w:val="auto"/>
          <w:highlight w:val="none"/>
          <w:lang w:val="en-US" w:eastAsia="zh-CN"/>
        </w:rPr>
        <w:t>、</w:t>
      </w:r>
      <w:r>
        <w:rPr>
          <w:rFonts w:hint="eastAsia" w:asciiTheme="minorEastAsia" w:hAnsiTheme="minorEastAsia" w:eastAsiaTheme="minorEastAsia" w:cstheme="minorEastAsia"/>
          <w:b w:val="0"/>
          <w:bCs/>
          <w:color w:val="auto"/>
          <w:highlight w:val="none"/>
        </w:rPr>
        <w:t>洗手间侧墙标识、洗手间贴墙标识</w:t>
      </w:r>
      <w:r>
        <w:rPr>
          <w:rFonts w:hint="eastAsia" w:asciiTheme="minorEastAsia" w:hAnsiTheme="minorEastAsia" w:eastAsiaTheme="minorEastAsia" w:cstheme="minorEastAsia"/>
          <w:b w:val="0"/>
          <w:bCs/>
          <w:color w:val="auto"/>
          <w:highlight w:val="none"/>
          <w:lang w:val="en-US" w:eastAsia="zh-CN"/>
        </w:rPr>
        <w:t>等。</w:t>
      </w:r>
    </w:p>
    <w:p>
      <w:pPr>
        <w:pStyle w:val="19"/>
        <w:adjustRightInd w:val="0"/>
        <w:snapToGrid w:val="0"/>
        <w:spacing w:line="360" w:lineRule="auto"/>
        <w:ind w:left="0" w:leftChars="0" w:firstLine="480" w:firstLineChars="200"/>
        <w:rPr>
          <w:rFonts w:hint="eastAsia" w:ascii="仿宋" w:hAnsi="仿宋" w:eastAsia="仿宋"/>
          <w:b w:val="0"/>
          <w:bCs/>
          <w:color w:val="auto"/>
          <w:highlight w:val="none"/>
        </w:rPr>
      </w:pPr>
      <w:r>
        <w:rPr>
          <w:rFonts w:hint="eastAsia" w:asciiTheme="minorEastAsia" w:hAnsiTheme="minorEastAsia" w:eastAsiaTheme="minorEastAsia" w:cstheme="minorEastAsia"/>
          <w:b w:val="0"/>
          <w:bCs/>
          <w:color w:val="auto"/>
          <w:highlight w:val="none"/>
        </w:rPr>
        <w:t>具体详见图纸和工程量清单。</w:t>
      </w:r>
    </w:p>
    <w:p>
      <w:pPr>
        <w:pStyle w:val="19"/>
        <w:adjustRightInd w:val="0"/>
        <w:snapToGrid w:val="0"/>
        <w:spacing w:line="360" w:lineRule="auto"/>
        <w:ind w:firstLine="0" w:firstLineChars="0"/>
        <w:rPr>
          <w:rFonts w:hint="eastAsia" w:ascii="仿宋" w:hAnsi="仿宋" w:eastAsia="宋体" w:cs="Times New Roman"/>
          <w:b/>
          <w:bCs/>
          <w:color w:val="auto"/>
          <w:kern w:val="2"/>
          <w:sz w:val="24"/>
          <w:szCs w:val="24"/>
          <w:highlight w:val="none"/>
          <w:lang w:val="en-US" w:eastAsia="zh-CN" w:bidi="ar-SA"/>
        </w:rPr>
      </w:pPr>
      <w:r>
        <w:rPr>
          <w:rFonts w:hint="eastAsia" w:asciiTheme="minorEastAsia" w:hAnsiTheme="minorEastAsia" w:eastAsiaTheme="minorEastAsia" w:cstheme="minorEastAsia"/>
          <w:b/>
          <w:color w:val="auto"/>
          <w:highlight w:val="none"/>
          <w:lang w:val="en-US" w:eastAsia="zh-CN"/>
        </w:rPr>
        <w:t>工期要求</w:t>
      </w:r>
      <w:r>
        <w:rPr>
          <w:rFonts w:hint="eastAsia" w:ascii="仿宋" w:hAnsi="仿宋" w:eastAsia="宋体" w:cs="Times New Roman"/>
          <w:b/>
          <w:bCs/>
          <w:color w:val="auto"/>
          <w:kern w:val="2"/>
          <w:sz w:val="24"/>
          <w:szCs w:val="24"/>
          <w:highlight w:val="none"/>
          <w:lang w:val="en-US" w:eastAsia="zh-CN" w:bidi="ar-SA"/>
        </w:rPr>
        <w:t>：</w:t>
      </w:r>
    </w:p>
    <w:p>
      <w:pPr>
        <w:pStyle w:val="19"/>
        <w:snapToGrid w:val="0"/>
        <w:spacing w:line="360" w:lineRule="auto"/>
        <w:ind w:firstLine="480"/>
        <w:rPr>
          <w:rFonts w:hint="eastAsia" w:ascii="仿宋" w:hAnsi="仿宋" w:eastAsia="宋体" w:cs="Times New Roman"/>
          <w:color w:val="auto"/>
          <w:kern w:val="2"/>
          <w:sz w:val="24"/>
          <w:szCs w:val="24"/>
          <w:highlight w:val="none"/>
          <w:lang w:val="en-US" w:eastAsia="zh-CN" w:bidi="ar-SA"/>
        </w:rPr>
      </w:pPr>
      <w:r>
        <w:rPr>
          <w:rFonts w:hint="eastAsia" w:ascii="仿宋" w:hAnsi="仿宋" w:eastAsia="宋体" w:cs="Times New Roman"/>
          <w:color w:val="auto"/>
          <w:kern w:val="2"/>
          <w:sz w:val="24"/>
          <w:szCs w:val="24"/>
          <w:highlight w:val="none"/>
          <w:lang w:val="en-US" w:eastAsia="zh-CN" w:bidi="ar-SA"/>
        </w:rPr>
        <w:t>总工期：67日历天</w:t>
      </w:r>
    </w:p>
    <w:p>
      <w:pPr>
        <w:pStyle w:val="19"/>
        <w:snapToGrid w:val="0"/>
        <w:spacing w:line="360" w:lineRule="auto"/>
        <w:ind w:firstLine="480"/>
        <w:rPr>
          <w:rFonts w:hint="eastAsia" w:ascii="仿宋" w:hAnsi="仿宋" w:eastAsia="宋体" w:cs="Times New Roman"/>
          <w:color w:val="auto"/>
          <w:kern w:val="2"/>
          <w:sz w:val="24"/>
          <w:szCs w:val="24"/>
          <w:highlight w:val="none"/>
          <w:lang w:val="en-US" w:eastAsia="zh-CN" w:bidi="ar-SA"/>
        </w:rPr>
      </w:pPr>
      <w:r>
        <w:rPr>
          <w:rFonts w:hint="eastAsia" w:ascii="仿宋" w:hAnsi="仿宋" w:eastAsia="宋体" w:cs="Times New Roman"/>
          <w:color w:val="auto"/>
          <w:kern w:val="2"/>
          <w:sz w:val="24"/>
          <w:szCs w:val="24"/>
          <w:highlight w:val="none"/>
          <w:lang w:val="en-US" w:eastAsia="zh-CN" w:bidi="ar-SA"/>
        </w:rPr>
        <w:t xml:space="preserve">计划开工时间：2022年10月 10 日 </w:t>
      </w:r>
    </w:p>
    <w:p>
      <w:pPr>
        <w:pStyle w:val="19"/>
        <w:snapToGrid w:val="0"/>
        <w:spacing w:line="360" w:lineRule="auto"/>
        <w:ind w:firstLine="480"/>
        <w:rPr>
          <w:rFonts w:hint="eastAsia" w:ascii="仿宋" w:hAnsi="仿宋" w:eastAsia="宋体" w:cs="Times New Roman"/>
          <w:color w:val="auto"/>
          <w:kern w:val="2"/>
          <w:sz w:val="24"/>
          <w:szCs w:val="24"/>
          <w:highlight w:val="none"/>
          <w:lang w:val="en-US" w:eastAsia="zh-CN" w:bidi="ar-SA"/>
        </w:rPr>
      </w:pPr>
      <w:r>
        <w:rPr>
          <w:rFonts w:hint="eastAsia" w:ascii="仿宋" w:hAnsi="仿宋" w:eastAsia="宋体" w:cs="Times New Roman"/>
          <w:color w:val="auto"/>
          <w:kern w:val="2"/>
          <w:sz w:val="24"/>
          <w:szCs w:val="24"/>
          <w:highlight w:val="none"/>
          <w:lang w:val="en-US" w:eastAsia="zh-CN" w:bidi="ar-SA"/>
        </w:rPr>
        <w:t>计划竣工时间：2022年12月15日</w:t>
      </w:r>
    </w:p>
    <w:p>
      <w:pPr>
        <w:pStyle w:val="19"/>
        <w:adjustRightInd w:val="0"/>
        <w:snapToGrid w:val="0"/>
        <w:spacing w:line="360" w:lineRule="auto"/>
        <w:ind w:firstLine="482"/>
        <w:rPr>
          <w:rFonts w:hint="eastAsia" w:ascii="仿宋" w:hAnsi="仿宋" w:eastAsia="宋体" w:cs="Times New Roman"/>
          <w:color w:val="auto"/>
          <w:kern w:val="2"/>
          <w:sz w:val="24"/>
          <w:szCs w:val="24"/>
          <w:highlight w:val="none"/>
          <w:lang w:val="en-US" w:eastAsia="zh-CN" w:bidi="ar-SA"/>
        </w:rPr>
      </w:pPr>
      <w:r>
        <w:rPr>
          <w:rFonts w:hint="eastAsia" w:ascii="仿宋" w:hAnsi="仿宋" w:eastAsia="宋体" w:cs="Times New Roman"/>
          <w:color w:val="auto"/>
          <w:kern w:val="2"/>
          <w:sz w:val="24"/>
          <w:szCs w:val="24"/>
          <w:highlight w:val="none"/>
          <w:lang w:val="en-US" w:eastAsia="zh-CN" w:bidi="ar-SA"/>
        </w:rPr>
        <w:t>注：开工时间以监理单位签发的开工令为准。</w:t>
      </w:r>
    </w:p>
    <w:p>
      <w:pPr>
        <w:spacing w:line="360" w:lineRule="auto"/>
        <w:ind w:firstLine="480" w:firstLineChars="200"/>
        <w:jc w:val="left"/>
        <w:rPr>
          <w:rFonts w:hint="eastAsia" w:ascii="仿宋" w:hAnsi="仿宋" w:eastAsia="宋体" w:cs="Times New Roman"/>
          <w:color w:val="auto"/>
          <w:kern w:val="2"/>
          <w:sz w:val="24"/>
          <w:szCs w:val="24"/>
          <w:highlight w:val="none"/>
          <w:lang w:val="en-US" w:eastAsia="zh-CN" w:bidi="ar-SA"/>
        </w:rPr>
      </w:pPr>
      <w:r>
        <w:rPr>
          <w:rFonts w:hint="eastAsia" w:ascii="仿宋" w:hAnsi="仿宋" w:eastAsia="宋体" w:cs="Times New Roman"/>
          <w:color w:val="auto"/>
          <w:kern w:val="2"/>
          <w:sz w:val="24"/>
          <w:szCs w:val="24"/>
          <w:highlight w:val="none"/>
          <w:lang w:val="en-US" w:eastAsia="zh-CN" w:bidi="ar-SA"/>
        </w:rPr>
        <w:t>工期违约处罚条款：</w:t>
      </w:r>
    </w:p>
    <w:p>
      <w:pPr>
        <w:spacing w:line="360" w:lineRule="auto"/>
        <w:ind w:firstLine="480" w:firstLineChars="200"/>
        <w:jc w:val="left"/>
        <w:rPr>
          <w:rFonts w:hint="eastAsia" w:ascii="仿宋" w:hAnsi="仿宋" w:eastAsia="宋体" w:cs="Times New Roman"/>
          <w:color w:val="auto"/>
          <w:kern w:val="2"/>
          <w:sz w:val="24"/>
          <w:szCs w:val="24"/>
          <w:highlight w:val="none"/>
          <w:lang w:val="en-US" w:eastAsia="zh-CN" w:bidi="ar-SA"/>
        </w:rPr>
      </w:pPr>
      <w:r>
        <w:rPr>
          <w:rFonts w:hint="eastAsia" w:ascii="仿宋" w:hAnsi="仿宋" w:eastAsia="宋体" w:cs="Times New Roman"/>
          <w:color w:val="auto"/>
          <w:kern w:val="2"/>
          <w:sz w:val="24"/>
          <w:szCs w:val="24"/>
          <w:highlight w:val="none"/>
          <w:lang w:val="en-US" w:eastAsia="zh-CN" w:bidi="ar-SA"/>
        </w:rPr>
        <w:t>1、收到中标通知书15个日历天内，完成本工程深化设计并获得设计单位及招标人确认，若因承包人原因未能按期完成，则处违约金1万元。</w:t>
      </w:r>
    </w:p>
    <w:p>
      <w:pPr>
        <w:spacing w:line="360" w:lineRule="auto"/>
        <w:ind w:firstLine="480" w:firstLineChars="200"/>
        <w:jc w:val="left"/>
        <w:rPr>
          <w:rFonts w:hint="eastAsia" w:ascii="仿宋" w:hAnsi="仿宋" w:eastAsia="宋体" w:cs="Times New Roman"/>
          <w:color w:val="auto"/>
          <w:kern w:val="2"/>
          <w:sz w:val="24"/>
          <w:szCs w:val="24"/>
          <w:highlight w:val="none"/>
          <w:lang w:val="en-US" w:eastAsia="zh-CN" w:bidi="ar-SA"/>
        </w:rPr>
      </w:pPr>
      <w:r>
        <w:rPr>
          <w:rFonts w:hint="eastAsia" w:ascii="仿宋" w:hAnsi="仿宋" w:eastAsia="宋体" w:cs="Times New Roman"/>
          <w:color w:val="auto"/>
          <w:kern w:val="2"/>
          <w:sz w:val="24"/>
          <w:szCs w:val="24"/>
          <w:highlight w:val="none"/>
          <w:lang w:val="en-US" w:eastAsia="zh-CN" w:bidi="ar-SA"/>
        </w:rPr>
        <w:t>2、由于承包人原因未能在总工期内通过竣工验收，按拖期具体日历天数处违约金0.1万元/日历天，总违约金最多不超过合同价的5%。</w:t>
      </w:r>
    </w:p>
    <w:p>
      <w:pPr>
        <w:adjustRightInd w:val="0"/>
        <w:snapToGrid w:val="0"/>
        <w:spacing w:line="360" w:lineRule="auto"/>
        <w:rPr>
          <w:rFonts w:hint="default" w:ascii="仿宋" w:hAnsi="仿宋" w:eastAsia="宋体"/>
          <w:color w:val="auto"/>
          <w:sz w:val="24"/>
          <w:highlight w:val="none"/>
          <w:u w:val="single"/>
          <w:lang w:val="en-US" w:eastAsia="zh-CN"/>
        </w:rPr>
      </w:pPr>
      <w:r>
        <w:rPr>
          <w:rFonts w:hint="eastAsia" w:ascii="仿宋" w:hAnsi="仿宋"/>
          <w:b/>
          <w:color w:val="auto"/>
          <w:sz w:val="24"/>
          <w:highlight w:val="none"/>
        </w:rPr>
        <w:t>递交投标资料的时间及地点：</w:t>
      </w:r>
      <w:r>
        <w:rPr>
          <w:rFonts w:hint="eastAsia" w:ascii="仿宋" w:hAnsi="仿宋"/>
          <w:color w:val="auto"/>
          <w:sz w:val="24"/>
          <w:highlight w:val="none"/>
        </w:rPr>
        <w:t>20</w:t>
      </w:r>
      <w:r>
        <w:rPr>
          <w:rFonts w:hint="eastAsia" w:ascii="仿宋" w:hAnsi="仿宋"/>
          <w:color w:val="auto"/>
          <w:sz w:val="24"/>
          <w:highlight w:val="none"/>
          <w:lang w:val="en-US" w:eastAsia="zh-CN"/>
        </w:rPr>
        <w:t>22</w:t>
      </w:r>
      <w:r>
        <w:rPr>
          <w:rFonts w:hint="eastAsia" w:ascii="仿宋" w:hAnsi="仿宋"/>
          <w:color w:val="auto"/>
          <w:sz w:val="24"/>
          <w:highlight w:val="none"/>
        </w:rPr>
        <w:t>年</w:t>
      </w:r>
      <w:r>
        <w:rPr>
          <w:rFonts w:hint="eastAsia" w:ascii="仿宋" w:hAnsi="仿宋"/>
          <w:color w:val="auto"/>
          <w:sz w:val="24"/>
          <w:highlight w:val="none"/>
          <w:u w:val="single"/>
          <w:lang w:val="en-US" w:eastAsia="zh-CN"/>
        </w:rPr>
        <w:t>9</w:t>
      </w:r>
      <w:r>
        <w:rPr>
          <w:rFonts w:hint="eastAsia" w:ascii="仿宋" w:hAnsi="仿宋"/>
          <w:color w:val="auto"/>
          <w:sz w:val="24"/>
          <w:highlight w:val="none"/>
        </w:rPr>
        <w:t>月</w:t>
      </w:r>
      <w:r>
        <w:rPr>
          <w:rFonts w:hint="eastAsia" w:ascii="仿宋" w:hAnsi="仿宋"/>
          <w:color w:val="auto"/>
          <w:sz w:val="24"/>
          <w:highlight w:val="none"/>
          <w:u w:val="single"/>
          <w:lang w:val="en-US" w:eastAsia="zh-CN"/>
        </w:rPr>
        <w:t>8</w:t>
      </w:r>
      <w:r>
        <w:rPr>
          <w:rFonts w:hint="eastAsia" w:ascii="仿宋" w:hAnsi="仿宋"/>
          <w:color w:val="auto"/>
          <w:sz w:val="24"/>
          <w:highlight w:val="none"/>
        </w:rPr>
        <w:t>日</w:t>
      </w:r>
      <w:r>
        <w:rPr>
          <w:rFonts w:hint="eastAsia" w:ascii="仿宋" w:hAnsi="仿宋"/>
          <w:color w:val="auto"/>
          <w:sz w:val="24"/>
          <w:highlight w:val="none"/>
          <w:u w:val="single"/>
          <w:lang w:val="en-US" w:eastAsia="zh-CN"/>
        </w:rPr>
        <w:t>10</w:t>
      </w:r>
      <w:r>
        <w:rPr>
          <w:rFonts w:hint="eastAsia" w:ascii="仿宋" w:hAnsi="仿宋"/>
          <w:color w:val="auto"/>
          <w:sz w:val="24"/>
          <w:highlight w:val="none"/>
          <w:lang w:val="en-US" w:eastAsia="zh-CN"/>
        </w:rPr>
        <w:t>时</w:t>
      </w:r>
      <w:r>
        <w:rPr>
          <w:rFonts w:hint="eastAsia" w:ascii="仿宋" w:hAnsi="仿宋"/>
          <w:color w:val="auto"/>
          <w:sz w:val="24"/>
          <w:highlight w:val="none"/>
          <w:u w:val="single"/>
          <w:lang w:val="en-US" w:eastAsia="zh-CN"/>
        </w:rPr>
        <w:t>00</w:t>
      </w:r>
      <w:r>
        <w:rPr>
          <w:rFonts w:hint="eastAsia" w:ascii="仿宋" w:hAnsi="仿宋"/>
          <w:color w:val="auto"/>
          <w:sz w:val="24"/>
          <w:highlight w:val="none"/>
          <w:u w:val="none"/>
          <w:lang w:val="en-US" w:eastAsia="zh-CN"/>
        </w:rPr>
        <w:t>分</w:t>
      </w:r>
      <w:r>
        <w:rPr>
          <w:rFonts w:hint="eastAsia" w:ascii="仿宋" w:hAnsi="仿宋"/>
          <w:color w:val="auto"/>
          <w:sz w:val="24"/>
          <w:highlight w:val="none"/>
        </w:rPr>
        <w:t>深圳市</w:t>
      </w:r>
      <w:r>
        <w:rPr>
          <w:rFonts w:hint="eastAsia" w:ascii="仿宋" w:hAnsi="仿宋"/>
          <w:color w:val="auto"/>
          <w:sz w:val="24"/>
          <w:highlight w:val="none"/>
          <w:lang w:val="en-US" w:eastAsia="zh-CN"/>
        </w:rPr>
        <w:t>南山区新高路深圳职业技术学院北校区一期项目部</w:t>
      </w:r>
    </w:p>
    <w:p>
      <w:pPr>
        <w:adjustRightInd w:val="0"/>
        <w:snapToGrid w:val="0"/>
        <w:spacing w:line="360" w:lineRule="auto"/>
        <w:rPr>
          <w:rFonts w:ascii="仿宋" w:hAnsi="仿宋"/>
          <w:color w:val="auto"/>
          <w:sz w:val="24"/>
          <w:highlight w:val="none"/>
          <w:u w:val="single"/>
        </w:rPr>
      </w:pPr>
      <w:r>
        <w:rPr>
          <w:rFonts w:hint="eastAsia" w:ascii="仿宋" w:hAnsi="仿宋"/>
          <w:b/>
          <w:color w:val="auto"/>
          <w:sz w:val="24"/>
          <w:highlight w:val="none"/>
        </w:rPr>
        <w:t>开标（截标）时间及地点：</w:t>
      </w:r>
      <w:r>
        <w:rPr>
          <w:rFonts w:hint="eastAsia" w:ascii="仿宋" w:hAnsi="仿宋"/>
          <w:color w:val="auto"/>
          <w:sz w:val="24"/>
          <w:highlight w:val="none"/>
        </w:rPr>
        <w:t>20</w:t>
      </w:r>
      <w:r>
        <w:rPr>
          <w:rFonts w:hint="eastAsia" w:ascii="仿宋" w:hAnsi="仿宋"/>
          <w:color w:val="auto"/>
          <w:sz w:val="24"/>
          <w:highlight w:val="none"/>
          <w:lang w:val="en-US" w:eastAsia="zh-CN"/>
        </w:rPr>
        <w:t>22</w:t>
      </w:r>
      <w:r>
        <w:rPr>
          <w:rFonts w:hint="eastAsia" w:ascii="仿宋" w:hAnsi="仿宋"/>
          <w:color w:val="auto"/>
          <w:sz w:val="24"/>
          <w:highlight w:val="none"/>
        </w:rPr>
        <w:t>年</w:t>
      </w:r>
      <w:r>
        <w:rPr>
          <w:rFonts w:hint="eastAsia" w:ascii="仿宋" w:hAnsi="仿宋"/>
          <w:color w:val="auto"/>
          <w:sz w:val="24"/>
          <w:highlight w:val="none"/>
          <w:u w:val="single"/>
          <w:lang w:val="en-US" w:eastAsia="zh-CN"/>
        </w:rPr>
        <w:t>9</w:t>
      </w:r>
      <w:r>
        <w:rPr>
          <w:rFonts w:hint="eastAsia" w:ascii="仿宋" w:hAnsi="仿宋"/>
          <w:color w:val="auto"/>
          <w:sz w:val="24"/>
          <w:highlight w:val="none"/>
        </w:rPr>
        <w:t>月</w:t>
      </w:r>
      <w:r>
        <w:rPr>
          <w:rFonts w:hint="eastAsia" w:ascii="仿宋" w:hAnsi="仿宋"/>
          <w:color w:val="auto"/>
          <w:sz w:val="24"/>
          <w:highlight w:val="none"/>
          <w:u w:val="single"/>
          <w:lang w:val="en-US" w:eastAsia="zh-CN"/>
        </w:rPr>
        <w:t>8</w:t>
      </w:r>
      <w:r>
        <w:rPr>
          <w:rFonts w:hint="eastAsia" w:ascii="仿宋" w:hAnsi="仿宋"/>
          <w:color w:val="auto"/>
          <w:sz w:val="24"/>
          <w:highlight w:val="none"/>
        </w:rPr>
        <w:t>日</w:t>
      </w:r>
      <w:r>
        <w:rPr>
          <w:rFonts w:hint="eastAsia" w:ascii="仿宋" w:hAnsi="仿宋"/>
          <w:color w:val="auto"/>
          <w:sz w:val="24"/>
          <w:highlight w:val="none"/>
          <w:u w:val="single"/>
          <w:lang w:val="en-US" w:eastAsia="zh-CN"/>
        </w:rPr>
        <w:t>10</w:t>
      </w:r>
      <w:r>
        <w:rPr>
          <w:rFonts w:hint="eastAsia" w:ascii="仿宋" w:hAnsi="仿宋"/>
          <w:color w:val="auto"/>
          <w:sz w:val="24"/>
          <w:highlight w:val="none"/>
          <w:lang w:val="en-US" w:eastAsia="zh-CN"/>
        </w:rPr>
        <w:t>时</w:t>
      </w:r>
      <w:r>
        <w:rPr>
          <w:rFonts w:hint="eastAsia" w:ascii="仿宋" w:hAnsi="仿宋"/>
          <w:color w:val="auto"/>
          <w:sz w:val="24"/>
          <w:highlight w:val="none"/>
          <w:u w:val="single"/>
          <w:lang w:val="en-US" w:eastAsia="zh-CN"/>
        </w:rPr>
        <w:t>00</w:t>
      </w:r>
      <w:r>
        <w:rPr>
          <w:rFonts w:hint="eastAsia" w:ascii="仿宋" w:hAnsi="仿宋"/>
          <w:color w:val="auto"/>
          <w:sz w:val="24"/>
          <w:highlight w:val="none"/>
          <w:u w:val="none"/>
          <w:lang w:val="en-US" w:eastAsia="zh-CN"/>
        </w:rPr>
        <w:t>分</w:t>
      </w:r>
      <w:r>
        <w:rPr>
          <w:rFonts w:hint="eastAsia" w:ascii="仿宋" w:hAnsi="仿宋"/>
          <w:color w:val="auto"/>
          <w:sz w:val="24"/>
          <w:highlight w:val="none"/>
        </w:rPr>
        <w:t>深圳市</w:t>
      </w:r>
      <w:r>
        <w:rPr>
          <w:rFonts w:hint="eastAsia" w:ascii="仿宋" w:hAnsi="仿宋"/>
          <w:color w:val="auto"/>
          <w:sz w:val="24"/>
          <w:highlight w:val="none"/>
          <w:lang w:val="en-US" w:eastAsia="zh-CN"/>
        </w:rPr>
        <w:t>南山区新高路深圳职业技术学院北校区一期项目部</w:t>
      </w:r>
      <w:bookmarkStart w:id="7439" w:name="_GoBack"/>
      <w:bookmarkEnd w:id="7439"/>
    </w:p>
    <w:p>
      <w:pPr>
        <w:adjustRightInd w:val="0"/>
        <w:snapToGrid w:val="0"/>
        <w:spacing w:line="360" w:lineRule="auto"/>
        <w:rPr>
          <w:rFonts w:hint="eastAsia" w:ascii="仿宋" w:hAnsi="仿宋"/>
          <w:color w:val="auto"/>
          <w:sz w:val="24"/>
          <w:highlight w:val="none"/>
        </w:rPr>
      </w:pPr>
      <w:r>
        <w:rPr>
          <w:rFonts w:hint="eastAsia" w:ascii="仿宋" w:hAnsi="仿宋"/>
          <w:b/>
          <w:color w:val="auto"/>
          <w:sz w:val="24"/>
          <w:highlight w:val="none"/>
        </w:rPr>
        <w:t>拟采用的定标方法</w:t>
      </w:r>
      <w:r>
        <w:rPr>
          <w:rFonts w:hint="eastAsia" w:ascii="仿宋" w:hAnsi="仿宋"/>
          <w:color w:val="auto"/>
          <w:sz w:val="24"/>
          <w:highlight w:val="none"/>
        </w:rPr>
        <w:t>： 低价法（第二低价）</w:t>
      </w:r>
    </w:p>
    <w:p>
      <w:pPr>
        <w:adjustRightInd w:val="0"/>
        <w:snapToGrid w:val="0"/>
        <w:spacing w:line="360" w:lineRule="auto"/>
        <w:ind w:firstLine="480" w:firstLineChars="200"/>
        <w:rPr>
          <w:rFonts w:hint="eastAsia" w:ascii="仿宋" w:hAnsi="仿宋"/>
          <w:color w:val="auto"/>
          <w:sz w:val="24"/>
          <w:highlight w:val="none"/>
        </w:rPr>
      </w:pPr>
      <w:r>
        <w:rPr>
          <w:rFonts w:hint="eastAsia" w:ascii="仿宋" w:hAnsi="仿宋"/>
          <w:color w:val="auto"/>
          <w:sz w:val="24"/>
          <w:highlight w:val="none"/>
        </w:rPr>
        <w:t>招标人按投标报价由低到高对投标人进行排序，并依次进行资格审查，若满足资格条件的投标人达到三家，则投标报价第二低价者为中标候选人；如经招标人审查后合格投标人仅剩两家，则投标报价低者为中标候选人；如合格投标人仅剩1家则进行重新招标。如出现两名及以上投标人报价完全相同且影响中标结果的情形，则采用抽签方式确定1名中标候选人。</w:t>
      </w:r>
    </w:p>
    <w:p>
      <w:pPr>
        <w:adjustRightInd w:val="0"/>
        <w:snapToGrid w:val="0"/>
        <w:spacing w:line="360" w:lineRule="auto"/>
        <w:ind w:firstLine="480" w:firstLineChars="200"/>
        <w:rPr>
          <w:rFonts w:hint="eastAsia" w:ascii="仿宋" w:hAnsi="仿宋"/>
          <w:color w:val="auto"/>
          <w:sz w:val="24"/>
          <w:highlight w:val="none"/>
        </w:rPr>
      </w:pPr>
      <w:r>
        <w:rPr>
          <w:rFonts w:hint="eastAsia" w:ascii="仿宋" w:hAnsi="仿宋"/>
          <w:color w:val="auto"/>
          <w:sz w:val="24"/>
          <w:highlight w:val="none"/>
        </w:rPr>
        <w:t>具体抽签方式为：（1）抽签原则：大号中标。（2）抽签顺序为投标人代表签到顺序。（3）如对抽签会程序及结果存在异议的，需在抽签会结束前当场向招标人提出，接受口头异议投诉方式。</w:t>
      </w:r>
    </w:p>
    <w:p>
      <w:pPr>
        <w:adjustRightInd w:val="0"/>
        <w:snapToGrid w:val="0"/>
        <w:spacing w:line="360" w:lineRule="auto"/>
        <w:rPr>
          <w:rFonts w:hint="eastAsia" w:ascii="仿宋" w:hAnsi="仿宋"/>
          <w:color w:val="auto"/>
          <w:sz w:val="24"/>
          <w:highlight w:val="none"/>
        </w:rPr>
      </w:pPr>
      <w:r>
        <w:rPr>
          <w:rFonts w:hint="eastAsia" w:ascii="仿宋" w:hAnsi="仿宋"/>
          <w:b/>
          <w:color w:val="auto"/>
          <w:sz w:val="24"/>
          <w:highlight w:val="none"/>
        </w:rPr>
        <w:t>招标上限价：</w:t>
      </w:r>
      <w:r>
        <w:rPr>
          <w:rFonts w:hint="eastAsia" w:ascii="仿宋" w:hAnsi="仿宋"/>
          <w:b/>
          <w:color w:val="auto"/>
          <w:sz w:val="24"/>
          <w:highlight w:val="none"/>
          <w:lang w:val="en-US" w:eastAsia="zh-CN"/>
        </w:rPr>
        <w:t>780798.84</w:t>
      </w:r>
      <w:r>
        <w:rPr>
          <w:rFonts w:hint="eastAsia" w:ascii="仿宋" w:hAnsi="仿宋"/>
          <w:b/>
          <w:color w:val="auto"/>
          <w:sz w:val="24"/>
          <w:highlight w:val="none"/>
        </w:rPr>
        <w:t>元</w:t>
      </w:r>
      <w:r>
        <w:rPr>
          <w:rFonts w:hint="eastAsia" w:ascii="仿宋" w:hAnsi="仿宋"/>
          <w:color w:val="auto"/>
          <w:sz w:val="24"/>
          <w:highlight w:val="none"/>
        </w:rPr>
        <w:t>。</w:t>
      </w:r>
    </w:p>
    <w:p>
      <w:pPr>
        <w:adjustRightInd w:val="0"/>
        <w:snapToGrid w:val="0"/>
        <w:spacing w:line="360" w:lineRule="auto"/>
        <w:rPr>
          <w:rFonts w:hint="eastAsia" w:ascii="仿宋" w:hAnsi="仿宋" w:cs="Times New Roman"/>
          <w:b/>
          <w:color w:val="auto"/>
          <w:sz w:val="24"/>
          <w:highlight w:val="none"/>
        </w:rPr>
      </w:pPr>
      <w:r>
        <w:rPr>
          <w:rFonts w:hint="eastAsia" w:ascii="仿宋" w:hAnsi="仿宋" w:cs="Times New Roman"/>
          <w:b/>
          <w:color w:val="auto"/>
          <w:sz w:val="24"/>
          <w:highlight w:val="none"/>
        </w:rPr>
        <w:t>计价原则：</w:t>
      </w:r>
      <w:r>
        <w:rPr>
          <w:rFonts w:hint="eastAsia" w:ascii="仿宋" w:hAnsi="仿宋" w:cs="Times New Roman"/>
          <w:b w:val="0"/>
          <w:bCs/>
          <w:color w:val="auto"/>
          <w:sz w:val="24"/>
          <w:highlight w:val="none"/>
          <w:lang w:val="en-US" w:eastAsia="zh-CN"/>
        </w:rPr>
        <w:t>综合</w:t>
      </w:r>
      <w:r>
        <w:rPr>
          <w:rFonts w:hint="eastAsia" w:ascii="仿宋" w:hAnsi="仿宋" w:cs="Times New Roman"/>
          <w:b w:val="0"/>
          <w:bCs/>
          <w:color w:val="auto"/>
          <w:sz w:val="24"/>
          <w:highlight w:val="none"/>
        </w:rPr>
        <w:t>单价。</w:t>
      </w:r>
    </w:p>
    <w:p>
      <w:pPr>
        <w:adjustRightInd w:val="0"/>
        <w:snapToGrid w:val="0"/>
        <w:spacing w:line="360" w:lineRule="auto"/>
        <w:rPr>
          <w:rFonts w:hint="eastAsia" w:ascii="仿宋" w:hAnsi="仿宋"/>
          <w:b/>
          <w:color w:val="auto"/>
          <w:sz w:val="24"/>
          <w:highlight w:val="none"/>
        </w:rPr>
      </w:pPr>
      <w:r>
        <w:rPr>
          <w:rFonts w:hint="eastAsia" w:ascii="仿宋" w:hAnsi="仿宋"/>
          <w:b/>
          <w:color w:val="auto"/>
          <w:sz w:val="24"/>
          <w:highlight w:val="none"/>
        </w:rPr>
        <w:t>计价依据：</w:t>
      </w:r>
    </w:p>
    <w:p>
      <w:pPr>
        <w:adjustRightInd w:val="0"/>
        <w:snapToGrid w:val="0"/>
        <w:spacing w:line="360" w:lineRule="auto"/>
        <w:rPr>
          <w:rFonts w:hint="eastAsia" w:ascii="仿宋" w:hAnsi="仿宋"/>
          <w:b w:val="0"/>
          <w:bCs/>
          <w:color w:val="auto"/>
          <w:sz w:val="24"/>
          <w:highlight w:val="none"/>
        </w:rPr>
      </w:pPr>
      <w:r>
        <w:rPr>
          <w:rFonts w:hint="eastAsia" w:ascii="仿宋" w:hAnsi="仿宋"/>
          <w:b w:val="0"/>
          <w:bCs/>
          <w:color w:val="auto"/>
          <w:sz w:val="24"/>
          <w:highlight w:val="none"/>
        </w:rPr>
        <w:t>1、施工图及相关资料：</w:t>
      </w:r>
    </w:p>
    <w:p>
      <w:pPr>
        <w:adjustRightInd w:val="0"/>
        <w:snapToGrid w:val="0"/>
        <w:spacing w:line="360" w:lineRule="auto"/>
        <w:rPr>
          <w:rFonts w:hint="eastAsia" w:ascii="仿宋" w:hAnsi="仿宋"/>
          <w:b w:val="0"/>
          <w:bCs/>
          <w:color w:val="auto"/>
          <w:sz w:val="24"/>
          <w:highlight w:val="none"/>
        </w:rPr>
      </w:pPr>
      <w:r>
        <w:rPr>
          <w:rFonts w:hint="eastAsia" w:ascii="仿宋" w:hAnsi="仿宋"/>
          <w:b w:val="0"/>
          <w:bCs/>
          <w:color w:val="auto"/>
          <w:sz w:val="24"/>
          <w:highlight w:val="none"/>
        </w:rPr>
        <w:t>由广东省建科建筑设计院有限公司设计的本工程的设计图。</w:t>
      </w:r>
    </w:p>
    <w:p>
      <w:pPr>
        <w:adjustRightInd w:val="0"/>
        <w:snapToGrid w:val="0"/>
        <w:spacing w:line="360" w:lineRule="auto"/>
        <w:rPr>
          <w:rFonts w:hint="eastAsia" w:ascii="仿宋" w:hAnsi="仿宋"/>
          <w:b w:val="0"/>
          <w:bCs/>
          <w:color w:val="auto"/>
          <w:sz w:val="24"/>
          <w:highlight w:val="none"/>
        </w:rPr>
      </w:pPr>
      <w:r>
        <w:rPr>
          <w:rFonts w:hint="eastAsia" w:ascii="仿宋" w:hAnsi="仿宋"/>
          <w:b w:val="0"/>
          <w:bCs/>
          <w:color w:val="auto"/>
          <w:sz w:val="24"/>
          <w:highlight w:val="none"/>
        </w:rPr>
        <w:t>2、《建设工程工程量清单计价规范》(GB50500-2013)及相应的有关文件。</w:t>
      </w:r>
    </w:p>
    <w:p>
      <w:pPr>
        <w:adjustRightInd w:val="0"/>
        <w:snapToGrid w:val="0"/>
        <w:spacing w:line="360" w:lineRule="auto"/>
        <w:rPr>
          <w:rFonts w:hint="eastAsia" w:ascii="仿宋" w:hAnsi="仿宋"/>
          <w:b w:val="0"/>
          <w:bCs/>
          <w:color w:val="auto"/>
          <w:sz w:val="24"/>
          <w:highlight w:val="none"/>
        </w:rPr>
      </w:pPr>
      <w:r>
        <w:rPr>
          <w:rFonts w:hint="eastAsia" w:ascii="仿宋" w:hAnsi="仿宋"/>
          <w:b w:val="0"/>
          <w:bCs/>
          <w:color w:val="auto"/>
          <w:sz w:val="24"/>
          <w:highlight w:val="none"/>
        </w:rPr>
        <w:t>《深圳市建设工程计价规程》(2017）及相应的有关文件</w:t>
      </w:r>
    </w:p>
    <w:p>
      <w:pPr>
        <w:adjustRightInd w:val="0"/>
        <w:snapToGrid w:val="0"/>
        <w:spacing w:line="360" w:lineRule="auto"/>
        <w:rPr>
          <w:rFonts w:hint="eastAsia" w:ascii="仿宋" w:hAnsi="仿宋"/>
          <w:b w:val="0"/>
          <w:bCs/>
          <w:color w:val="auto"/>
          <w:sz w:val="24"/>
          <w:highlight w:val="none"/>
        </w:rPr>
      </w:pPr>
      <w:r>
        <w:rPr>
          <w:rFonts w:hint="eastAsia" w:ascii="仿宋" w:hAnsi="仿宋"/>
          <w:b w:val="0"/>
          <w:bCs/>
          <w:color w:val="auto"/>
          <w:sz w:val="24"/>
          <w:highlight w:val="none"/>
        </w:rPr>
        <w:t>《深圳市建设工程计价费率标准》（2018）及相应的有关文件（含调整通知）</w:t>
      </w:r>
    </w:p>
    <w:p>
      <w:pPr>
        <w:adjustRightInd w:val="0"/>
        <w:snapToGrid w:val="0"/>
        <w:spacing w:line="360" w:lineRule="auto"/>
        <w:rPr>
          <w:rFonts w:hint="eastAsia" w:ascii="仿宋" w:hAnsi="仿宋"/>
          <w:b w:val="0"/>
          <w:bCs/>
          <w:color w:val="auto"/>
          <w:sz w:val="24"/>
          <w:highlight w:val="none"/>
        </w:rPr>
      </w:pPr>
      <w:r>
        <w:rPr>
          <w:rFonts w:hint="eastAsia" w:ascii="仿宋" w:hAnsi="仿宋"/>
          <w:b w:val="0"/>
          <w:bCs/>
          <w:color w:val="auto"/>
          <w:sz w:val="24"/>
          <w:highlight w:val="none"/>
        </w:rPr>
        <w:t>《深圳市建筑工程消耗量定额》（2016）</w:t>
      </w:r>
    </w:p>
    <w:p>
      <w:pPr>
        <w:adjustRightInd w:val="0"/>
        <w:snapToGrid w:val="0"/>
        <w:spacing w:line="360" w:lineRule="auto"/>
        <w:rPr>
          <w:rFonts w:hint="eastAsia" w:ascii="仿宋" w:hAnsi="仿宋"/>
          <w:b w:val="0"/>
          <w:bCs/>
          <w:color w:val="auto"/>
          <w:sz w:val="24"/>
          <w:highlight w:val="none"/>
        </w:rPr>
      </w:pPr>
      <w:r>
        <w:rPr>
          <w:rFonts w:hint="eastAsia" w:ascii="仿宋" w:hAnsi="仿宋"/>
          <w:b w:val="0"/>
          <w:bCs/>
          <w:color w:val="auto"/>
          <w:sz w:val="24"/>
          <w:highlight w:val="none"/>
        </w:rPr>
        <w:t>《深圳市市政工程消耗量定额》（2017）</w:t>
      </w:r>
    </w:p>
    <w:p>
      <w:pPr>
        <w:adjustRightInd w:val="0"/>
        <w:snapToGrid w:val="0"/>
        <w:spacing w:line="360" w:lineRule="auto"/>
        <w:rPr>
          <w:rFonts w:hint="eastAsia" w:ascii="仿宋" w:hAnsi="仿宋"/>
          <w:color w:val="auto"/>
          <w:sz w:val="24"/>
          <w:highlight w:val="none"/>
        </w:rPr>
      </w:pPr>
      <w:r>
        <w:rPr>
          <w:rFonts w:hint="eastAsia" w:ascii="仿宋" w:hAnsi="仿宋"/>
          <w:b w:val="0"/>
          <w:bCs/>
          <w:color w:val="auto"/>
          <w:sz w:val="24"/>
          <w:highlight w:val="none"/>
        </w:rPr>
        <w:t xml:space="preserve">《深圳市装饰工程消耗量定额》（2020）  </w:t>
      </w:r>
      <w:r>
        <w:rPr>
          <w:rFonts w:hint="eastAsia" w:ascii="仿宋" w:hAnsi="仿宋"/>
          <w:color w:val="auto"/>
          <w:sz w:val="24"/>
          <w:highlight w:val="none"/>
        </w:rPr>
        <w:t xml:space="preserve"> </w:t>
      </w:r>
    </w:p>
    <w:p>
      <w:pPr>
        <w:pStyle w:val="19"/>
        <w:adjustRightInd w:val="0"/>
        <w:snapToGrid w:val="0"/>
        <w:spacing w:line="360" w:lineRule="auto"/>
        <w:ind w:firstLine="0" w:firstLineChars="0"/>
        <w:rPr>
          <w:rFonts w:hint="eastAsia" w:ascii="仿宋" w:hAnsi="仿宋" w:eastAsia="宋体" w:cs="Times New Roman"/>
          <w:b/>
          <w:color w:val="auto"/>
          <w:kern w:val="2"/>
          <w:sz w:val="24"/>
          <w:szCs w:val="24"/>
          <w:highlight w:val="none"/>
          <w:lang w:val="en-US" w:eastAsia="zh-CN" w:bidi="ar-SA"/>
        </w:rPr>
      </w:pPr>
      <w:r>
        <w:rPr>
          <w:rFonts w:hint="eastAsia" w:ascii="仿宋" w:hAnsi="仿宋" w:eastAsia="宋体" w:cs="Times New Roman"/>
          <w:b/>
          <w:color w:val="auto"/>
          <w:kern w:val="2"/>
          <w:sz w:val="24"/>
          <w:szCs w:val="24"/>
          <w:highlight w:val="none"/>
          <w:lang w:val="en-US" w:eastAsia="zh-CN" w:bidi="ar-SA"/>
        </w:rPr>
        <w:t>付款方式：</w:t>
      </w:r>
    </w:p>
    <w:p>
      <w:pPr>
        <w:pStyle w:val="19"/>
        <w:adjustRightInd w:val="0"/>
        <w:snapToGrid w:val="0"/>
        <w:spacing w:line="360" w:lineRule="auto"/>
        <w:ind w:firstLine="480" w:firstLineChars="200"/>
        <w:rPr>
          <w:rFonts w:hint="eastAsia"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1、本工程不设预付款。</w:t>
      </w:r>
    </w:p>
    <w:p>
      <w:pPr>
        <w:pStyle w:val="19"/>
        <w:adjustRightInd w:val="0"/>
        <w:snapToGrid w:val="0"/>
        <w:spacing w:line="360" w:lineRule="auto"/>
        <w:ind w:firstLine="480" w:firstLineChars="200"/>
        <w:rPr>
          <w:rFonts w:hint="eastAsia"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2、工程进度款的支付</w:t>
      </w:r>
    </w:p>
    <w:p>
      <w:pPr>
        <w:pStyle w:val="19"/>
        <w:adjustRightInd w:val="0"/>
        <w:snapToGrid w:val="0"/>
        <w:spacing w:line="360" w:lineRule="auto"/>
        <w:ind w:firstLine="480" w:firstLineChars="200"/>
        <w:rPr>
          <w:rFonts w:hint="eastAsia"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进度款的支付需依据监理人签发的期中支付证书办理支付手续并提交相关付款部门，累计月支付金额达到合同价(不含暂列金额和奖励金）85%时暂停支付。工程竣工验收后，且承包人按照合同要求提供竣工结算资料后，付至合同价(不含暂列金额和奖励金）的90%。经发包人确认的工程变更实施后的支付比例为70%。</w:t>
      </w:r>
    </w:p>
    <w:p>
      <w:pPr>
        <w:pStyle w:val="19"/>
        <w:adjustRightInd w:val="0"/>
        <w:snapToGrid w:val="0"/>
        <w:spacing w:line="360" w:lineRule="auto"/>
        <w:ind w:firstLine="480" w:firstLineChars="200"/>
        <w:rPr>
          <w:rFonts w:hint="eastAsia"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3、工程结算款的支付</w:t>
      </w:r>
    </w:p>
    <w:p>
      <w:pPr>
        <w:pStyle w:val="19"/>
        <w:adjustRightInd w:val="0"/>
        <w:snapToGrid w:val="0"/>
        <w:spacing w:line="360" w:lineRule="auto"/>
        <w:ind w:firstLine="480" w:firstLineChars="200"/>
        <w:rPr>
          <w:rFonts w:hint="eastAsia"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工程竣工结算后，支付到审定工程结算总额的97%。最终结算价格以《深圳市财政投资评审中心评审报告》的评审结论或发包人指定的第三方机构的审定（审核）结论为准。</w:t>
      </w:r>
    </w:p>
    <w:p>
      <w:pPr>
        <w:pStyle w:val="19"/>
        <w:adjustRightInd w:val="0"/>
        <w:snapToGrid w:val="0"/>
        <w:spacing w:line="360" w:lineRule="auto"/>
        <w:ind w:firstLine="480" w:firstLineChars="200"/>
        <w:rPr>
          <w:rFonts w:hint="eastAsia"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4、质量保证金</w:t>
      </w:r>
    </w:p>
    <w:p>
      <w:pPr>
        <w:pStyle w:val="19"/>
        <w:adjustRightInd w:val="0"/>
        <w:snapToGrid w:val="0"/>
        <w:spacing w:line="360" w:lineRule="auto"/>
        <w:ind w:firstLine="480" w:firstLineChars="200"/>
        <w:rPr>
          <w:rFonts w:hint="eastAsia" w:ascii="仿宋" w:hAnsi="仿宋"/>
          <w:b/>
          <w:color w:val="auto"/>
          <w:sz w:val="24"/>
          <w:highlight w:val="none"/>
        </w:rPr>
      </w:pPr>
      <w:r>
        <w:rPr>
          <w:rFonts w:hint="eastAsia" w:ascii="仿宋" w:hAnsi="仿宋" w:eastAsia="宋体" w:cs="Times New Roman"/>
          <w:b w:val="0"/>
          <w:bCs/>
          <w:color w:val="auto"/>
          <w:kern w:val="2"/>
          <w:sz w:val="24"/>
          <w:szCs w:val="24"/>
          <w:highlight w:val="none"/>
          <w:lang w:val="en-US" w:eastAsia="zh-CN" w:bidi="ar-SA"/>
        </w:rPr>
        <w:t>预留结算审定总额的3%为质量保证金，待保修期结束后予以支付。（注：保修期2年，自本工程竣工验收之日起算）</w:t>
      </w:r>
      <w:r>
        <w:rPr>
          <w:rFonts w:hint="eastAsia" w:ascii="仿宋" w:hAnsi="仿宋" w:eastAsia="仿宋"/>
          <w:b w:val="0"/>
          <w:bCs/>
          <w:color w:val="auto"/>
          <w:highlight w:val="none"/>
        </w:rPr>
        <w:t xml:space="preserve"> </w:t>
      </w:r>
    </w:p>
    <w:p>
      <w:pPr>
        <w:adjustRightInd w:val="0"/>
        <w:snapToGrid w:val="0"/>
        <w:spacing w:line="360" w:lineRule="auto"/>
        <w:rPr>
          <w:rFonts w:hint="eastAsia" w:ascii="仿宋" w:hAnsi="仿宋"/>
          <w:b/>
          <w:color w:val="auto"/>
          <w:sz w:val="24"/>
          <w:highlight w:val="none"/>
        </w:rPr>
      </w:pPr>
      <w:r>
        <w:rPr>
          <w:rFonts w:hint="eastAsia" w:ascii="仿宋" w:hAnsi="仿宋"/>
          <w:b/>
          <w:color w:val="auto"/>
          <w:sz w:val="24"/>
          <w:highlight w:val="none"/>
        </w:rPr>
        <w:t>投标人资质要求：</w:t>
      </w:r>
    </w:p>
    <w:p>
      <w:pPr>
        <w:adjustRightInd w:val="0"/>
        <w:snapToGrid w:val="0"/>
        <w:spacing w:line="360" w:lineRule="auto"/>
        <w:ind w:firstLine="480" w:firstLineChars="200"/>
        <w:rPr>
          <w:rFonts w:hint="eastAsia" w:ascii="仿宋" w:hAnsi="仿宋"/>
          <w:b w:val="0"/>
          <w:bCs/>
          <w:color w:val="auto"/>
          <w:sz w:val="24"/>
          <w:highlight w:val="none"/>
          <w:lang w:val="en-US" w:eastAsia="zh-CN"/>
        </w:rPr>
      </w:pPr>
      <w:r>
        <w:rPr>
          <w:rFonts w:hint="eastAsia" w:ascii="仿宋" w:hAnsi="仿宋"/>
          <w:b w:val="0"/>
          <w:bCs/>
          <w:color w:val="auto"/>
          <w:sz w:val="24"/>
          <w:highlight w:val="none"/>
        </w:rPr>
        <w:t>1、投标人须具有中华人民共和国境内注册的独立法人资格；</w:t>
      </w:r>
      <w:r>
        <w:rPr>
          <w:rFonts w:hint="eastAsia" w:ascii="仿宋" w:hAnsi="仿宋"/>
          <w:b w:val="0"/>
          <w:bCs/>
          <w:color w:val="auto"/>
          <w:sz w:val="24"/>
          <w:highlight w:val="none"/>
          <w:lang w:val="en-US" w:eastAsia="zh-CN"/>
        </w:rPr>
        <w:t>投标人须完成过一项近三年（2019年8月10日至招标公告发布之日止）合同额不少于40万元的同类工程业绩。</w:t>
      </w:r>
    </w:p>
    <w:p>
      <w:pPr>
        <w:adjustRightInd w:val="0"/>
        <w:snapToGrid w:val="0"/>
        <w:spacing w:line="360" w:lineRule="auto"/>
        <w:ind w:firstLine="480" w:firstLineChars="200"/>
        <w:rPr>
          <w:rFonts w:hint="eastAsia" w:ascii="仿宋" w:hAnsi="仿宋"/>
          <w:b w:val="0"/>
          <w:bCs/>
          <w:color w:val="auto"/>
          <w:sz w:val="24"/>
          <w:highlight w:val="none"/>
        </w:rPr>
      </w:pPr>
      <w:r>
        <w:rPr>
          <w:rFonts w:hint="eastAsia" w:ascii="仿宋" w:hAnsi="仿宋"/>
          <w:b w:val="0"/>
          <w:bCs/>
          <w:color w:val="auto"/>
          <w:sz w:val="24"/>
          <w:highlight w:val="none"/>
        </w:rPr>
        <w:t>2、本项目不接受联合体投标。</w:t>
      </w:r>
    </w:p>
    <w:p>
      <w:pPr>
        <w:pStyle w:val="19"/>
        <w:adjustRightInd w:val="0"/>
        <w:snapToGrid w:val="0"/>
        <w:spacing w:line="360" w:lineRule="auto"/>
        <w:ind w:firstLine="0" w:firstLineChars="0"/>
        <w:rPr>
          <w:rFonts w:hint="eastAsia" w:ascii="仿宋" w:hAnsi="仿宋" w:eastAsia="宋体" w:cs="Times New Roman"/>
          <w:b/>
          <w:color w:val="auto"/>
          <w:kern w:val="2"/>
          <w:sz w:val="24"/>
          <w:szCs w:val="24"/>
          <w:highlight w:val="none"/>
          <w:lang w:val="en-US" w:eastAsia="zh-CN" w:bidi="ar-SA"/>
        </w:rPr>
      </w:pPr>
      <w:r>
        <w:rPr>
          <w:rFonts w:hint="eastAsia" w:ascii="仿宋" w:hAnsi="仿宋" w:eastAsia="宋体" w:cs="Times New Roman"/>
          <w:b/>
          <w:color w:val="auto"/>
          <w:kern w:val="2"/>
          <w:sz w:val="24"/>
          <w:szCs w:val="24"/>
          <w:highlight w:val="none"/>
          <w:lang w:val="en-US" w:eastAsia="zh-CN" w:bidi="ar-SA"/>
        </w:rPr>
        <w:t>投标资料组成：</w:t>
      </w:r>
    </w:p>
    <w:p>
      <w:pPr>
        <w:adjustRightInd w:val="0"/>
        <w:snapToGrid w:val="0"/>
        <w:spacing w:line="360" w:lineRule="auto"/>
        <w:ind w:firstLine="480" w:firstLineChars="200"/>
        <w:rPr>
          <w:rFonts w:hint="eastAsia" w:ascii="仿宋" w:hAnsi="仿宋" w:cs="Times New Roman"/>
          <w:b w:val="0"/>
          <w:bCs/>
          <w:color w:val="auto"/>
          <w:sz w:val="24"/>
          <w:highlight w:val="none"/>
        </w:rPr>
      </w:pPr>
      <w:r>
        <w:rPr>
          <w:rFonts w:hint="eastAsia" w:ascii="仿宋" w:hAnsi="仿宋" w:cs="Times New Roman"/>
          <w:b w:val="0"/>
          <w:bCs/>
          <w:color w:val="auto"/>
          <w:sz w:val="24"/>
          <w:highlight w:val="none"/>
        </w:rPr>
        <w:t>1、商务投标文件：</w:t>
      </w:r>
    </w:p>
    <w:p>
      <w:pPr>
        <w:adjustRightInd w:val="0"/>
        <w:snapToGrid w:val="0"/>
        <w:spacing w:line="360" w:lineRule="auto"/>
        <w:ind w:firstLine="480" w:firstLineChars="200"/>
        <w:rPr>
          <w:rFonts w:hint="eastAsia" w:ascii="仿宋" w:hAnsi="仿宋" w:cs="Times New Roman"/>
          <w:b w:val="0"/>
          <w:bCs/>
          <w:color w:val="auto"/>
          <w:sz w:val="24"/>
          <w:highlight w:val="none"/>
        </w:rPr>
      </w:pPr>
      <w:r>
        <w:rPr>
          <w:rFonts w:hint="eastAsia" w:ascii="仿宋" w:hAnsi="仿宋" w:cs="Times New Roman"/>
          <w:b w:val="0"/>
          <w:bCs/>
          <w:color w:val="auto"/>
          <w:sz w:val="24"/>
          <w:highlight w:val="none"/>
        </w:rPr>
        <w:t>（1）投标报价书（按附件</w:t>
      </w:r>
      <w:r>
        <w:rPr>
          <w:rFonts w:hint="eastAsia" w:ascii="仿宋" w:hAnsi="仿宋" w:cs="Times New Roman"/>
          <w:b w:val="0"/>
          <w:bCs/>
          <w:color w:val="auto"/>
          <w:sz w:val="24"/>
          <w:highlight w:val="none"/>
          <w:lang w:val="en-US" w:eastAsia="zh-CN"/>
        </w:rPr>
        <w:t>三</w:t>
      </w:r>
      <w:r>
        <w:rPr>
          <w:rFonts w:hint="eastAsia" w:ascii="仿宋" w:hAnsi="仿宋" w:cs="Times New Roman"/>
          <w:b w:val="0"/>
          <w:bCs/>
          <w:color w:val="auto"/>
          <w:sz w:val="24"/>
          <w:highlight w:val="none"/>
        </w:rPr>
        <w:t>格式，纸质文件签名加盖公章）；</w:t>
      </w:r>
    </w:p>
    <w:p>
      <w:pPr>
        <w:adjustRightInd w:val="0"/>
        <w:snapToGrid w:val="0"/>
        <w:spacing w:line="360" w:lineRule="auto"/>
        <w:ind w:firstLine="480" w:firstLineChars="200"/>
        <w:rPr>
          <w:rFonts w:hint="eastAsia" w:ascii="仿宋" w:hAnsi="仿宋" w:cs="Times New Roman"/>
          <w:b w:val="0"/>
          <w:bCs/>
          <w:color w:val="auto"/>
          <w:sz w:val="24"/>
          <w:highlight w:val="none"/>
        </w:rPr>
      </w:pPr>
      <w:r>
        <w:rPr>
          <w:rFonts w:hint="eastAsia" w:ascii="仿宋" w:hAnsi="仿宋" w:cs="Times New Roman"/>
          <w:b w:val="0"/>
          <w:bCs/>
          <w:color w:val="auto"/>
          <w:sz w:val="24"/>
          <w:highlight w:val="none"/>
        </w:rPr>
        <w:t>（2）工程量清单报价表；</w:t>
      </w:r>
    </w:p>
    <w:p>
      <w:pPr>
        <w:adjustRightInd w:val="0"/>
        <w:snapToGrid w:val="0"/>
        <w:spacing w:line="360" w:lineRule="auto"/>
        <w:ind w:firstLine="480" w:firstLineChars="200"/>
        <w:rPr>
          <w:rFonts w:hint="eastAsia" w:ascii="仿宋" w:hAnsi="仿宋" w:cs="Times New Roman"/>
          <w:b w:val="0"/>
          <w:bCs/>
          <w:color w:val="auto"/>
          <w:sz w:val="24"/>
          <w:highlight w:val="none"/>
        </w:rPr>
      </w:pPr>
      <w:r>
        <w:rPr>
          <w:rFonts w:hint="eastAsia" w:ascii="仿宋" w:hAnsi="仿宋" w:cs="Times New Roman"/>
          <w:b w:val="0"/>
          <w:bCs/>
          <w:color w:val="auto"/>
          <w:sz w:val="24"/>
          <w:highlight w:val="none"/>
        </w:rPr>
        <w:t>（3）投标承诺函（具体格式详见附件</w:t>
      </w:r>
      <w:r>
        <w:rPr>
          <w:rFonts w:hint="eastAsia" w:ascii="仿宋" w:hAnsi="仿宋" w:cs="Times New Roman"/>
          <w:b w:val="0"/>
          <w:bCs/>
          <w:color w:val="auto"/>
          <w:sz w:val="24"/>
          <w:highlight w:val="none"/>
          <w:lang w:val="en-US" w:eastAsia="zh-CN"/>
        </w:rPr>
        <w:t>五</w:t>
      </w:r>
      <w:r>
        <w:rPr>
          <w:rFonts w:hint="eastAsia" w:ascii="仿宋" w:hAnsi="仿宋" w:cs="Times New Roman"/>
          <w:b w:val="0"/>
          <w:bCs/>
          <w:color w:val="auto"/>
          <w:sz w:val="24"/>
          <w:highlight w:val="none"/>
        </w:rPr>
        <w:t>）；</w:t>
      </w:r>
    </w:p>
    <w:p>
      <w:pPr>
        <w:adjustRightInd w:val="0"/>
        <w:snapToGrid w:val="0"/>
        <w:spacing w:line="360" w:lineRule="auto"/>
        <w:ind w:firstLine="480" w:firstLineChars="200"/>
        <w:rPr>
          <w:rFonts w:hint="eastAsia" w:ascii="仿宋" w:hAnsi="仿宋" w:cs="Times New Roman"/>
          <w:b w:val="0"/>
          <w:bCs/>
          <w:color w:val="auto"/>
          <w:sz w:val="24"/>
          <w:highlight w:val="none"/>
          <w:lang w:val="en-US" w:eastAsia="zh-CN"/>
        </w:rPr>
      </w:pPr>
      <w:r>
        <w:rPr>
          <w:rFonts w:hint="eastAsia" w:ascii="仿宋" w:hAnsi="仿宋" w:cs="Times New Roman"/>
          <w:b w:val="0"/>
          <w:bCs/>
          <w:color w:val="auto"/>
          <w:sz w:val="24"/>
          <w:highlight w:val="none"/>
        </w:rPr>
        <w:t>2、</w:t>
      </w:r>
      <w:r>
        <w:rPr>
          <w:rFonts w:hint="eastAsia" w:ascii="仿宋" w:hAnsi="仿宋" w:cs="Times New Roman"/>
          <w:b w:val="0"/>
          <w:bCs/>
          <w:color w:val="auto"/>
          <w:sz w:val="24"/>
          <w:highlight w:val="none"/>
          <w:lang w:val="en-US" w:eastAsia="zh-CN"/>
        </w:rPr>
        <w:t>资格投标文件</w:t>
      </w:r>
    </w:p>
    <w:p>
      <w:pPr>
        <w:adjustRightInd w:val="0"/>
        <w:snapToGrid w:val="0"/>
        <w:spacing w:line="360" w:lineRule="auto"/>
        <w:ind w:firstLine="480" w:firstLineChars="200"/>
        <w:rPr>
          <w:rFonts w:hint="eastAsia" w:ascii="仿宋" w:hAnsi="仿宋" w:cs="Times New Roman"/>
          <w:b w:val="0"/>
          <w:bCs/>
          <w:color w:val="auto"/>
          <w:sz w:val="24"/>
          <w:highlight w:val="none"/>
        </w:rPr>
      </w:pPr>
      <w:r>
        <w:rPr>
          <w:rFonts w:hint="eastAsia" w:ascii="仿宋" w:hAnsi="仿宋" w:cs="Times New Roman"/>
          <w:b w:val="0"/>
          <w:bCs/>
          <w:color w:val="auto"/>
          <w:sz w:val="24"/>
          <w:highlight w:val="none"/>
          <w:lang w:val="en-US" w:eastAsia="zh-CN"/>
        </w:rPr>
        <w:t>（1）</w:t>
      </w:r>
      <w:r>
        <w:rPr>
          <w:rFonts w:hint="eastAsia" w:ascii="仿宋" w:hAnsi="仿宋" w:cs="Times New Roman"/>
          <w:b w:val="0"/>
          <w:bCs/>
          <w:color w:val="auto"/>
          <w:sz w:val="24"/>
          <w:highlight w:val="none"/>
        </w:rPr>
        <w:t>营业执照（复印件加盖公章）。</w:t>
      </w:r>
    </w:p>
    <w:p>
      <w:pPr>
        <w:pStyle w:val="6"/>
        <w:spacing w:line="360" w:lineRule="auto"/>
        <w:ind w:firstLine="480" w:firstLineChars="200"/>
        <w:rPr>
          <w:rFonts w:hint="eastAsia" w:ascii="仿宋" w:hAnsi="仿宋" w:cs="Times New Roman"/>
          <w:b w:val="0"/>
          <w:bCs/>
          <w:color w:val="auto"/>
          <w:sz w:val="24"/>
          <w:highlight w:val="none"/>
          <w:lang w:val="en-US" w:eastAsia="zh-CN"/>
        </w:rPr>
      </w:pPr>
      <w:r>
        <w:rPr>
          <w:rFonts w:hint="eastAsia" w:ascii="仿宋" w:hAnsi="仿宋" w:cs="Times New Roman"/>
          <w:b w:val="0"/>
          <w:bCs/>
          <w:color w:val="auto"/>
          <w:sz w:val="24"/>
          <w:highlight w:val="none"/>
          <w:lang w:val="en-US" w:eastAsia="zh-CN"/>
        </w:rPr>
        <w:t>（2）投标业绩：提供合同关键页、竣工验收证明（包括竣工验收报告或竣工验收备案表），业绩有效期以竣工验收证明材料载明的日期为准。</w:t>
      </w:r>
    </w:p>
    <w:p>
      <w:pPr>
        <w:pStyle w:val="6"/>
        <w:spacing w:line="360" w:lineRule="auto"/>
        <w:ind w:firstLine="480" w:firstLineChars="200"/>
        <w:rPr>
          <w:rFonts w:hint="default" w:ascii="仿宋" w:hAnsi="仿宋" w:cs="Times New Roman"/>
          <w:b w:val="0"/>
          <w:bCs/>
          <w:color w:val="auto"/>
          <w:sz w:val="24"/>
          <w:highlight w:val="none"/>
          <w:lang w:val="en-US" w:eastAsia="zh-CN"/>
        </w:rPr>
      </w:pPr>
      <w:r>
        <w:rPr>
          <w:rFonts w:hint="eastAsia" w:ascii="仿宋" w:hAnsi="仿宋" w:cs="Times New Roman"/>
          <w:b w:val="0"/>
          <w:bCs/>
          <w:color w:val="auto"/>
          <w:sz w:val="24"/>
          <w:highlight w:val="none"/>
          <w:lang w:val="en-US" w:eastAsia="zh-CN"/>
        </w:rPr>
        <w:t>（3）投标担保材料。</w:t>
      </w:r>
    </w:p>
    <w:p>
      <w:pPr>
        <w:adjustRightInd w:val="0"/>
        <w:snapToGrid w:val="0"/>
        <w:spacing w:line="360" w:lineRule="auto"/>
        <w:ind w:firstLine="480" w:firstLineChars="200"/>
        <w:rPr>
          <w:rFonts w:hint="eastAsia" w:ascii="仿宋" w:hAnsi="仿宋" w:cs="Times New Roman"/>
          <w:b w:val="0"/>
          <w:bCs/>
          <w:color w:val="auto"/>
          <w:sz w:val="24"/>
          <w:highlight w:val="none"/>
        </w:rPr>
      </w:pPr>
      <w:r>
        <w:rPr>
          <w:rFonts w:hint="eastAsia" w:ascii="仿宋" w:hAnsi="仿宋" w:cs="Times New Roman"/>
          <w:b w:val="0"/>
          <w:bCs/>
          <w:color w:val="auto"/>
          <w:sz w:val="24"/>
          <w:highlight w:val="none"/>
          <w:lang w:eastAsia="zh-CN"/>
        </w:rPr>
        <w:t>（</w:t>
      </w:r>
      <w:r>
        <w:rPr>
          <w:rFonts w:hint="eastAsia" w:ascii="仿宋" w:hAnsi="仿宋" w:cs="Times New Roman"/>
          <w:b w:val="0"/>
          <w:bCs/>
          <w:color w:val="auto"/>
          <w:sz w:val="24"/>
          <w:highlight w:val="none"/>
          <w:lang w:val="en-US" w:eastAsia="zh-CN"/>
        </w:rPr>
        <w:t>4</w:t>
      </w:r>
      <w:r>
        <w:rPr>
          <w:rFonts w:hint="eastAsia" w:ascii="仿宋" w:hAnsi="仿宋" w:cs="Times New Roman"/>
          <w:b w:val="0"/>
          <w:bCs/>
          <w:color w:val="auto"/>
          <w:sz w:val="24"/>
          <w:highlight w:val="none"/>
          <w:lang w:eastAsia="zh-CN"/>
        </w:rPr>
        <w:t>）</w:t>
      </w:r>
      <w:r>
        <w:rPr>
          <w:rFonts w:hint="eastAsia" w:ascii="仿宋" w:hAnsi="仿宋" w:cs="Times New Roman"/>
          <w:b w:val="0"/>
          <w:bCs/>
          <w:color w:val="auto"/>
          <w:sz w:val="24"/>
          <w:highlight w:val="none"/>
        </w:rPr>
        <w:t>法定代表人证明书</w:t>
      </w:r>
      <w:r>
        <w:rPr>
          <w:rFonts w:hint="eastAsia" w:ascii="仿宋" w:hAnsi="仿宋" w:cs="Times New Roman"/>
          <w:b w:val="0"/>
          <w:bCs/>
          <w:color w:val="auto"/>
          <w:sz w:val="24"/>
          <w:highlight w:val="none"/>
          <w:lang w:val="en-US" w:eastAsia="zh-CN"/>
        </w:rPr>
        <w:t>并附</w:t>
      </w:r>
      <w:r>
        <w:rPr>
          <w:rFonts w:hint="eastAsia" w:ascii="仿宋" w:hAnsi="仿宋" w:cs="Times New Roman"/>
          <w:b w:val="0"/>
          <w:bCs/>
          <w:color w:val="auto"/>
          <w:sz w:val="24"/>
          <w:highlight w:val="none"/>
        </w:rPr>
        <w:t>身份证复印件（需签名</w:t>
      </w:r>
      <w:r>
        <w:rPr>
          <w:rFonts w:hint="eastAsia" w:ascii="仿宋" w:hAnsi="仿宋" w:cs="Times New Roman"/>
          <w:b w:val="0"/>
          <w:bCs/>
          <w:color w:val="auto"/>
          <w:sz w:val="24"/>
          <w:highlight w:val="none"/>
          <w:lang w:val="en-US" w:eastAsia="zh-CN"/>
        </w:rPr>
        <w:t>并</w:t>
      </w:r>
      <w:r>
        <w:rPr>
          <w:rFonts w:hint="eastAsia" w:ascii="仿宋" w:hAnsi="仿宋" w:cs="Times New Roman"/>
          <w:b w:val="0"/>
          <w:bCs/>
          <w:color w:val="auto"/>
          <w:sz w:val="24"/>
          <w:highlight w:val="none"/>
        </w:rPr>
        <w:t>加盖公章），法定代表人授权委托书</w:t>
      </w:r>
      <w:r>
        <w:rPr>
          <w:rFonts w:hint="eastAsia" w:ascii="仿宋" w:hAnsi="仿宋" w:cs="Times New Roman"/>
          <w:b w:val="0"/>
          <w:bCs/>
          <w:color w:val="auto"/>
          <w:sz w:val="24"/>
          <w:highlight w:val="none"/>
          <w:lang w:val="en-US" w:eastAsia="zh-CN"/>
        </w:rPr>
        <w:t>并附</w:t>
      </w:r>
      <w:r>
        <w:rPr>
          <w:rFonts w:hint="eastAsia" w:ascii="仿宋" w:hAnsi="仿宋" w:cs="Times New Roman"/>
          <w:b w:val="0"/>
          <w:bCs/>
          <w:color w:val="auto"/>
          <w:sz w:val="24"/>
          <w:highlight w:val="none"/>
        </w:rPr>
        <w:t>法定代表人授权委托人身份证复印件（需签名</w:t>
      </w:r>
      <w:r>
        <w:rPr>
          <w:rFonts w:hint="eastAsia" w:ascii="仿宋" w:hAnsi="仿宋" w:cs="Times New Roman"/>
          <w:b w:val="0"/>
          <w:bCs/>
          <w:color w:val="auto"/>
          <w:sz w:val="24"/>
          <w:highlight w:val="none"/>
          <w:lang w:val="en-US" w:eastAsia="zh-CN"/>
        </w:rPr>
        <w:t>并</w:t>
      </w:r>
      <w:r>
        <w:rPr>
          <w:rFonts w:hint="eastAsia" w:ascii="仿宋" w:hAnsi="仿宋" w:cs="Times New Roman"/>
          <w:b w:val="0"/>
          <w:bCs/>
          <w:color w:val="auto"/>
          <w:sz w:val="24"/>
          <w:highlight w:val="none"/>
        </w:rPr>
        <w:t>加盖公章）。</w:t>
      </w:r>
    </w:p>
    <w:p>
      <w:pPr>
        <w:pStyle w:val="6"/>
        <w:spacing w:line="360" w:lineRule="auto"/>
        <w:ind w:firstLine="480" w:firstLineChars="200"/>
        <w:rPr>
          <w:rFonts w:hint="eastAsia"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（5）拟派项目管理人员一览表，格式请参考附件</w:t>
      </w:r>
      <w:r>
        <w:rPr>
          <w:rFonts w:hint="eastAsia" w:ascii="仿宋" w:hAnsi="仿宋" w:cs="Times New Roman"/>
          <w:b w:val="0"/>
          <w:bCs/>
          <w:color w:val="auto"/>
          <w:kern w:val="2"/>
          <w:sz w:val="24"/>
          <w:szCs w:val="24"/>
          <w:highlight w:val="none"/>
          <w:lang w:val="en-US" w:eastAsia="zh-CN" w:bidi="ar-SA"/>
        </w:rPr>
        <w:t>四</w:t>
      </w:r>
      <w:r>
        <w:rPr>
          <w:rFonts w:hint="eastAsia" w:ascii="仿宋" w:hAnsi="仿宋" w:eastAsia="宋体" w:cs="Times New Roman"/>
          <w:b w:val="0"/>
          <w:bCs/>
          <w:color w:val="auto"/>
          <w:kern w:val="2"/>
          <w:sz w:val="24"/>
          <w:szCs w:val="24"/>
          <w:highlight w:val="none"/>
          <w:lang w:val="en-US" w:eastAsia="zh-CN" w:bidi="ar-SA"/>
        </w:rPr>
        <w:t>，未提交一览表或出现内容不一致所产生的不良后果由投标人自行承担；本表不作为资格审查合格条件。</w:t>
      </w:r>
    </w:p>
    <w:p>
      <w:pPr>
        <w:pStyle w:val="19"/>
        <w:adjustRightInd w:val="0"/>
        <w:snapToGrid w:val="0"/>
        <w:spacing w:line="360" w:lineRule="auto"/>
        <w:ind w:firstLine="0" w:firstLineChars="0"/>
        <w:rPr>
          <w:rFonts w:hint="eastAsia"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color w:val="auto"/>
          <w:kern w:val="2"/>
          <w:sz w:val="24"/>
          <w:szCs w:val="24"/>
          <w:highlight w:val="none"/>
          <w:lang w:val="en-US" w:eastAsia="zh-CN" w:bidi="ar-SA"/>
        </w:rPr>
        <w:t>投标担保金额：</w:t>
      </w:r>
      <w:r>
        <w:rPr>
          <w:rFonts w:hint="eastAsia" w:ascii="仿宋" w:hAnsi="仿宋" w:eastAsia="宋体" w:cs="Times New Roman"/>
          <w:b w:val="0"/>
          <w:bCs/>
          <w:color w:val="auto"/>
          <w:kern w:val="2"/>
          <w:sz w:val="24"/>
          <w:szCs w:val="24"/>
          <w:highlight w:val="none"/>
          <w:lang w:val="en-US" w:eastAsia="zh-CN" w:bidi="ar-SA"/>
        </w:rPr>
        <w:t>1万元；担保形式： 1.现金：必须从投标人基本账户汇出；</w:t>
      </w:r>
    </w:p>
    <w:p>
      <w:pPr>
        <w:pStyle w:val="19"/>
        <w:adjustRightInd w:val="0"/>
        <w:snapToGrid w:val="0"/>
        <w:spacing w:line="360" w:lineRule="auto"/>
        <w:ind w:firstLine="0" w:firstLineChars="0"/>
        <w:rPr>
          <w:rFonts w:hint="eastAsia"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 xml:space="preserve"> 2.银行保函：必须由投标人基本账户开户银行所在网点或其上一级银行机构出具；保函格式详见附件八；3.投标保证保险：保费必须通过投标人基本账户支付，账户名称应与投标单位名称一致，不得以分支机构等其他名义提交。保费通过投标人基本账户支付。投标人须保证投标担保至投标有效期满后28天内有效。投标有效期为投标截止之日后90天。</w:t>
      </w:r>
    </w:p>
    <w:p>
      <w:pPr>
        <w:pStyle w:val="19"/>
        <w:adjustRightInd w:val="0"/>
        <w:snapToGrid w:val="0"/>
        <w:spacing w:line="360" w:lineRule="auto"/>
        <w:ind w:firstLine="0" w:firstLineChars="0"/>
        <w:rPr>
          <w:rFonts w:hint="default" w:ascii="仿宋" w:hAnsi="仿宋" w:eastAsia="宋体" w:cs="Times New Roman"/>
          <w:b w:val="0"/>
          <w:bCs/>
          <w:color w:val="auto"/>
          <w:kern w:val="2"/>
          <w:sz w:val="24"/>
          <w:szCs w:val="24"/>
          <w:highlight w:val="none"/>
          <w:lang w:val="en-US" w:eastAsia="zh-CN" w:bidi="ar-SA"/>
        </w:rPr>
      </w:pPr>
      <w:r>
        <w:rPr>
          <w:rFonts w:hint="default" w:ascii="仿宋" w:hAnsi="仿宋" w:eastAsia="宋体" w:cs="Times New Roman"/>
          <w:b w:val="0"/>
          <w:bCs/>
          <w:color w:val="auto"/>
          <w:kern w:val="2"/>
          <w:sz w:val="24"/>
          <w:szCs w:val="24"/>
          <w:highlight w:val="none"/>
          <w:lang w:val="en-US" w:eastAsia="zh-CN" w:bidi="ar-SA"/>
        </w:rPr>
        <w:t>特别提醒：</w:t>
      </w:r>
    </w:p>
    <w:p>
      <w:pPr>
        <w:pStyle w:val="19"/>
        <w:numPr>
          <w:ilvl w:val="0"/>
          <w:numId w:val="2"/>
        </w:numPr>
        <w:adjustRightInd w:val="0"/>
        <w:snapToGrid w:val="0"/>
        <w:spacing w:line="360" w:lineRule="auto"/>
        <w:ind w:firstLine="0" w:firstLineChars="0"/>
        <w:rPr>
          <w:rFonts w:hint="default" w:ascii="仿宋" w:hAnsi="仿宋" w:eastAsia="宋体" w:cs="Times New Roman"/>
          <w:b w:val="0"/>
          <w:bCs/>
          <w:color w:val="auto"/>
          <w:kern w:val="2"/>
          <w:sz w:val="24"/>
          <w:szCs w:val="24"/>
          <w:highlight w:val="none"/>
          <w:lang w:val="en-US" w:eastAsia="zh-CN" w:bidi="ar-SA"/>
        </w:rPr>
      </w:pPr>
      <w:r>
        <w:rPr>
          <w:rFonts w:hint="default" w:ascii="仿宋" w:hAnsi="仿宋" w:eastAsia="宋体" w:cs="Times New Roman"/>
          <w:b w:val="0"/>
          <w:bCs/>
          <w:color w:val="auto"/>
          <w:kern w:val="2"/>
          <w:sz w:val="24"/>
          <w:szCs w:val="24"/>
          <w:highlight w:val="none"/>
          <w:lang w:val="en-US" w:eastAsia="zh-CN" w:bidi="ar-SA"/>
        </w:rPr>
        <w:t>为避免因未开具投标保证金收讫证明而导致资格审查不合格的情形，投标人必须先从投标人基本账户中将规定金额的投标保证金转入招标人指定账户，并凭银行进账单等材料到招标人财务部门开具投标保证金收讫证明。</w:t>
      </w:r>
    </w:p>
    <w:p>
      <w:pPr>
        <w:pStyle w:val="19"/>
        <w:numPr>
          <w:ilvl w:val="0"/>
          <w:numId w:val="0"/>
        </w:numPr>
        <w:adjustRightInd w:val="0"/>
        <w:snapToGrid w:val="0"/>
        <w:spacing w:line="360" w:lineRule="auto"/>
        <w:rPr>
          <w:rFonts w:hint="default" w:ascii="仿宋" w:hAnsi="仿宋" w:eastAsia="宋体" w:cs="Times New Roman"/>
          <w:b w:val="0"/>
          <w:bCs/>
          <w:color w:val="auto"/>
          <w:kern w:val="2"/>
          <w:sz w:val="24"/>
          <w:szCs w:val="24"/>
          <w:highlight w:val="none"/>
          <w:lang w:val="en-US" w:eastAsia="zh-CN" w:bidi="ar-SA"/>
        </w:rPr>
      </w:pPr>
      <w:r>
        <w:rPr>
          <w:rFonts w:hint="default" w:ascii="仿宋" w:hAnsi="仿宋" w:eastAsia="宋体" w:cs="Times New Roman"/>
          <w:b w:val="0"/>
          <w:bCs/>
          <w:color w:val="auto"/>
          <w:kern w:val="2"/>
          <w:sz w:val="24"/>
          <w:szCs w:val="24"/>
          <w:highlight w:val="none"/>
          <w:lang w:val="en-US" w:eastAsia="zh-CN" w:bidi="ar-SA"/>
        </w:rPr>
        <w:t>投标保证金缴纳账户信息：</w:t>
      </w:r>
    </w:p>
    <w:p>
      <w:pPr>
        <w:pStyle w:val="19"/>
        <w:adjustRightInd w:val="0"/>
        <w:snapToGrid w:val="0"/>
        <w:spacing w:line="360" w:lineRule="auto"/>
        <w:ind w:firstLine="0" w:firstLineChars="0"/>
        <w:rPr>
          <w:rFonts w:hint="default" w:ascii="仿宋" w:hAnsi="仿宋" w:eastAsia="宋体" w:cs="Times New Roman"/>
          <w:b w:val="0"/>
          <w:bCs/>
          <w:color w:val="auto"/>
          <w:kern w:val="2"/>
          <w:sz w:val="24"/>
          <w:szCs w:val="24"/>
          <w:highlight w:val="none"/>
          <w:lang w:val="en-US" w:eastAsia="zh-CN" w:bidi="ar-SA"/>
        </w:rPr>
      </w:pPr>
      <w:r>
        <w:rPr>
          <w:rFonts w:hint="default" w:ascii="仿宋" w:hAnsi="仿宋" w:eastAsia="宋体" w:cs="Times New Roman"/>
          <w:b w:val="0"/>
          <w:bCs/>
          <w:color w:val="auto"/>
          <w:kern w:val="2"/>
          <w:sz w:val="24"/>
          <w:szCs w:val="24"/>
          <w:highlight w:val="none"/>
          <w:lang w:val="en-US" w:eastAsia="zh-CN" w:bidi="ar-SA"/>
        </w:rPr>
        <w:t>开户名称: 深圳市建筑工务署教育工程管理中心</w:t>
      </w:r>
    </w:p>
    <w:p>
      <w:pPr>
        <w:pStyle w:val="19"/>
        <w:adjustRightInd w:val="0"/>
        <w:snapToGrid w:val="0"/>
        <w:spacing w:line="360" w:lineRule="auto"/>
        <w:ind w:firstLine="0" w:firstLineChars="0"/>
        <w:rPr>
          <w:rFonts w:hint="default" w:ascii="仿宋" w:hAnsi="仿宋" w:eastAsia="宋体" w:cs="Times New Roman"/>
          <w:b w:val="0"/>
          <w:bCs/>
          <w:color w:val="auto"/>
          <w:kern w:val="2"/>
          <w:sz w:val="24"/>
          <w:szCs w:val="24"/>
          <w:highlight w:val="none"/>
          <w:lang w:val="en-US" w:eastAsia="zh-CN" w:bidi="ar-SA"/>
        </w:rPr>
      </w:pPr>
      <w:r>
        <w:rPr>
          <w:rFonts w:hint="default" w:ascii="仿宋" w:hAnsi="仿宋" w:eastAsia="宋体" w:cs="Times New Roman"/>
          <w:b w:val="0"/>
          <w:bCs/>
          <w:color w:val="auto"/>
          <w:kern w:val="2"/>
          <w:sz w:val="24"/>
          <w:szCs w:val="24"/>
          <w:highlight w:val="none"/>
          <w:lang w:val="en-US" w:eastAsia="zh-CN" w:bidi="ar-SA"/>
        </w:rPr>
        <w:t>开户行: 中国建设银行深圳田背支行</w:t>
      </w:r>
    </w:p>
    <w:p>
      <w:pPr>
        <w:pStyle w:val="19"/>
        <w:adjustRightInd w:val="0"/>
        <w:snapToGrid w:val="0"/>
        <w:spacing w:line="360" w:lineRule="auto"/>
        <w:ind w:firstLine="0" w:firstLineChars="0"/>
        <w:rPr>
          <w:rFonts w:hint="default" w:ascii="仿宋" w:hAnsi="仿宋" w:eastAsia="宋体" w:cs="Times New Roman"/>
          <w:b w:val="0"/>
          <w:bCs/>
          <w:color w:val="auto"/>
          <w:kern w:val="2"/>
          <w:sz w:val="24"/>
          <w:szCs w:val="24"/>
          <w:highlight w:val="none"/>
          <w:lang w:val="en-US" w:eastAsia="zh-CN" w:bidi="ar-SA"/>
        </w:rPr>
      </w:pPr>
      <w:r>
        <w:rPr>
          <w:rFonts w:hint="default" w:ascii="仿宋" w:hAnsi="仿宋" w:eastAsia="宋体" w:cs="Times New Roman"/>
          <w:b w:val="0"/>
          <w:bCs/>
          <w:color w:val="auto"/>
          <w:kern w:val="2"/>
          <w:sz w:val="24"/>
          <w:szCs w:val="24"/>
          <w:highlight w:val="none"/>
          <w:lang w:val="en-US" w:eastAsia="zh-CN" w:bidi="ar-SA"/>
        </w:rPr>
        <w:t>账号: 44201514500056287140-0004</w:t>
      </w:r>
    </w:p>
    <w:p>
      <w:pPr>
        <w:pStyle w:val="19"/>
        <w:adjustRightInd w:val="0"/>
        <w:snapToGrid w:val="0"/>
        <w:spacing w:line="360" w:lineRule="auto"/>
        <w:ind w:firstLine="0" w:firstLineChars="0"/>
        <w:rPr>
          <w:rFonts w:hint="default"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2</w:t>
      </w:r>
      <w:r>
        <w:rPr>
          <w:rFonts w:hint="default" w:ascii="仿宋" w:hAnsi="仿宋" w:eastAsia="宋体" w:cs="Times New Roman"/>
          <w:b w:val="0"/>
          <w:bCs/>
          <w:color w:val="auto"/>
          <w:kern w:val="2"/>
          <w:sz w:val="24"/>
          <w:szCs w:val="24"/>
          <w:highlight w:val="none"/>
          <w:lang w:val="en-US" w:eastAsia="zh-CN" w:bidi="ar-SA"/>
        </w:rPr>
        <w:t>）投标人须将投标保证金收讫证明扫描件</w:t>
      </w:r>
      <w:r>
        <w:rPr>
          <w:rFonts w:hint="eastAsia" w:ascii="仿宋" w:hAnsi="仿宋" w:eastAsia="宋体" w:cs="Times New Roman"/>
          <w:b w:val="0"/>
          <w:bCs/>
          <w:color w:val="auto"/>
          <w:kern w:val="2"/>
          <w:sz w:val="24"/>
          <w:szCs w:val="24"/>
          <w:highlight w:val="none"/>
          <w:lang w:val="en-US" w:eastAsia="zh-CN" w:bidi="ar-SA"/>
        </w:rPr>
        <w:t>加盖公章</w:t>
      </w:r>
      <w:r>
        <w:rPr>
          <w:rFonts w:hint="default" w:ascii="仿宋" w:hAnsi="仿宋" w:eastAsia="宋体" w:cs="Times New Roman"/>
          <w:b w:val="0"/>
          <w:bCs/>
          <w:color w:val="auto"/>
          <w:kern w:val="2"/>
          <w:sz w:val="24"/>
          <w:szCs w:val="24"/>
          <w:highlight w:val="none"/>
          <w:lang w:val="en-US" w:eastAsia="zh-CN" w:bidi="ar-SA"/>
        </w:rPr>
        <w:t>或银行保函或投标保证保险</w:t>
      </w:r>
      <w:r>
        <w:rPr>
          <w:rFonts w:hint="eastAsia" w:ascii="仿宋" w:hAnsi="仿宋" w:eastAsia="宋体" w:cs="Times New Roman"/>
          <w:b w:val="0"/>
          <w:bCs/>
          <w:color w:val="auto"/>
          <w:kern w:val="2"/>
          <w:sz w:val="24"/>
          <w:szCs w:val="24"/>
          <w:highlight w:val="none"/>
          <w:lang w:val="en-US" w:eastAsia="zh-CN" w:bidi="ar-SA"/>
        </w:rPr>
        <w:t>扫描件</w:t>
      </w:r>
      <w:r>
        <w:rPr>
          <w:rFonts w:hint="default" w:ascii="仿宋" w:hAnsi="仿宋" w:eastAsia="宋体" w:cs="Times New Roman"/>
          <w:b w:val="0"/>
          <w:bCs/>
          <w:color w:val="auto"/>
          <w:kern w:val="2"/>
          <w:sz w:val="24"/>
          <w:szCs w:val="24"/>
          <w:highlight w:val="none"/>
          <w:lang w:val="en-US" w:eastAsia="zh-CN" w:bidi="ar-SA"/>
        </w:rPr>
        <w:t>放入</w:t>
      </w:r>
      <w:r>
        <w:rPr>
          <w:rFonts w:hint="eastAsia" w:ascii="仿宋" w:hAnsi="仿宋" w:eastAsia="宋体" w:cs="Times New Roman"/>
          <w:b w:val="0"/>
          <w:bCs/>
          <w:color w:val="auto"/>
          <w:kern w:val="2"/>
          <w:sz w:val="24"/>
          <w:szCs w:val="24"/>
          <w:highlight w:val="none"/>
          <w:lang w:val="en-US" w:eastAsia="zh-CN" w:bidi="ar-SA"/>
        </w:rPr>
        <w:t>资格投标</w:t>
      </w:r>
      <w:r>
        <w:rPr>
          <w:rFonts w:hint="default" w:ascii="仿宋" w:hAnsi="仿宋" w:eastAsia="宋体" w:cs="Times New Roman"/>
          <w:b w:val="0"/>
          <w:bCs/>
          <w:color w:val="auto"/>
          <w:kern w:val="2"/>
          <w:sz w:val="24"/>
          <w:szCs w:val="24"/>
          <w:highlight w:val="none"/>
          <w:lang w:val="en-US" w:eastAsia="zh-CN" w:bidi="ar-SA"/>
        </w:rPr>
        <w:t>文件中。银行保函或投标保证保险</w:t>
      </w:r>
      <w:r>
        <w:rPr>
          <w:rFonts w:hint="eastAsia" w:ascii="仿宋" w:hAnsi="仿宋" w:eastAsia="宋体" w:cs="Times New Roman"/>
          <w:b w:val="0"/>
          <w:bCs/>
          <w:color w:val="auto"/>
          <w:kern w:val="2"/>
          <w:sz w:val="24"/>
          <w:szCs w:val="24"/>
          <w:highlight w:val="none"/>
          <w:lang w:val="en-US" w:eastAsia="zh-CN" w:bidi="ar-SA"/>
        </w:rPr>
        <w:t>原件单独放入投标文件。</w:t>
      </w:r>
    </w:p>
    <w:p>
      <w:pPr>
        <w:pStyle w:val="19"/>
        <w:adjustRightInd w:val="0"/>
        <w:snapToGrid w:val="0"/>
        <w:spacing w:line="360" w:lineRule="auto"/>
        <w:ind w:firstLine="0" w:firstLineChars="0"/>
        <w:rPr>
          <w:rFonts w:hint="default"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3</w:t>
      </w:r>
      <w:r>
        <w:rPr>
          <w:rFonts w:hint="default" w:ascii="仿宋" w:hAnsi="仿宋" w:eastAsia="宋体" w:cs="Times New Roman"/>
          <w:b w:val="0"/>
          <w:bCs/>
          <w:color w:val="auto"/>
          <w:kern w:val="2"/>
          <w:sz w:val="24"/>
          <w:szCs w:val="24"/>
          <w:highlight w:val="none"/>
          <w:lang w:val="en-US" w:eastAsia="zh-CN" w:bidi="ar-SA"/>
        </w:rPr>
        <w:t>）根据深圳市住房和建设局深建市场〔2020〕10号文规定，招标工程投标担保可通过保证金、银行保函等多种形式提交，其中保证金须从投标人基本账户汇出，银行保函须由投标人基本账户开户银行所在网点或其上级银行机构出具。提交投标担保时无需同时提供银行上下级关系隶属证明或基本账户开户证明，中标后可根据招标人要求补充相关证明材料。投标过程中，各投标人因不按上述原则提交投标担保被质疑或投诉，且无法提供相关证明文件的，招标人可取消其投标资格。</w:t>
      </w:r>
    </w:p>
    <w:p>
      <w:pPr>
        <w:pStyle w:val="19"/>
        <w:adjustRightInd w:val="0"/>
        <w:snapToGrid w:val="0"/>
        <w:spacing w:line="360" w:lineRule="auto"/>
        <w:ind w:firstLine="0" w:firstLineChars="0"/>
        <w:rPr>
          <w:rFonts w:hint="default" w:ascii="仿宋" w:hAnsi="仿宋" w:eastAsia="宋体" w:cs="Times New Roman"/>
          <w:b w:val="0"/>
          <w:bCs/>
          <w:color w:val="auto"/>
          <w:kern w:val="2"/>
          <w:sz w:val="24"/>
          <w:szCs w:val="24"/>
          <w:highlight w:val="none"/>
          <w:lang w:val="en-US" w:eastAsia="zh-CN" w:bidi="ar-SA"/>
        </w:rPr>
      </w:pPr>
      <w:r>
        <w:rPr>
          <w:rFonts w:hint="eastAsia" w:ascii="仿宋" w:hAnsi="仿宋" w:eastAsia="宋体" w:cs="Times New Roman"/>
          <w:b w:val="0"/>
          <w:bCs/>
          <w:color w:val="auto"/>
          <w:kern w:val="2"/>
          <w:sz w:val="24"/>
          <w:szCs w:val="24"/>
          <w:highlight w:val="none"/>
          <w:lang w:val="en-US" w:eastAsia="zh-CN" w:bidi="ar-SA"/>
        </w:rPr>
        <w:t>4</w:t>
      </w:r>
      <w:r>
        <w:rPr>
          <w:rFonts w:hint="default" w:ascii="仿宋" w:hAnsi="仿宋" w:eastAsia="宋体" w:cs="Times New Roman"/>
          <w:b w:val="0"/>
          <w:bCs/>
          <w:color w:val="auto"/>
          <w:kern w:val="2"/>
          <w:sz w:val="24"/>
          <w:szCs w:val="24"/>
          <w:highlight w:val="none"/>
          <w:lang w:val="en-US" w:eastAsia="zh-CN" w:bidi="ar-SA"/>
        </w:rPr>
        <w:t>）根据深圳市住房和建设局深建市场〔2020〕30号文规定，投标人在投标时提交与保险公司签订的投标保证保险合同或保险单的，视同已经缴纳投标保证金。保费必须通过投标人基本账户支付，账户名称应与投标单位名称一致，不得以分支机构等其他名义提交，且应将基本账户开户许可证或基本存款账户信息表复印件及保费转账凭证编入投标文件中。</w:t>
      </w:r>
    </w:p>
    <w:p>
      <w:pPr>
        <w:pStyle w:val="19"/>
        <w:adjustRightInd w:val="0"/>
        <w:snapToGrid w:val="0"/>
        <w:spacing w:line="360" w:lineRule="auto"/>
        <w:ind w:firstLine="0" w:firstLineChars="0"/>
        <w:rPr>
          <w:rFonts w:hint="eastAsia" w:ascii="仿宋" w:hAnsi="仿宋" w:eastAsia="宋体" w:cs="Times New Roman"/>
          <w:b/>
          <w:color w:val="auto"/>
          <w:kern w:val="2"/>
          <w:sz w:val="24"/>
          <w:szCs w:val="24"/>
          <w:highlight w:val="none"/>
          <w:lang w:val="en-US" w:eastAsia="zh-CN" w:bidi="ar-SA"/>
        </w:rPr>
      </w:pPr>
      <w:r>
        <w:rPr>
          <w:rFonts w:hint="eastAsia" w:ascii="仿宋" w:hAnsi="仿宋" w:eastAsia="宋体" w:cs="Times New Roman"/>
          <w:b/>
          <w:color w:val="auto"/>
          <w:kern w:val="2"/>
          <w:sz w:val="24"/>
          <w:szCs w:val="24"/>
          <w:highlight w:val="none"/>
          <w:lang w:val="en-US" w:eastAsia="zh-CN" w:bidi="ar-SA"/>
        </w:rPr>
        <w:t>其他说明：</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highlight w:val="none"/>
        </w:rPr>
        <w:t>1、</w:t>
      </w:r>
      <w:r>
        <w:rPr>
          <w:rFonts w:hint="eastAsia" w:ascii="仿宋" w:hAnsi="仿宋" w:eastAsia="仿宋"/>
          <w:color w:val="auto"/>
          <w:szCs w:val="21"/>
          <w:highlight w:val="none"/>
        </w:rPr>
        <w:t>根据《深圳市建筑工务署小型工程简易招标管理办法(2018)》及《深圳市</w:t>
      </w:r>
      <w:r>
        <w:rPr>
          <w:rFonts w:ascii="仿宋" w:hAnsi="仿宋" w:eastAsia="仿宋"/>
          <w:color w:val="auto"/>
          <w:szCs w:val="21"/>
          <w:highlight w:val="none"/>
        </w:rPr>
        <w:t>2021-2022</w:t>
      </w:r>
      <w:r>
        <w:rPr>
          <w:rFonts w:hint="eastAsia" w:ascii="仿宋" w:hAnsi="仿宋" w:eastAsia="仿宋"/>
          <w:color w:val="auto"/>
          <w:szCs w:val="21"/>
          <w:highlight w:val="none"/>
        </w:rPr>
        <w:t>年政府集中采购目录及限额标准》（深财购〔2020〕</w:t>
      </w:r>
      <w:r>
        <w:rPr>
          <w:rFonts w:ascii="仿宋" w:hAnsi="仿宋" w:eastAsia="仿宋"/>
          <w:color w:val="auto"/>
          <w:szCs w:val="21"/>
          <w:highlight w:val="none"/>
        </w:rPr>
        <w:t>60</w:t>
      </w:r>
      <w:r>
        <w:rPr>
          <w:rFonts w:hint="eastAsia" w:ascii="仿宋" w:hAnsi="仿宋" w:eastAsia="仿宋"/>
          <w:color w:val="auto"/>
          <w:szCs w:val="21"/>
          <w:highlight w:val="none"/>
        </w:rPr>
        <w:t>号）的有关规定，</w:t>
      </w:r>
      <w:r>
        <w:rPr>
          <w:rFonts w:hint="eastAsia" w:ascii="仿宋" w:hAnsi="仿宋" w:eastAsia="仿宋"/>
          <w:color w:val="auto"/>
          <w:szCs w:val="21"/>
          <w:highlight w:val="none"/>
          <w:lang w:val="en-US" w:eastAsia="zh-CN"/>
        </w:rPr>
        <w:t>货物类</w:t>
      </w:r>
      <w:r>
        <w:rPr>
          <w:rFonts w:hint="eastAsia" w:ascii="仿宋" w:hAnsi="仿宋" w:eastAsia="仿宋"/>
          <w:color w:val="auto"/>
          <w:szCs w:val="21"/>
          <w:highlight w:val="none"/>
        </w:rPr>
        <w:t>项目</w:t>
      </w:r>
      <w:r>
        <w:rPr>
          <w:rFonts w:hint="eastAsia" w:ascii="仿宋" w:hAnsi="仿宋" w:eastAsia="仿宋"/>
          <w:color w:val="auto"/>
          <w:szCs w:val="21"/>
          <w:highlight w:val="none"/>
          <w:lang w:eastAsia="zh-CN"/>
        </w:rPr>
        <w:t>小于</w:t>
      </w:r>
      <w:r>
        <w:rPr>
          <w:rFonts w:hint="eastAsia" w:ascii="仿宋" w:hAnsi="仿宋" w:eastAsia="仿宋"/>
          <w:color w:val="auto"/>
          <w:szCs w:val="21"/>
          <w:highlight w:val="none"/>
          <w:lang w:val="en-US" w:eastAsia="zh-CN"/>
        </w:rPr>
        <w:t>100</w:t>
      </w:r>
      <w:r>
        <w:rPr>
          <w:rFonts w:hint="eastAsia" w:ascii="仿宋" w:hAnsi="仿宋" w:eastAsia="仿宋"/>
          <w:color w:val="auto"/>
          <w:szCs w:val="21"/>
          <w:highlight w:val="none"/>
        </w:rPr>
        <w:t>万元，可采用小型简易招标。</w:t>
      </w:r>
    </w:p>
    <w:p>
      <w:pPr>
        <w:pStyle w:val="19"/>
        <w:adjustRightInd w:val="0"/>
        <w:snapToGrid w:val="0"/>
        <w:spacing w:line="360" w:lineRule="auto"/>
        <w:ind w:firstLine="480"/>
        <w:rPr>
          <w:rFonts w:ascii="仿宋" w:hAnsi="仿宋" w:eastAsia="仿宋"/>
          <w:color w:val="auto"/>
          <w:szCs w:val="21"/>
          <w:highlight w:val="none"/>
        </w:rPr>
      </w:pPr>
      <w:r>
        <w:rPr>
          <w:rFonts w:ascii="仿宋" w:hAnsi="仿宋" w:eastAsia="仿宋"/>
          <w:color w:val="auto"/>
          <w:szCs w:val="21"/>
          <w:highlight w:val="none"/>
        </w:rPr>
        <w:t>本工程采用小型工程</w:t>
      </w:r>
      <w:r>
        <w:rPr>
          <w:rFonts w:hint="eastAsia" w:ascii="仿宋" w:hAnsi="仿宋" w:eastAsia="仿宋"/>
          <w:color w:val="auto"/>
          <w:szCs w:val="21"/>
          <w:highlight w:val="none"/>
        </w:rPr>
        <w:t>简易</w:t>
      </w:r>
      <w:r>
        <w:rPr>
          <w:rFonts w:ascii="仿宋" w:hAnsi="仿宋" w:eastAsia="仿宋"/>
          <w:color w:val="auto"/>
          <w:szCs w:val="21"/>
          <w:highlight w:val="none"/>
        </w:rPr>
        <w:t>招标形式</w:t>
      </w:r>
      <w:r>
        <w:rPr>
          <w:rFonts w:hint="eastAsia" w:ascii="仿宋" w:hAnsi="仿宋" w:eastAsia="仿宋"/>
          <w:color w:val="auto"/>
          <w:szCs w:val="21"/>
          <w:highlight w:val="none"/>
        </w:rPr>
        <w:t>（</w:t>
      </w:r>
      <w:r>
        <w:rPr>
          <w:rFonts w:hint="eastAsia" w:ascii="仿宋" w:hAnsi="仿宋" w:eastAsia="仿宋"/>
          <w:color w:val="auto"/>
          <w:szCs w:val="21"/>
          <w:highlight w:val="none"/>
          <w:lang w:val="en-US" w:eastAsia="zh-CN"/>
        </w:rPr>
        <w:t>货物</w:t>
      </w:r>
      <w:r>
        <w:rPr>
          <w:rFonts w:hint="eastAsia" w:ascii="仿宋" w:hAnsi="仿宋" w:eastAsia="仿宋"/>
          <w:color w:val="auto"/>
          <w:szCs w:val="21"/>
          <w:highlight w:val="none"/>
        </w:rPr>
        <w:t>类）</w:t>
      </w:r>
      <w:r>
        <w:rPr>
          <w:rFonts w:ascii="仿宋" w:hAnsi="仿宋" w:eastAsia="仿宋"/>
          <w:color w:val="auto"/>
          <w:szCs w:val="21"/>
          <w:highlight w:val="none"/>
        </w:rPr>
        <w:t>，</w:t>
      </w:r>
      <w:r>
        <w:rPr>
          <w:rFonts w:hint="eastAsia" w:ascii="仿宋" w:hAnsi="仿宋" w:eastAsia="仿宋"/>
          <w:color w:val="auto"/>
          <w:szCs w:val="21"/>
          <w:highlight w:val="none"/>
        </w:rPr>
        <w:t>最终结算金额小于</w:t>
      </w:r>
      <w:r>
        <w:rPr>
          <w:rFonts w:hint="eastAsia" w:ascii="仿宋" w:hAnsi="仿宋" w:eastAsia="仿宋"/>
          <w:color w:val="auto"/>
          <w:szCs w:val="21"/>
          <w:highlight w:val="none"/>
          <w:lang w:val="en-US" w:eastAsia="zh-CN"/>
        </w:rPr>
        <w:t>100</w:t>
      </w:r>
      <w:r>
        <w:rPr>
          <w:rFonts w:hint="eastAsia" w:ascii="仿宋" w:hAnsi="仿宋" w:eastAsia="仿宋"/>
          <w:color w:val="auto"/>
          <w:szCs w:val="21"/>
          <w:highlight w:val="none"/>
        </w:rPr>
        <w:t>万元，最终结算价以《深圳市财政投资评审中心评审报告》的评审结果为准，请投标人根据图纸、技术要求及工程量清单合理报价，超过最高上限价投标报价按无效标处理。</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rPr>
        <w:t>投标人应当仔细阅读上述文件并承诺，严格执行招标公告、施工图纸及报价清单等文件的相关约定，充分考虑各种风险，合理竞价。</w:t>
      </w:r>
    </w:p>
    <w:p>
      <w:pPr>
        <w:pStyle w:val="19"/>
        <w:adjustRightInd w:val="0"/>
        <w:snapToGrid w:val="0"/>
        <w:spacing w:line="360" w:lineRule="auto"/>
        <w:ind w:firstLine="480"/>
        <w:rPr>
          <w:rFonts w:ascii="仿宋" w:hAnsi="仿宋" w:eastAsia="仿宋"/>
          <w:color w:val="auto"/>
          <w:highlight w:val="none"/>
        </w:rPr>
      </w:pPr>
      <w:r>
        <w:rPr>
          <w:rFonts w:hint="eastAsia" w:ascii="仿宋" w:hAnsi="仿宋" w:eastAsia="仿宋"/>
          <w:color w:val="auto"/>
          <w:highlight w:val="none"/>
          <w:lang w:val="en-US" w:eastAsia="zh-CN"/>
        </w:rPr>
        <w:t>2</w:t>
      </w:r>
      <w:r>
        <w:rPr>
          <w:rFonts w:hint="eastAsia" w:ascii="仿宋" w:hAnsi="仿宋" w:eastAsia="仿宋"/>
          <w:color w:val="auto"/>
          <w:highlight w:val="none"/>
        </w:rPr>
        <w:t>、投标人根据本招标公告的要求，详细编写投标文件，投标文件正本一份、副本</w:t>
      </w:r>
      <w:r>
        <w:rPr>
          <w:rFonts w:hint="eastAsia" w:ascii="仿宋" w:hAnsi="仿宋" w:eastAsia="仿宋"/>
          <w:color w:val="auto"/>
          <w:highlight w:val="none"/>
          <w:lang w:val="en-US" w:eastAsia="zh-CN"/>
        </w:rPr>
        <w:t>二</w:t>
      </w:r>
      <w:r>
        <w:rPr>
          <w:rFonts w:hint="eastAsia" w:ascii="仿宋" w:hAnsi="仿宋" w:eastAsia="仿宋"/>
          <w:color w:val="auto"/>
          <w:highlight w:val="none"/>
        </w:rPr>
        <w:t>份和电子版文件（</w:t>
      </w:r>
      <w:r>
        <w:rPr>
          <w:rFonts w:hint="eastAsia" w:ascii="仿宋" w:hAnsi="仿宋" w:eastAsia="仿宋"/>
          <w:color w:val="auto"/>
          <w:szCs w:val="21"/>
          <w:highlight w:val="none"/>
        </w:rPr>
        <w:t>需包含投标计价</w:t>
      </w:r>
      <w:r>
        <w:rPr>
          <w:rFonts w:hint="eastAsia" w:ascii="仿宋" w:hAnsi="仿宋" w:eastAsia="仿宋"/>
          <w:color w:val="auto"/>
          <w:szCs w:val="21"/>
          <w:highlight w:val="none"/>
          <w:lang w:eastAsia="zh-CN"/>
        </w:rPr>
        <w:t>Qdg</w:t>
      </w:r>
      <w:r>
        <w:rPr>
          <w:rFonts w:hint="eastAsia" w:ascii="仿宋" w:hAnsi="仿宋" w:eastAsia="仿宋"/>
          <w:color w:val="auto"/>
          <w:szCs w:val="21"/>
          <w:highlight w:val="none"/>
        </w:rPr>
        <w:t>文件</w:t>
      </w:r>
      <w:r>
        <w:rPr>
          <w:rFonts w:hint="eastAsia" w:ascii="仿宋" w:hAnsi="仿宋" w:eastAsia="仿宋"/>
          <w:color w:val="auto"/>
          <w:highlight w:val="none"/>
        </w:rPr>
        <w:t>）一份。正本和副本的封面上应清楚地标记“正本”或“副本”的字样。当正本、副本、电子版不一致时，以纸质正本为准。</w:t>
      </w:r>
    </w:p>
    <w:p>
      <w:pPr>
        <w:pStyle w:val="19"/>
        <w:adjustRightInd w:val="0"/>
        <w:snapToGrid w:val="0"/>
        <w:spacing w:line="360" w:lineRule="auto"/>
        <w:ind w:firstLine="480"/>
        <w:rPr>
          <w:rFonts w:ascii="仿宋" w:hAnsi="仿宋" w:eastAsia="仿宋"/>
          <w:color w:val="auto"/>
          <w:highlight w:val="none"/>
        </w:rPr>
      </w:pPr>
      <w:r>
        <w:rPr>
          <w:rFonts w:hint="eastAsia" w:ascii="仿宋" w:hAnsi="仿宋" w:eastAsia="仿宋"/>
          <w:color w:val="auto"/>
          <w:highlight w:val="none"/>
          <w:lang w:val="en-US" w:eastAsia="zh-CN"/>
        </w:rPr>
        <w:t>3</w:t>
      </w:r>
      <w:r>
        <w:rPr>
          <w:rFonts w:hint="eastAsia" w:ascii="仿宋" w:hAnsi="仿宋" w:eastAsia="仿宋"/>
          <w:color w:val="auto"/>
          <w:highlight w:val="none"/>
        </w:rPr>
        <w:t>、投标文件的内容及格式</w:t>
      </w:r>
    </w:p>
    <w:p>
      <w:pPr>
        <w:pStyle w:val="19"/>
        <w:adjustRightInd w:val="0"/>
        <w:snapToGrid w:val="0"/>
        <w:spacing w:line="360" w:lineRule="auto"/>
        <w:ind w:firstLine="480"/>
        <w:rPr>
          <w:rFonts w:ascii="仿宋" w:hAnsi="仿宋" w:eastAsia="仿宋"/>
          <w:color w:val="auto"/>
          <w:highlight w:val="none"/>
        </w:rPr>
      </w:pPr>
      <w:r>
        <w:rPr>
          <w:rFonts w:hint="eastAsia" w:ascii="仿宋" w:hAnsi="仿宋" w:eastAsia="仿宋"/>
          <w:color w:val="auto"/>
          <w:highlight w:val="none"/>
        </w:rPr>
        <w:t>1）投标文件应打印或复印，并装订成册，并加盖投标人企业及企业法定代表人印章和法人授权代理人的签字，签字用不褪色笔（钢笔、原珠笔）书写；</w:t>
      </w:r>
    </w:p>
    <w:p>
      <w:pPr>
        <w:pStyle w:val="19"/>
        <w:adjustRightInd w:val="0"/>
        <w:snapToGrid w:val="0"/>
        <w:spacing w:line="360" w:lineRule="auto"/>
        <w:ind w:firstLine="480"/>
        <w:rPr>
          <w:rFonts w:ascii="仿宋" w:hAnsi="仿宋" w:eastAsia="仿宋"/>
          <w:color w:val="auto"/>
          <w:highlight w:val="none"/>
        </w:rPr>
      </w:pPr>
      <w:r>
        <w:rPr>
          <w:rFonts w:hint="eastAsia" w:ascii="仿宋" w:hAnsi="仿宋" w:eastAsia="仿宋"/>
          <w:color w:val="auto"/>
          <w:highlight w:val="none"/>
        </w:rPr>
        <w:t>2）投标文件各项内容的填写不得任意修改。如有修改之处应加盖</w:t>
      </w:r>
      <w:r>
        <w:rPr>
          <w:rFonts w:hint="eastAsia" w:ascii="仿宋" w:hAnsi="仿宋" w:eastAsia="仿宋"/>
          <w:color w:val="auto"/>
          <w:highlight w:val="none"/>
          <w:lang w:val="en-US" w:eastAsia="zh-CN"/>
        </w:rPr>
        <w:t>企业公章</w:t>
      </w:r>
      <w:r>
        <w:rPr>
          <w:rFonts w:hint="eastAsia" w:ascii="仿宋" w:hAnsi="仿宋" w:eastAsia="仿宋"/>
          <w:color w:val="auto"/>
          <w:highlight w:val="none"/>
        </w:rPr>
        <w:t>及企业法定代表人印章；</w:t>
      </w:r>
    </w:p>
    <w:p>
      <w:pPr>
        <w:pStyle w:val="19"/>
        <w:adjustRightInd w:val="0"/>
        <w:snapToGrid w:val="0"/>
        <w:spacing w:line="360" w:lineRule="auto"/>
        <w:ind w:firstLine="480"/>
        <w:rPr>
          <w:rFonts w:ascii="仿宋" w:hAnsi="仿宋" w:eastAsia="仿宋"/>
          <w:color w:val="auto"/>
          <w:highlight w:val="none"/>
        </w:rPr>
      </w:pPr>
      <w:r>
        <w:rPr>
          <w:rFonts w:hint="eastAsia" w:ascii="仿宋" w:hAnsi="仿宋" w:eastAsia="仿宋"/>
          <w:color w:val="auto"/>
          <w:highlight w:val="none"/>
        </w:rPr>
        <w:t>3）投标文件必须密封，封口上加盖</w:t>
      </w:r>
      <w:r>
        <w:rPr>
          <w:rFonts w:hint="eastAsia" w:ascii="仿宋" w:hAnsi="仿宋" w:eastAsia="仿宋"/>
          <w:color w:val="auto"/>
          <w:highlight w:val="none"/>
          <w:lang w:val="en-US" w:eastAsia="zh-CN"/>
        </w:rPr>
        <w:t>企业公章</w:t>
      </w:r>
      <w:r>
        <w:rPr>
          <w:rFonts w:hint="eastAsia" w:ascii="仿宋" w:hAnsi="仿宋" w:eastAsia="仿宋"/>
          <w:color w:val="auto"/>
          <w:highlight w:val="none"/>
        </w:rPr>
        <w:t>。</w:t>
      </w:r>
    </w:p>
    <w:p>
      <w:pPr>
        <w:pStyle w:val="19"/>
        <w:adjustRightInd w:val="0"/>
        <w:snapToGrid w:val="0"/>
        <w:spacing w:line="360" w:lineRule="auto"/>
        <w:ind w:firstLine="480"/>
        <w:rPr>
          <w:rFonts w:ascii="仿宋" w:hAnsi="仿宋" w:eastAsia="仿宋"/>
          <w:color w:val="auto"/>
          <w:highlight w:val="none"/>
        </w:rPr>
      </w:pPr>
      <w:r>
        <w:rPr>
          <w:rFonts w:hint="eastAsia" w:ascii="仿宋" w:hAnsi="仿宋" w:eastAsia="仿宋"/>
          <w:color w:val="auto"/>
          <w:highlight w:val="none"/>
          <w:lang w:val="en-US" w:eastAsia="zh-CN"/>
        </w:rPr>
        <w:t>4</w:t>
      </w:r>
      <w:r>
        <w:rPr>
          <w:rFonts w:hint="eastAsia" w:ascii="仿宋" w:hAnsi="仿宋" w:eastAsia="仿宋"/>
          <w:color w:val="auto"/>
          <w:highlight w:val="none"/>
        </w:rPr>
        <w:t>、投标文件的装订、密封和标记</w:t>
      </w:r>
    </w:p>
    <w:p>
      <w:pPr>
        <w:pStyle w:val="19"/>
        <w:adjustRightInd w:val="0"/>
        <w:snapToGrid w:val="0"/>
        <w:spacing w:line="360" w:lineRule="auto"/>
        <w:ind w:firstLine="480"/>
        <w:rPr>
          <w:rFonts w:ascii="仿宋" w:hAnsi="仿宋" w:eastAsia="仿宋"/>
          <w:color w:val="auto"/>
          <w:highlight w:val="none"/>
        </w:rPr>
      </w:pPr>
      <w:r>
        <w:rPr>
          <w:rFonts w:hint="eastAsia" w:ascii="仿宋" w:hAnsi="仿宋" w:eastAsia="仿宋"/>
          <w:color w:val="auto"/>
          <w:highlight w:val="none"/>
        </w:rPr>
        <w:t>1）投标文件的装订要求：投标文件均使用A4纸</w:t>
      </w:r>
      <w:r>
        <w:rPr>
          <w:rFonts w:hint="eastAsia" w:ascii="仿宋" w:hAnsi="仿宋" w:eastAsia="仿宋"/>
          <w:color w:val="auto"/>
          <w:highlight w:val="none"/>
          <w:lang w:val="en-US" w:eastAsia="zh-CN"/>
        </w:rPr>
        <w:t>双</w:t>
      </w:r>
      <w:r>
        <w:rPr>
          <w:rFonts w:hint="eastAsia" w:ascii="仿宋" w:hAnsi="仿宋" w:eastAsia="仿宋"/>
          <w:color w:val="auto"/>
          <w:highlight w:val="none"/>
        </w:rPr>
        <w:t>面打印，并使用文件袋，在封口粘贴处加盖密封企业公章。</w:t>
      </w:r>
    </w:p>
    <w:p>
      <w:pPr>
        <w:pStyle w:val="19"/>
        <w:adjustRightInd w:val="0"/>
        <w:snapToGrid w:val="0"/>
        <w:spacing w:line="360" w:lineRule="auto"/>
        <w:ind w:firstLine="480"/>
        <w:rPr>
          <w:rFonts w:ascii="仿宋" w:hAnsi="仿宋" w:eastAsia="仿宋"/>
          <w:color w:val="auto"/>
          <w:highlight w:val="none"/>
        </w:rPr>
      </w:pPr>
      <w:r>
        <w:rPr>
          <w:rFonts w:hint="eastAsia" w:ascii="仿宋" w:hAnsi="仿宋" w:eastAsia="仿宋"/>
          <w:color w:val="auto"/>
          <w:highlight w:val="none"/>
        </w:rPr>
        <w:t>2）投标文件需</w:t>
      </w:r>
      <w:r>
        <w:rPr>
          <w:rFonts w:hint="eastAsia" w:ascii="仿宋" w:hAnsi="仿宋" w:eastAsia="仿宋"/>
          <w:color w:val="auto"/>
          <w:highlight w:val="none"/>
          <w:lang w:val="en-US" w:eastAsia="zh-CN"/>
        </w:rPr>
        <w:t>封</w:t>
      </w:r>
      <w:r>
        <w:rPr>
          <w:rFonts w:hint="eastAsia" w:ascii="仿宋" w:hAnsi="仿宋" w:eastAsia="仿宋"/>
          <w:color w:val="auto"/>
          <w:highlight w:val="none"/>
        </w:rPr>
        <w:t>装在一起，并按正副本分别单独装订成册，并在文件右上角处清楚地表明“正本”、“副本”。当正本、副本、电子版不一致时，以纸质正本为准。</w:t>
      </w:r>
    </w:p>
    <w:p>
      <w:pPr>
        <w:pStyle w:val="19"/>
        <w:adjustRightInd w:val="0"/>
        <w:snapToGrid w:val="0"/>
        <w:spacing w:line="360" w:lineRule="auto"/>
        <w:ind w:firstLine="480"/>
        <w:rPr>
          <w:rFonts w:ascii="仿宋" w:hAnsi="仿宋" w:eastAsia="仿宋"/>
          <w:color w:val="auto"/>
          <w:highlight w:val="none"/>
        </w:rPr>
      </w:pPr>
      <w:r>
        <w:rPr>
          <w:rFonts w:hint="eastAsia" w:ascii="仿宋" w:hAnsi="仿宋" w:eastAsia="仿宋"/>
          <w:color w:val="auto"/>
          <w:highlight w:val="none"/>
        </w:rPr>
        <w:t>3）在投标文件密封袋上均应写明投标人名称，并注明下列识别标志：</w:t>
      </w:r>
    </w:p>
    <w:p>
      <w:pPr>
        <w:pStyle w:val="19"/>
        <w:adjustRightInd w:val="0"/>
        <w:snapToGrid w:val="0"/>
        <w:spacing w:line="360" w:lineRule="auto"/>
        <w:ind w:firstLine="0" w:firstLineChars="0"/>
        <w:rPr>
          <w:rFonts w:ascii="仿宋" w:hAnsi="仿宋" w:eastAsia="仿宋"/>
          <w:b/>
          <w:color w:val="auto"/>
          <w:highlight w:val="none"/>
          <w:lang w:eastAsia="zh-CN"/>
        </w:rPr>
      </w:pPr>
      <w:r>
        <w:rPr>
          <w:rFonts w:hint="eastAsia" w:ascii="仿宋" w:hAnsi="仿宋" w:eastAsia="仿宋"/>
          <w:b/>
          <w:color w:val="auto"/>
          <w:highlight w:val="none"/>
        </w:rPr>
        <w:t>“工程名称：</w:t>
      </w:r>
      <w:r>
        <w:rPr>
          <w:rFonts w:hint="eastAsia" w:ascii="仿宋" w:hAnsi="仿宋" w:eastAsia="仿宋"/>
          <w:b/>
          <w:color w:val="auto"/>
          <w:highlight w:val="none"/>
          <w:lang w:eastAsia="zh-CN"/>
        </w:rPr>
        <w:t>深圳职业技术学院北校区一期项目标识采购及安装工程</w:t>
      </w:r>
    </w:p>
    <w:p>
      <w:pPr>
        <w:pStyle w:val="19"/>
        <w:adjustRightInd w:val="0"/>
        <w:snapToGrid w:val="0"/>
        <w:spacing w:line="360" w:lineRule="auto"/>
        <w:ind w:firstLine="482"/>
        <w:rPr>
          <w:rFonts w:ascii="仿宋" w:hAnsi="仿宋" w:eastAsia="仿宋"/>
          <w:b/>
          <w:color w:val="auto"/>
          <w:highlight w:val="none"/>
        </w:rPr>
      </w:pPr>
      <w:r>
        <w:rPr>
          <w:rFonts w:hint="eastAsia" w:ascii="仿宋" w:hAnsi="仿宋" w:eastAsia="仿宋"/>
          <w:b/>
          <w:color w:val="auto"/>
          <w:highlight w:val="none"/>
        </w:rPr>
        <w:t xml:space="preserve"> 202</w:t>
      </w:r>
      <w:r>
        <w:rPr>
          <w:rFonts w:ascii="仿宋" w:hAnsi="仿宋" w:eastAsia="仿宋"/>
          <w:b/>
          <w:color w:val="auto"/>
          <w:highlight w:val="none"/>
        </w:rPr>
        <w:t>2</w:t>
      </w:r>
      <w:r>
        <w:rPr>
          <w:rFonts w:hint="eastAsia" w:ascii="仿宋" w:hAnsi="仿宋" w:eastAsia="仿宋"/>
          <w:b/>
          <w:color w:val="auto"/>
          <w:highlight w:val="none"/>
        </w:rPr>
        <w:t>年</w:t>
      </w:r>
      <w:r>
        <w:rPr>
          <w:rFonts w:hint="eastAsia" w:ascii="仿宋" w:hAnsi="仿宋" w:eastAsia="仿宋"/>
          <w:b/>
          <w:color w:val="auto"/>
          <w:highlight w:val="none"/>
          <w:lang w:val="en-US" w:eastAsia="zh-CN"/>
        </w:rPr>
        <w:t>9</w:t>
      </w:r>
      <w:r>
        <w:rPr>
          <w:rFonts w:hint="eastAsia" w:ascii="仿宋" w:hAnsi="仿宋" w:eastAsia="仿宋"/>
          <w:b/>
          <w:color w:val="auto"/>
          <w:highlight w:val="none"/>
        </w:rPr>
        <w:t>月</w:t>
      </w:r>
      <w:r>
        <w:rPr>
          <w:rFonts w:hint="eastAsia" w:ascii="仿宋" w:hAnsi="仿宋" w:eastAsia="仿宋"/>
          <w:b/>
          <w:color w:val="auto"/>
          <w:highlight w:val="none"/>
          <w:lang w:val="en-US" w:eastAsia="zh-CN"/>
        </w:rPr>
        <w:t>8</w:t>
      </w:r>
      <w:r>
        <w:rPr>
          <w:rFonts w:hint="eastAsia" w:ascii="仿宋" w:hAnsi="仿宋" w:eastAsia="仿宋"/>
          <w:b/>
          <w:color w:val="auto"/>
          <w:highlight w:val="none"/>
        </w:rPr>
        <w:t>日</w:t>
      </w:r>
      <w:r>
        <w:rPr>
          <w:rFonts w:hint="eastAsia" w:ascii="仿宋" w:hAnsi="仿宋" w:eastAsia="仿宋"/>
          <w:b/>
          <w:color w:val="auto"/>
          <w:highlight w:val="none"/>
          <w:lang w:val="en-US" w:eastAsia="zh-CN"/>
        </w:rPr>
        <w:t>10时00</w:t>
      </w:r>
      <w:r>
        <w:rPr>
          <w:rFonts w:hint="eastAsia" w:ascii="仿宋" w:hAnsi="仿宋" w:eastAsia="仿宋"/>
          <w:b/>
          <w:color w:val="auto"/>
          <w:highlight w:val="none"/>
        </w:rPr>
        <w:t>分开标，此时间以前不得开封</w:t>
      </w:r>
      <w:r>
        <w:rPr>
          <w:rFonts w:ascii="仿宋" w:hAnsi="仿宋" w:eastAsia="仿宋"/>
          <w:b/>
          <w:color w:val="auto"/>
          <w:highlight w:val="none"/>
        </w:rPr>
        <w:t>”</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、投标人必须携带受托人（应与投标文件中受托人一致）身份证原件于公告指定的时间前至指定地点现场递交投标文件及参加开标会，否则其投标文件将不予受理。</w:t>
      </w:r>
    </w:p>
    <w:p>
      <w:pPr>
        <w:pStyle w:val="19"/>
        <w:adjustRightInd w:val="0"/>
        <w:snapToGrid w:val="0"/>
        <w:spacing w:line="360" w:lineRule="auto"/>
        <w:ind w:firstLine="480"/>
        <w:jc w:val="both"/>
        <w:rPr>
          <w:rFonts w:ascii="仿宋" w:hAnsi="仿宋" w:eastAsia="仿宋"/>
          <w:color w:val="auto"/>
          <w:szCs w:val="21"/>
          <w:highlight w:val="none"/>
        </w:rPr>
      </w:pP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、附件均为本次招标公告的有效组成文件。其中招标公告word版本与及其附件，请投标人按以下链接方式（网盘提取网址）进行领取：https://pan.baidu.com/s/1oCcDMROwL4gSSUumRq4kdg 提取码：1234。</w:t>
      </w:r>
    </w:p>
    <w:p>
      <w:pPr>
        <w:pStyle w:val="19"/>
        <w:adjustRightInd w:val="0"/>
        <w:snapToGrid w:val="0"/>
        <w:spacing w:line="360" w:lineRule="auto"/>
        <w:ind w:firstLine="480"/>
        <w:rPr>
          <w:rFonts w:ascii="仿宋" w:hAnsi="仿宋" w:eastAsia="仿宋"/>
          <w:b/>
          <w:bCs/>
          <w:color w:val="auto"/>
          <w:szCs w:val="21"/>
          <w:highlight w:val="none"/>
        </w:rPr>
      </w:pPr>
      <w:r>
        <w:rPr>
          <w:rFonts w:hint="eastAsia" w:ascii="仿宋" w:hAnsi="仿宋" w:eastAsia="仿宋"/>
          <w:b/>
          <w:bCs/>
          <w:color w:val="auto"/>
          <w:szCs w:val="21"/>
          <w:highlight w:val="none"/>
          <w:lang w:val="en-US" w:eastAsia="zh-CN"/>
        </w:rPr>
        <w:t>7</w:t>
      </w:r>
      <w:r>
        <w:rPr>
          <w:rFonts w:ascii="仿宋" w:hAnsi="仿宋" w:eastAsia="仿宋"/>
          <w:b/>
          <w:bCs/>
          <w:color w:val="auto"/>
          <w:szCs w:val="21"/>
          <w:highlight w:val="none"/>
        </w:rPr>
        <w:t>、</w:t>
      </w:r>
      <w:r>
        <w:rPr>
          <w:rFonts w:hint="eastAsia" w:ascii="仿宋" w:hAnsi="仿宋" w:eastAsia="仿宋"/>
          <w:b/>
          <w:bCs/>
          <w:color w:val="auto"/>
          <w:szCs w:val="21"/>
          <w:highlight w:val="none"/>
        </w:rPr>
        <w:t>投标文件否决性条款摘要</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招标公告规定的截止时间以后逾期递交的，或者未按招标公告规定方式递交的，该投标文件（或投标文件的组成部分）不予受理。</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投标人投标时须提交法人证明书和法人授权委托书。且被授权人需携带本人身份证至截标现场递交投标资料，否则所投标书不予受理。</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资格审查被评审为不合格的，投标文件不予受理。</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投标报价书中填报的投标价超出投标报价上限的，视为“无效标”</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暂列金额、安全文明施工措施费为不可竞争性费用，如投标人擅自修改上述费用，视为无效标。</w:t>
      </w:r>
    </w:p>
    <w:p>
      <w:pPr>
        <w:pStyle w:val="19"/>
        <w:adjustRightInd w:val="0"/>
        <w:snapToGrid w:val="0"/>
        <w:spacing w:line="360" w:lineRule="auto"/>
        <w:ind w:firstLine="480"/>
        <w:rPr>
          <w:rFonts w:hint="eastAsia" w:ascii="仿宋" w:hAnsi="仿宋" w:eastAsia="仿宋"/>
          <w:color w:val="auto"/>
          <w:szCs w:val="21"/>
          <w:highlight w:val="none"/>
          <w:lang w:val="en-US" w:eastAsia="zh-CN"/>
        </w:rPr>
      </w:pP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投标承诺函未按招标公告规定填写或更改非投标人填写内容的</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lang w:val="en-US" w:eastAsia="zh-CN"/>
        </w:rPr>
        <w:t>当</w:t>
      </w:r>
      <w:r>
        <w:rPr>
          <w:rFonts w:hint="eastAsia" w:ascii="仿宋" w:hAnsi="仿宋" w:eastAsia="仿宋"/>
          <w:color w:val="auto"/>
          <w:szCs w:val="21"/>
          <w:highlight w:val="none"/>
        </w:rPr>
        <w:t>投标承诺函</w:t>
      </w:r>
      <w:r>
        <w:rPr>
          <w:rFonts w:hint="eastAsia" w:ascii="仿宋" w:hAnsi="仿宋" w:eastAsia="仿宋"/>
          <w:color w:val="auto"/>
          <w:szCs w:val="21"/>
          <w:highlight w:val="none"/>
          <w:lang w:val="en-US" w:eastAsia="zh-CN"/>
        </w:rPr>
        <w:t>与投标报价书报价总金额不一致时，以</w:t>
      </w:r>
      <w:r>
        <w:rPr>
          <w:rFonts w:hint="eastAsia" w:ascii="仿宋" w:hAnsi="仿宋" w:eastAsia="仿宋"/>
          <w:color w:val="auto"/>
          <w:szCs w:val="21"/>
          <w:highlight w:val="none"/>
        </w:rPr>
        <w:t>投标报价书</w:t>
      </w:r>
      <w:r>
        <w:rPr>
          <w:rFonts w:hint="eastAsia" w:ascii="仿宋" w:hAnsi="仿宋" w:eastAsia="仿宋"/>
          <w:color w:val="auto"/>
          <w:szCs w:val="21"/>
          <w:highlight w:val="none"/>
          <w:lang w:val="en-US" w:eastAsia="zh-CN"/>
        </w:rPr>
        <w:t>为准。</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8</w:t>
      </w:r>
      <w:r>
        <w:rPr>
          <w:rFonts w:hint="eastAsia" w:ascii="仿宋" w:hAnsi="仿宋" w:eastAsia="仿宋"/>
          <w:color w:val="auto"/>
          <w:szCs w:val="21"/>
          <w:highlight w:val="none"/>
          <w:lang w:eastAsia="zh-CN"/>
        </w:rPr>
        <w:t>、</w:t>
      </w:r>
      <w:r>
        <w:rPr>
          <w:rFonts w:hint="eastAsia" w:ascii="仿宋" w:hAnsi="仿宋" w:eastAsia="仿宋"/>
          <w:color w:val="auto"/>
          <w:szCs w:val="21"/>
          <w:highlight w:val="none"/>
        </w:rPr>
        <w:t>疫情期间，如投标人代表无法出示本人当天“深i您”微信小程序“粤康码”绿码、24小时核酸检测阴性证明、连续三天核酸检测记录、通信大数据绿色行程码或体温超过37.3℃的，投标人应承担以下责任：（1）拒绝投标人参与招投标活动，包括因招标人拒绝投标人参与招投标活动所造成的一切不利于投标人的结果；（2）招标人因后续疫情防控措施所产生的实际损失。</w:t>
      </w:r>
    </w:p>
    <w:p>
      <w:pPr>
        <w:pStyle w:val="19"/>
        <w:numPr>
          <w:ilvl w:val="0"/>
          <w:numId w:val="0"/>
        </w:numPr>
        <w:adjustRightInd w:val="0"/>
        <w:snapToGrid w:val="0"/>
        <w:spacing w:line="360" w:lineRule="auto"/>
        <w:ind w:left="210" w:leftChars="0" w:firstLine="240" w:firstLineChars="100"/>
        <w:rPr>
          <w:rFonts w:ascii="仿宋" w:hAnsi="仿宋" w:eastAsia="仿宋" w:cs="Times New Roman"/>
          <w:color w:val="auto"/>
          <w:szCs w:val="21"/>
          <w:highlight w:val="none"/>
        </w:rPr>
      </w:pPr>
      <w:r>
        <w:rPr>
          <w:rFonts w:hint="eastAsia" w:ascii="仿宋" w:hAnsi="仿宋" w:eastAsia="仿宋"/>
          <w:color w:val="auto"/>
          <w:szCs w:val="21"/>
          <w:highlight w:val="none"/>
          <w:lang w:val="en-US" w:eastAsia="zh-CN"/>
        </w:rPr>
        <w:t>9、</w:t>
      </w:r>
      <w:r>
        <w:rPr>
          <w:rFonts w:hint="eastAsia" w:ascii="仿宋" w:hAnsi="仿宋" w:eastAsia="仿宋"/>
          <w:color w:val="auto"/>
          <w:szCs w:val="21"/>
          <w:highlight w:val="none"/>
          <w:lang w:eastAsia="zh-CN"/>
        </w:rPr>
        <w:t>开标定标会期间疫情防控</w:t>
      </w:r>
      <w:r>
        <w:rPr>
          <w:rFonts w:hint="eastAsia" w:ascii="仿宋" w:hAnsi="仿宋" w:eastAsia="仿宋" w:cs="Times New Roman"/>
          <w:color w:val="auto"/>
          <w:szCs w:val="21"/>
          <w:highlight w:val="none"/>
        </w:rPr>
        <w:t>注意事项：</w:t>
      </w:r>
    </w:p>
    <w:p>
      <w:pPr>
        <w:pStyle w:val="19"/>
        <w:adjustRightInd w:val="0"/>
        <w:snapToGrid w:val="0"/>
        <w:spacing w:line="360" w:lineRule="auto"/>
        <w:ind w:firstLine="480"/>
        <w:rPr>
          <w:rFonts w:hint="eastAsia" w:ascii="仿宋" w:hAnsi="仿宋" w:eastAsia="仿宋" w:cs="Times New Roman"/>
          <w:color w:val="auto"/>
          <w:szCs w:val="21"/>
          <w:highlight w:val="none"/>
        </w:rPr>
      </w:pPr>
      <w:r>
        <w:rPr>
          <w:rFonts w:hint="eastAsia" w:ascii="仿宋" w:hAnsi="仿宋" w:eastAsia="仿宋" w:cs="Times New Roman"/>
          <w:color w:val="auto"/>
          <w:szCs w:val="21"/>
          <w:highlight w:val="none"/>
          <w:lang w:eastAsia="zh-CN"/>
        </w:rPr>
        <w:t>1）</w:t>
      </w:r>
      <w:r>
        <w:rPr>
          <w:rFonts w:hint="eastAsia" w:ascii="仿宋" w:hAnsi="仿宋" w:eastAsia="仿宋" w:cs="Times New Roman"/>
          <w:color w:val="auto"/>
          <w:szCs w:val="21"/>
          <w:highlight w:val="none"/>
        </w:rPr>
        <w:t>近14天有中高风险地区旅居史的，</w:t>
      </w:r>
      <w:r>
        <w:rPr>
          <w:rFonts w:hint="eastAsia" w:ascii="仿宋" w:hAnsi="仿宋" w:eastAsia="仿宋" w:cs="Times New Roman"/>
          <w:color w:val="auto"/>
          <w:szCs w:val="21"/>
          <w:highlight w:val="none"/>
          <w:lang w:eastAsia="zh-CN"/>
        </w:rPr>
        <w:t>不得现场参会</w:t>
      </w:r>
      <w:r>
        <w:rPr>
          <w:rFonts w:hint="eastAsia" w:ascii="仿宋" w:hAnsi="仿宋" w:eastAsia="仿宋" w:cs="Times New Roman"/>
          <w:color w:val="auto"/>
          <w:szCs w:val="21"/>
          <w:highlight w:val="none"/>
        </w:rPr>
        <w:t>;</w:t>
      </w:r>
    </w:p>
    <w:p>
      <w:pPr>
        <w:pStyle w:val="19"/>
        <w:adjustRightInd w:val="0"/>
        <w:snapToGrid w:val="0"/>
        <w:spacing w:line="360" w:lineRule="auto"/>
        <w:ind w:firstLine="480"/>
        <w:rPr>
          <w:rFonts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2</w:t>
      </w:r>
      <w:r>
        <w:rPr>
          <w:rFonts w:hint="eastAsia" w:ascii="仿宋" w:hAnsi="仿宋" w:eastAsia="仿宋" w:cs="Times New Roman"/>
          <w:color w:val="auto"/>
          <w:szCs w:val="21"/>
          <w:highlight w:val="none"/>
          <w:lang w:eastAsia="zh-CN"/>
        </w:rPr>
        <w:t>）各投标单位应最多派遣一名投标代表参会</w:t>
      </w:r>
      <w:r>
        <w:rPr>
          <w:rFonts w:hint="eastAsia" w:ascii="仿宋" w:hAnsi="仿宋" w:eastAsia="仿宋" w:cs="Times New Roman"/>
          <w:color w:val="auto"/>
          <w:szCs w:val="21"/>
          <w:highlight w:val="none"/>
        </w:rPr>
        <w:t>;</w:t>
      </w:r>
    </w:p>
    <w:p>
      <w:pPr>
        <w:pStyle w:val="19"/>
        <w:adjustRightInd w:val="0"/>
        <w:snapToGrid w:val="0"/>
        <w:spacing w:line="360" w:lineRule="auto"/>
        <w:ind w:firstLine="48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3</w:t>
      </w:r>
      <w:r>
        <w:rPr>
          <w:rFonts w:hint="eastAsia" w:ascii="仿宋" w:hAnsi="仿宋" w:eastAsia="仿宋" w:cs="仿宋"/>
          <w:color w:val="auto"/>
          <w:kern w:val="0"/>
          <w:highlight w:val="none"/>
          <w:lang w:eastAsia="zh-CN"/>
        </w:rPr>
        <w:t>）</w:t>
      </w:r>
      <w:r>
        <w:rPr>
          <w:rFonts w:hint="eastAsia" w:ascii="仿宋" w:hAnsi="仿宋" w:eastAsia="仿宋" w:cs="仿宋"/>
          <w:color w:val="auto"/>
          <w:kern w:val="0"/>
          <w:highlight w:val="none"/>
          <w:lang w:val="en-US" w:eastAsia="zh-CN"/>
        </w:rPr>
        <w:t>建议各投标人代表于开标会当天截止时间前半小时到达现场签到，并进行行程码、健康码核查。</w:t>
      </w:r>
    </w:p>
    <w:p>
      <w:pPr>
        <w:pStyle w:val="19"/>
        <w:adjustRightInd w:val="0"/>
        <w:snapToGrid w:val="0"/>
        <w:spacing w:line="360" w:lineRule="auto"/>
        <w:ind w:firstLine="480"/>
        <w:rPr>
          <w:rFonts w:ascii="仿宋" w:hAnsi="仿宋" w:eastAsia="仿宋" w:cs="Times New Roman"/>
          <w:color w:val="auto"/>
          <w:szCs w:val="21"/>
          <w:highlight w:val="none"/>
        </w:rPr>
      </w:pPr>
      <w:r>
        <w:rPr>
          <w:rFonts w:hint="eastAsia" w:ascii="仿宋" w:hAnsi="仿宋" w:eastAsia="仿宋" w:cs="Times New Roman"/>
          <w:color w:val="auto"/>
          <w:szCs w:val="21"/>
          <w:highlight w:val="none"/>
          <w:lang w:val="en-US" w:eastAsia="zh-CN"/>
        </w:rPr>
        <w:t>4</w:t>
      </w:r>
      <w:r>
        <w:rPr>
          <w:rFonts w:hint="eastAsia" w:ascii="仿宋" w:hAnsi="仿宋" w:eastAsia="仿宋" w:cs="Times New Roman"/>
          <w:color w:val="auto"/>
          <w:szCs w:val="21"/>
          <w:highlight w:val="none"/>
          <w:lang w:eastAsia="zh-CN"/>
        </w:rPr>
        <w:t>）</w:t>
      </w:r>
      <w:r>
        <w:rPr>
          <w:rFonts w:hint="eastAsia" w:ascii="仿宋" w:hAnsi="仿宋" w:eastAsia="仿宋" w:cs="Times New Roman"/>
          <w:color w:val="auto"/>
          <w:szCs w:val="21"/>
          <w:highlight w:val="none"/>
        </w:rPr>
        <w:t>所有人员在会议期间，全程佩戴</w:t>
      </w:r>
      <w:r>
        <w:rPr>
          <w:rFonts w:hint="eastAsia" w:ascii="仿宋" w:hAnsi="仿宋" w:eastAsia="仿宋" w:cs="Times New Roman"/>
          <w:color w:val="auto"/>
          <w:szCs w:val="21"/>
          <w:highlight w:val="none"/>
          <w:lang w:eastAsia="zh-CN"/>
        </w:rPr>
        <w:t>N95</w:t>
      </w:r>
      <w:r>
        <w:rPr>
          <w:rFonts w:hint="eastAsia" w:ascii="仿宋" w:hAnsi="仿宋" w:eastAsia="仿宋" w:cs="Times New Roman"/>
          <w:color w:val="auto"/>
          <w:szCs w:val="21"/>
          <w:highlight w:val="none"/>
        </w:rPr>
        <w:t>口罩</w:t>
      </w:r>
      <w:r>
        <w:rPr>
          <w:rFonts w:hint="eastAsia" w:ascii="仿宋" w:hAnsi="仿宋" w:eastAsia="仿宋" w:cs="Times New Roman"/>
          <w:color w:val="auto"/>
          <w:szCs w:val="21"/>
          <w:highlight w:val="none"/>
          <w:lang w:eastAsia="zh-CN"/>
        </w:rPr>
        <w:t>，隔位就坐。</w:t>
      </w:r>
    </w:p>
    <w:p>
      <w:pPr>
        <w:rPr>
          <w:rFonts w:hint="eastAsia" w:ascii="仿宋" w:hAnsi="仿宋"/>
          <w:color w:val="auto"/>
          <w:sz w:val="28"/>
          <w:szCs w:val="28"/>
          <w:highlight w:val="none"/>
        </w:rPr>
      </w:pPr>
    </w:p>
    <w:p>
      <w:pPr>
        <w:pStyle w:val="18"/>
        <w:rPr>
          <w:rFonts w:hint="eastAsia" w:ascii="仿宋" w:hAnsi="仿宋"/>
          <w:color w:val="auto"/>
          <w:sz w:val="28"/>
          <w:szCs w:val="28"/>
          <w:highlight w:val="none"/>
        </w:rPr>
        <w:sectPr>
          <w:pgSz w:w="11906" w:h="16838"/>
          <w:pgMar w:top="1440" w:right="1800" w:bottom="1440" w:left="1800" w:header="851" w:footer="992" w:gutter="0"/>
          <w:cols w:space="425" w:num="1"/>
          <w:docGrid w:type="lines" w:linePitch="312" w:charSpace="0"/>
        </w:sectPr>
      </w:pPr>
    </w:p>
    <w:p>
      <w:pPr>
        <w:widowControl/>
        <w:jc w:val="left"/>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附件</w:t>
      </w:r>
      <w:r>
        <w:rPr>
          <w:rFonts w:hint="eastAsia" w:ascii="仿宋" w:hAnsi="仿宋" w:eastAsia="仿宋" w:cs="仿宋"/>
          <w:color w:val="auto"/>
          <w:sz w:val="31"/>
          <w:szCs w:val="31"/>
          <w:highlight w:val="none"/>
          <w:lang w:val="en-US" w:eastAsia="zh-CN"/>
        </w:rPr>
        <w:t>一</w:t>
      </w:r>
      <w:r>
        <w:rPr>
          <w:rFonts w:hint="eastAsia" w:ascii="仿宋" w:hAnsi="仿宋" w:eastAsia="仿宋" w:cs="仿宋"/>
          <w:color w:val="auto"/>
          <w:sz w:val="31"/>
          <w:szCs w:val="31"/>
          <w:highlight w:val="none"/>
        </w:rPr>
        <w:t>：</w:t>
      </w:r>
    </w:p>
    <w:p>
      <w:pPr>
        <w:adjustRightInd w:val="0"/>
        <w:snapToGrid w:val="0"/>
        <w:spacing w:line="360" w:lineRule="auto"/>
        <w:jc w:val="center"/>
        <w:rPr>
          <w:rFonts w:ascii="仿宋" w:hAnsi="仿宋" w:eastAsia="仿宋" w:cs="仿宋"/>
          <w:b/>
          <w:bCs/>
          <w:color w:val="auto"/>
          <w:sz w:val="27"/>
          <w:szCs w:val="27"/>
          <w:highlight w:val="none"/>
        </w:rPr>
      </w:pPr>
      <w:bookmarkStart w:id="0" w:name="_Toc405968323"/>
      <w:bookmarkStart w:id="1" w:name="_Toc517527747"/>
      <w:bookmarkStart w:id="2" w:name="_Toc517528840"/>
      <w:bookmarkStart w:id="3" w:name="_Toc517529802"/>
      <w:bookmarkStart w:id="4" w:name="_Toc517531078"/>
      <w:r>
        <w:rPr>
          <w:rFonts w:hint="eastAsia" w:ascii="仿宋" w:hAnsi="仿宋" w:eastAsia="仿宋" w:cs="仿宋"/>
          <w:b/>
          <w:bCs/>
          <w:color w:val="auto"/>
          <w:sz w:val="27"/>
          <w:szCs w:val="27"/>
          <w:highlight w:val="none"/>
        </w:rPr>
        <w:t>工程量清单投标报价规定</w:t>
      </w:r>
      <w:bookmarkEnd w:id="0"/>
      <w:bookmarkEnd w:id="1"/>
      <w:bookmarkEnd w:id="2"/>
      <w:bookmarkEnd w:id="3"/>
      <w:bookmarkEnd w:id="4"/>
    </w:p>
    <w:p>
      <w:pPr>
        <w:adjustRightInd w:val="0"/>
        <w:snapToGrid w:val="0"/>
        <w:spacing w:line="360" w:lineRule="auto"/>
        <w:ind w:firstLine="400" w:firstLineChars="200"/>
        <w:jc w:val="left"/>
        <w:rPr>
          <w:rFonts w:ascii="宋体" w:hAnsi="宋体"/>
          <w:bCs/>
          <w:color w:val="auto"/>
          <w:sz w:val="20"/>
          <w:szCs w:val="20"/>
          <w:highlight w:val="none"/>
        </w:rPr>
      </w:pPr>
      <w:r>
        <w:rPr>
          <w:rFonts w:ascii="宋体" w:hAnsi="宋体"/>
          <w:bCs/>
          <w:color w:val="auto"/>
          <w:sz w:val="20"/>
          <w:szCs w:val="20"/>
          <w:highlight w:val="none"/>
        </w:rPr>
        <w:t>1、工程量清单应与投标人须知、合同通用条件、合同专用条件、技术规范、技术要求、图纸等文件及中华人民共和国国家标准《建设工程工程量清单计价规范》（GB50500—2013）、《工程量清单计算规范》（GB50854～862-2013）以及《深圳市建设工程计价规程（2017）》、</w:t>
      </w:r>
      <w:r>
        <w:rPr>
          <w:rFonts w:ascii="宋体" w:hAnsi="宋体"/>
          <w:b/>
          <w:color w:val="auto"/>
          <w:sz w:val="20"/>
          <w:szCs w:val="20"/>
          <w:highlight w:val="none"/>
          <w:u w:val="single"/>
        </w:rPr>
        <w:t>《</w:t>
      </w:r>
      <w:r>
        <w:rPr>
          <w:rFonts w:hint="eastAsia" w:ascii="宋体" w:hAnsi="宋体"/>
          <w:b/>
          <w:color w:val="auto"/>
          <w:sz w:val="20"/>
          <w:szCs w:val="20"/>
          <w:highlight w:val="none"/>
          <w:u w:val="single"/>
        </w:rPr>
        <w:t>深圳市建设工程计价费率标准（</w:t>
      </w:r>
      <w:r>
        <w:rPr>
          <w:rFonts w:ascii="宋体" w:hAnsi="宋体"/>
          <w:b/>
          <w:color w:val="auto"/>
          <w:sz w:val="20"/>
          <w:szCs w:val="20"/>
          <w:highlight w:val="none"/>
          <w:u w:val="single"/>
        </w:rPr>
        <w:t>2018）》</w:t>
      </w:r>
      <w:r>
        <w:rPr>
          <w:rFonts w:hint="eastAsia" w:ascii="宋体" w:hAnsi="宋体"/>
          <w:b/>
          <w:color w:val="auto"/>
          <w:sz w:val="20"/>
          <w:szCs w:val="20"/>
          <w:highlight w:val="none"/>
          <w:u w:val="single"/>
        </w:rPr>
        <w:t>等现行计价规定</w:t>
      </w:r>
      <w:r>
        <w:rPr>
          <w:rFonts w:ascii="宋体" w:hAnsi="宋体"/>
          <w:bCs/>
          <w:color w:val="auto"/>
          <w:sz w:val="20"/>
          <w:szCs w:val="20"/>
          <w:highlight w:val="none"/>
        </w:rPr>
        <w:t>结合起来理解或解释。</w:t>
      </w:r>
    </w:p>
    <w:p>
      <w:pPr>
        <w:adjustRightInd w:val="0"/>
        <w:snapToGrid w:val="0"/>
        <w:spacing w:line="360" w:lineRule="auto"/>
        <w:ind w:firstLine="200" w:firstLineChars="200"/>
        <w:jc w:val="left"/>
        <w:rPr>
          <w:rFonts w:ascii="宋体" w:hAnsi="宋体"/>
          <w:bCs/>
          <w:color w:val="auto"/>
          <w:sz w:val="10"/>
          <w:szCs w:val="10"/>
          <w:highlight w:val="none"/>
        </w:rPr>
      </w:pPr>
    </w:p>
    <w:p>
      <w:pPr>
        <w:adjustRightInd w:val="0"/>
        <w:snapToGrid w:val="0"/>
        <w:spacing w:line="360" w:lineRule="auto"/>
        <w:ind w:firstLine="400" w:firstLineChars="200"/>
        <w:jc w:val="left"/>
        <w:rPr>
          <w:rFonts w:ascii="宋体" w:hAnsi="宋体"/>
          <w:bCs/>
          <w:color w:val="auto"/>
          <w:sz w:val="20"/>
          <w:szCs w:val="20"/>
          <w:highlight w:val="none"/>
        </w:rPr>
      </w:pPr>
      <w:r>
        <w:rPr>
          <w:rFonts w:ascii="宋体" w:hAnsi="宋体"/>
          <w:bCs/>
          <w:color w:val="auto"/>
          <w:sz w:val="20"/>
          <w:szCs w:val="20"/>
          <w:highlight w:val="none"/>
        </w:rPr>
        <w:t>2、固定单价合同</w:t>
      </w:r>
      <w:r>
        <w:rPr>
          <w:rFonts w:hint="eastAsia" w:ascii="宋体" w:hAnsi="宋体"/>
          <w:color w:val="auto"/>
          <w:sz w:val="20"/>
          <w:szCs w:val="20"/>
          <w:highlight w:val="none"/>
        </w:rPr>
        <w:t>报价原则</w:t>
      </w:r>
    </w:p>
    <w:p>
      <w:pPr>
        <w:adjustRightInd w:val="0"/>
        <w:snapToGrid w:val="0"/>
        <w:spacing w:line="360" w:lineRule="auto"/>
        <w:ind w:firstLine="400" w:firstLineChars="200"/>
        <w:jc w:val="left"/>
        <w:rPr>
          <w:rFonts w:ascii="宋体" w:hAnsi="宋体"/>
          <w:bCs/>
          <w:color w:val="auto"/>
          <w:sz w:val="20"/>
          <w:szCs w:val="20"/>
          <w:highlight w:val="none"/>
        </w:rPr>
      </w:pPr>
      <w:r>
        <w:rPr>
          <w:rFonts w:hint="eastAsia" w:ascii="宋体" w:hAnsi="宋体"/>
          <w:bCs/>
          <w:color w:val="auto"/>
          <w:sz w:val="20"/>
          <w:szCs w:val="20"/>
          <w:highlight w:val="none"/>
        </w:rPr>
        <w:t>工程量清单的项目及</w:t>
      </w:r>
      <w:r>
        <w:rPr>
          <w:rFonts w:hint="eastAsia" w:ascii="宋体" w:hAnsi="宋体"/>
          <w:b/>
          <w:color w:val="auto"/>
          <w:sz w:val="20"/>
          <w:szCs w:val="20"/>
          <w:highlight w:val="none"/>
          <w:u w:val="single"/>
        </w:rPr>
        <w:t>工程量</w:t>
      </w:r>
      <w:r>
        <w:rPr>
          <w:rFonts w:hint="eastAsia" w:ascii="宋体" w:hAnsi="宋体"/>
          <w:bCs/>
          <w:color w:val="auto"/>
          <w:sz w:val="20"/>
          <w:szCs w:val="20"/>
          <w:highlight w:val="none"/>
        </w:rPr>
        <w:t>按中华人民共和国国家标准《建设工程工程量清单计价规范》（</w:t>
      </w:r>
      <w:r>
        <w:rPr>
          <w:rFonts w:ascii="宋体" w:hAnsi="宋体"/>
          <w:bCs/>
          <w:color w:val="auto"/>
          <w:sz w:val="20"/>
          <w:szCs w:val="20"/>
          <w:highlight w:val="none"/>
        </w:rPr>
        <w:t>GB50500—2013）、《工程量清单计算规范》（GB50854～862-2013）以及《深圳市建设工程计价规程》（2017）规定及施工图纸编制。综合单价包干，结算时不调整。投标人报价时不允许对工程项目、</w:t>
      </w:r>
      <w:r>
        <w:rPr>
          <w:rFonts w:hint="eastAsia" w:ascii="宋体" w:hAnsi="宋体"/>
          <w:b/>
          <w:color w:val="auto"/>
          <w:sz w:val="20"/>
          <w:szCs w:val="20"/>
          <w:highlight w:val="none"/>
          <w:u w:val="single"/>
        </w:rPr>
        <w:t>工</w:t>
      </w:r>
      <w:r>
        <w:rPr>
          <w:rFonts w:ascii="宋体" w:hAnsi="宋体"/>
          <w:b/>
          <w:color w:val="auto"/>
          <w:sz w:val="20"/>
          <w:szCs w:val="20"/>
          <w:highlight w:val="none"/>
          <w:u w:val="single"/>
        </w:rPr>
        <w:t>程量</w:t>
      </w:r>
      <w:r>
        <w:rPr>
          <w:rFonts w:ascii="宋体" w:hAnsi="宋体"/>
          <w:bCs/>
          <w:color w:val="auto"/>
          <w:sz w:val="20"/>
          <w:szCs w:val="20"/>
          <w:highlight w:val="none"/>
        </w:rPr>
        <w:t>进行调整和改变（措施项目清单除外）。</w:t>
      </w:r>
    </w:p>
    <w:p>
      <w:pPr>
        <w:adjustRightInd w:val="0"/>
        <w:snapToGrid w:val="0"/>
        <w:spacing w:line="360" w:lineRule="auto"/>
        <w:ind w:firstLine="400" w:firstLineChars="200"/>
        <w:jc w:val="left"/>
        <w:rPr>
          <w:rFonts w:ascii="宋体"/>
          <w:bCs/>
          <w:color w:val="auto"/>
          <w:sz w:val="20"/>
          <w:szCs w:val="20"/>
          <w:highlight w:val="none"/>
        </w:rPr>
      </w:pPr>
      <w:r>
        <w:rPr>
          <w:rFonts w:ascii="宋体" w:hAnsi="Times New Roman"/>
          <w:bCs/>
          <w:color w:val="auto"/>
          <w:sz w:val="20"/>
          <w:szCs w:val="20"/>
          <w:highlight w:val="none"/>
        </w:rPr>
        <w:t>3、工程量清单中所填入的综合单价为按技术规范与技术要求</w:t>
      </w:r>
      <w:r>
        <w:rPr>
          <w:rFonts w:hint="eastAsia" w:ascii="宋体" w:hAnsi="Times New Roman" w:cs="Times New Roman"/>
          <w:bCs/>
          <w:color w:val="auto"/>
          <w:sz w:val="20"/>
          <w:szCs w:val="20"/>
          <w:highlight w:val="none"/>
          <w:lang w:bidi="ar"/>
        </w:rPr>
        <w:t>完成一个规定计量单位的项目所需的人工费、材料费、</w:t>
      </w:r>
      <w:r>
        <w:rPr>
          <w:rFonts w:hint="eastAsia" w:ascii="宋体" w:hAnsi="Times New Roman" w:cs="Times New Roman"/>
          <w:b/>
          <w:color w:val="auto"/>
          <w:sz w:val="20"/>
          <w:szCs w:val="20"/>
          <w:highlight w:val="none"/>
          <w:u w:val="single"/>
          <w:lang w:bidi="ar"/>
        </w:rPr>
        <w:t>施工机具使用费</w:t>
      </w:r>
      <w:r>
        <w:rPr>
          <w:rFonts w:hint="eastAsia" w:ascii="宋体" w:hAnsi="Times New Roman" w:cs="Times New Roman"/>
          <w:bCs/>
          <w:color w:val="auto"/>
          <w:sz w:val="20"/>
          <w:szCs w:val="20"/>
          <w:highlight w:val="none"/>
          <w:lang w:bidi="ar"/>
        </w:rPr>
        <w:t>、企业管理费和利润、</w:t>
      </w:r>
      <w:r>
        <w:rPr>
          <w:rFonts w:hint="eastAsia" w:ascii="宋体" w:hAnsi="Times New Roman" w:cs="Times New Roman"/>
          <w:b/>
          <w:color w:val="auto"/>
          <w:sz w:val="20"/>
          <w:szCs w:val="20"/>
          <w:highlight w:val="none"/>
          <w:u w:val="single"/>
          <w:lang w:bidi="ar"/>
        </w:rPr>
        <w:t>工程设备费</w:t>
      </w:r>
      <w:r>
        <w:rPr>
          <w:rFonts w:hint="eastAsia" w:ascii="宋体" w:hAnsi="Times New Roman" w:cs="Times New Roman"/>
          <w:bCs/>
          <w:color w:val="auto"/>
          <w:sz w:val="20"/>
          <w:szCs w:val="20"/>
          <w:highlight w:val="none"/>
          <w:lang w:bidi="ar"/>
        </w:rPr>
        <w:t>，以及一定范围内的风险费用</w:t>
      </w:r>
      <w:r>
        <w:rPr>
          <w:rFonts w:ascii="宋体" w:hAnsi="Times New Roman"/>
          <w:bCs/>
          <w:color w:val="auto"/>
          <w:sz w:val="20"/>
          <w:szCs w:val="20"/>
          <w:highlight w:val="none"/>
        </w:rPr>
        <w:t>（如招标文件要求考虑的风险等）。按技术规范、</w:t>
      </w:r>
      <w:r>
        <w:rPr>
          <w:rFonts w:hint="eastAsia" w:ascii="宋体"/>
          <w:bCs/>
          <w:color w:val="auto"/>
          <w:sz w:val="20"/>
          <w:szCs w:val="20"/>
          <w:highlight w:val="none"/>
        </w:rPr>
        <w:t>招标文件、设计图纸、国标《建设工程工程量清单计价规范》、深圳市现行计价办法等</w:t>
      </w:r>
      <w:r>
        <w:rPr>
          <w:rFonts w:hint="eastAsia" w:ascii="宋体" w:hAnsi="Times New Roman"/>
          <w:bCs/>
          <w:color w:val="auto"/>
          <w:sz w:val="20"/>
          <w:szCs w:val="20"/>
          <w:highlight w:val="none"/>
        </w:rPr>
        <w:t>要求为完成一个规定计量单位的工程量所需的其他一切费用除非投标人在措施项目清单中列出，否则视为已被包含在工程量清单各项目综合单价中。</w:t>
      </w:r>
    </w:p>
    <w:p>
      <w:pPr>
        <w:adjustRightInd w:val="0"/>
        <w:snapToGrid w:val="0"/>
        <w:spacing w:line="360" w:lineRule="auto"/>
        <w:ind w:firstLine="400" w:firstLineChars="200"/>
        <w:jc w:val="left"/>
        <w:rPr>
          <w:rFonts w:ascii="宋体"/>
          <w:bCs/>
          <w:color w:val="auto"/>
          <w:sz w:val="20"/>
          <w:szCs w:val="20"/>
          <w:highlight w:val="none"/>
        </w:rPr>
      </w:pPr>
      <w:r>
        <w:rPr>
          <w:rFonts w:hint="eastAsia" w:ascii="宋体" w:hAnsi="Times New Roman"/>
          <w:bCs/>
          <w:color w:val="auto"/>
          <w:sz w:val="20"/>
          <w:szCs w:val="20"/>
          <w:highlight w:val="none"/>
        </w:rPr>
        <w:t>提示</w:t>
      </w:r>
      <w:r>
        <w:rPr>
          <w:rFonts w:hint="eastAsia" w:ascii="宋体"/>
          <w:bCs/>
          <w:color w:val="auto"/>
          <w:sz w:val="20"/>
          <w:szCs w:val="20"/>
          <w:highlight w:val="none"/>
        </w:rPr>
        <w:t>：投标人所填报的该项单价均已包含了完成与该分部分项工程有关的一切必要的工序和工作内容以及达到合格工程质量要求的一切工程费用和措施性费用（措施项目清单内单列的除外），即包含工程量清单中没有体现的但施工中必须发生的一切工作内容所需费用。</w:t>
      </w:r>
    </w:p>
    <w:p>
      <w:pPr>
        <w:adjustRightInd w:val="0"/>
        <w:snapToGrid w:val="0"/>
        <w:spacing w:line="360" w:lineRule="auto"/>
        <w:ind w:firstLine="400" w:firstLineChars="200"/>
        <w:jc w:val="left"/>
        <w:rPr>
          <w:rFonts w:ascii="宋体"/>
          <w:bCs/>
          <w:color w:val="auto"/>
          <w:sz w:val="20"/>
          <w:szCs w:val="20"/>
          <w:highlight w:val="none"/>
        </w:rPr>
      </w:pPr>
      <w:r>
        <w:rPr>
          <w:rFonts w:hint="eastAsia" w:ascii="宋体"/>
          <w:bCs/>
          <w:color w:val="auto"/>
          <w:sz w:val="20"/>
          <w:szCs w:val="20"/>
          <w:highlight w:val="none"/>
        </w:rPr>
        <w:t>4、对本工程施工、材料和设备的说明或规定（特别是招标人有明确质量品质标准要求的材料和设备），在招标文件、设计图纸及实物样板（如有）已有详细说明，因而未重复写入工程量清单内（或工程量清单中的项目名称所描述的项目特征不全或不准确）。投标人投标报价时应认真阅读、全面理解并满足上述规定（满足技术要求、设计图纸及相关规范的规定）。</w:t>
      </w:r>
    </w:p>
    <w:p>
      <w:pPr>
        <w:adjustRightInd w:val="0"/>
        <w:snapToGrid w:val="0"/>
        <w:spacing w:line="360" w:lineRule="auto"/>
        <w:ind w:firstLine="400" w:firstLineChars="200"/>
        <w:jc w:val="left"/>
        <w:rPr>
          <w:rFonts w:ascii="宋体" w:hAnsi="宋体"/>
          <w:bCs/>
          <w:color w:val="auto"/>
          <w:sz w:val="20"/>
          <w:szCs w:val="20"/>
          <w:highlight w:val="none"/>
        </w:rPr>
      </w:pPr>
      <w:r>
        <w:rPr>
          <w:rFonts w:ascii="宋体" w:hAnsi="宋体"/>
          <w:bCs/>
          <w:color w:val="auto"/>
          <w:sz w:val="20"/>
          <w:szCs w:val="20"/>
          <w:highlight w:val="none"/>
        </w:rPr>
        <w:t>5、工程量清单中的每一项目须填入综合单价或合价。投标人没有填入综合单价或合价的细目，其费用均视为已分配在工程量清单的其他综合单价与合价之中。</w:t>
      </w:r>
    </w:p>
    <w:p>
      <w:pPr>
        <w:adjustRightInd w:val="0"/>
        <w:snapToGrid w:val="0"/>
        <w:spacing w:line="360" w:lineRule="auto"/>
        <w:ind w:firstLine="400" w:firstLineChars="200"/>
        <w:jc w:val="left"/>
        <w:rPr>
          <w:rFonts w:ascii="宋体" w:hAnsi="宋体"/>
          <w:bCs/>
          <w:color w:val="auto"/>
          <w:sz w:val="20"/>
          <w:szCs w:val="20"/>
          <w:highlight w:val="none"/>
        </w:rPr>
      </w:pPr>
      <w:r>
        <w:rPr>
          <w:rFonts w:hint="eastAsia" w:ascii="宋体" w:hAnsi="宋体"/>
          <w:bCs/>
          <w:color w:val="auto"/>
          <w:sz w:val="20"/>
          <w:szCs w:val="20"/>
          <w:highlight w:val="none"/>
        </w:rPr>
        <w:t>对于工程量清单描述相同的子目，投标报价原则上应保持一致，否则招标人有权对清单之外工程量价格进行调整,</w:t>
      </w:r>
      <w:r>
        <w:rPr>
          <w:rFonts w:hint="eastAsia" w:ascii="宋体" w:hAnsi="宋体"/>
          <w:b/>
          <w:color w:val="auto"/>
          <w:sz w:val="20"/>
          <w:szCs w:val="20"/>
          <w:highlight w:val="none"/>
          <w:u w:val="single"/>
        </w:rPr>
        <w:t>调整方式以有利于招标人的方式进行</w:t>
      </w:r>
      <w:r>
        <w:rPr>
          <w:rFonts w:hint="eastAsia" w:ascii="宋体" w:hAnsi="宋体"/>
          <w:bCs/>
          <w:color w:val="auto"/>
          <w:sz w:val="20"/>
          <w:szCs w:val="20"/>
          <w:highlight w:val="none"/>
        </w:rPr>
        <w:t>。</w:t>
      </w:r>
    </w:p>
    <w:p>
      <w:pPr>
        <w:adjustRightInd w:val="0"/>
        <w:snapToGrid w:val="0"/>
        <w:spacing w:line="360" w:lineRule="auto"/>
        <w:ind w:firstLine="400" w:firstLineChars="200"/>
        <w:jc w:val="left"/>
        <w:rPr>
          <w:rFonts w:ascii="宋体" w:hAnsi="宋体"/>
          <w:bCs/>
          <w:color w:val="auto"/>
          <w:sz w:val="20"/>
          <w:szCs w:val="20"/>
          <w:highlight w:val="none"/>
        </w:rPr>
      </w:pPr>
      <w:r>
        <w:rPr>
          <w:rFonts w:ascii="宋体" w:hAnsi="宋体"/>
          <w:bCs/>
          <w:color w:val="auto"/>
          <w:sz w:val="20"/>
          <w:szCs w:val="20"/>
          <w:highlight w:val="none"/>
        </w:rPr>
        <w:t>6、投标人所报工程量清单所有项目应按规定格式提供</w:t>
      </w:r>
      <w:r>
        <w:rPr>
          <w:rFonts w:hint="eastAsia" w:ascii="宋体" w:hAnsi="宋体"/>
          <w:color w:val="auto"/>
          <w:sz w:val="20"/>
          <w:szCs w:val="20"/>
          <w:highlight w:val="none"/>
        </w:rPr>
        <w:t>综合</w:t>
      </w:r>
      <w:r>
        <w:rPr>
          <w:rFonts w:hint="eastAsia" w:ascii="宋体" w:hAnsi="宋体"/>
          <w:bCs/>
          <w:color w:val="auto"/>
          <w:sz w:val="20"/>
          <w:szCs w:val="20"/>
          <w:highlight w:val="none"/>
        </w:rPr>
        <w:t>单价分析表</w:t>
      </w:r>
      <w:r>
        <w:rPr>
          <w:rFonts w:hint="eastAsia" w:ascii="宋体" w:hAnsi="宋体"/>
          <w:color w:val="auto"/>
          <w:sz w:val="20"/>
          <w:szCs w:val="20"/>
          <w:highlight w:val="none"/>
        </w:rPr>
        <w:t>（详表）</w:t>
      </w:r>
      <w:r>
        <w:rPr>
          <w:rFonts w:hint="eastAsia" w:ascii="宋体" w:hAnsi="宋体"/>
          <w:bCs/>
          <w:color w:val="auto"/>
          <w:sz w:val="20"/>
          <w:szCs w:val="20"/>
          <w:highlight w:val="none"/>
        </w:rPr>
        <w:t>。</w:t>
      </w:r>
    </w:p>
    <w:p>
      <w:pPr>
        <w:adjustRightInd w:val="0"/>
        <w:snapToGrid w:val="0"/>
        <w:spacing w:line="360" w:lineRule="auto"/>
        <w:ind w:firstLine="400" w:firstLineChars="200"/>
        <w:jc w:val="left"/>
        <w:rPr>
          <w:rFonts w:ascii="宋体" w:hAnsi="宋体"/>
          <w:bCs/>
          <w:color w:val="auto"/>
          <w:sz w:val="20"/>
          <w:szCs w:val="20"/>
          <w:highlight w:val="none"/>
        </w:rPr>
      </w:pPr>
      <w:r>
        <w:rPr>
          <w:rFonts w:ascii="宋体" w:hAnsi="宋体"/>
          <w:bCs/>
          <w:color w:val="auto"/>
          <w:sz w:val="20"/>
          <w:szCs w:val="20"/>
          <w:highlight w:val="none"/>
        </w:rPr>
        <w:t>7、投标报价为投标人在投标文件所列项目的全部费用，包括建安工程费、工程建设其他费、设备及工器具购置费及预备费，其中建安工程费由直接费、企业管理费、利润、规费和税金组成。</w:t>
      </w:r>
    </w:p>
    <w:p>
      <w:pPr>
        <w:adjustRightInd w:val="0"/>
        <w:snapToGrid w:val="0"/>
        <w:spacing w:line="360" w:lineRule="auto"/>
        <w:ind w:left="29" w:leftChars="14" w:firstLine="420"/>
        <w:jc w:val="left"/>
        <w:rPr>
          <w:rFonts w:ascii="宋体" w:hAnsi="宋体"/>
          <w:bCs/>
          <w:color w:val="auto"/>
          <w:sz w:val="20"/>
          <w:szCs w:val="20"/>
          <w:highlight w:val="none"/>
        </w:rPr>
      </w:pPr>
      <w:r>
        <w:rPr>
          <w:rFonts w:ascii="宋体" w:hAnsi="宋体"/>
          <w:bCs/>
          <w:color w:val="auto"/>
          <w:sz w:val="20"/>
          <w:szCs w:val="20"/>
          <w:highlight w:val="none"/>
        </w:rPr>
        <w:t>8、措施项目费是为完成工程项目施工，发生于该工程施工前和施工过程中技术、生活、安全等方面</w:t>
      </w:r>
      <w:r>
        <w:rPr>
          <w:rFonts w:hint="eastAsia" w:ascii="宋体" w:hAnsi="宋体"/>
          <w:bCs/>
          <w:color w:val="auto"/>
          <w:sz w:val="20"/>
          <w:szCs w:val="20"/>
          <w:highlight w:val="none"/>
        </w:rPr>
        <w:t>的非工程实体项目，包含了完成该招标工程所需发生的全部措施费用（合同专用条款</w:t>
      </w:r>
      <w:r>
        <w:rPr>
          <w:rFonts w:ascii="宋体" w:hAnsi="宋体"/>
          <w:bCs/>
          <w:color w:val="auto"/>
          <w:sz w:val="20"/>
          <w:szCs w:val="20"/>
          <w:highlight w:val="none"/>
        </w:rPr>
        <w:t>11.5规定情形除外）。</w:t>
      </w:r>
    </w:p>
    <w:p>
      <w:pPr>
        <w:adjustRightInd w:val="0"/>
        <w:snapToGrid w:val="0"/>
        <w:spacing w:line="360" w:lineRule="auto"/>
        <w:ind w:left="29" w:leftChars="14" w:firstLine="420"/>
        <w:jc w:val="left"/>
        <w:rPr>
          <w:rFonts w:ascii="宋体" w:hAnsi="宋体"/>
          <w:bCs/>
          <w:color w:val="auto"/>
          <w:sz w:val="20"/>
          <w:szCs w:val="20"/>
          <w:highlight w:val="none"/>
        </w:rPr>
      </w:pPr>
      <w:r>
        <w:rPr>
          <w:rFonts w:hint="eastAsia" w:ascii="宋体" w:hAnsi="宋体"/>
          <w:color w:val="auto"/>
          <w:sz w:val="20"/>
          <w:szCs w:val="20"/>
          <w:highlight w:val="none"/>
        </w:rPr>
        <w:t>招标文件工程量清单中</w:t>
      </w:r>
      <w:r>
        <w:rPr>
          <w:rFonts w:hint="eastAsia" w:ascii="宋体" w:hAnsi="宋体"/>
          <w:bCs/>
          <w:color w:val="auto"/>
          <w:sz w:val="20"/>
          <w:szCs w:val="20"/>
          <w:highlight w:val="none"/>
        </w:rPr>
        <w:t>所列措施项目是招标人根据一般情况估计的项目。</w:t>
      </w:r>
    </w:p>
    <w:p>
      <w:pPr>
        <w:adjustRightInd w:val="0"/>
        <w:snapToGrid w:val="0"/>
        <w:spacing w:line="360" w:lineRule="auto"/>
        <w:ind w:left="29" w:leftChars="14" w:firstLine="400" w:firstLineChars="200"/>
        <w:jc w:val="left"/>
        <w:rPr>
          <w:rFonts w:ascii="宋体"/>
          <w:color w:val="auto"/>
          <w:sz w:val="20"/>
          <w:szCs w:val="20"/>
          <w:highlight w:val="none"/>
        </w:rPr>
      </w:pPr>
      <w:r>
        <w:rPr>
          <w:rFonts w:hint="eastAsia"/>
          <w:color w:val="auto"/>
          <w:sz w:val="20"/>
          <w:szCs w:val="20"/>
          <w:highlight w:val="none"/>
        </w:rPr>
        <w:t>投标人应详细阅读理解招标人所发出的本工程设计文件及与本工程有关的其他图纸资料，认真细致领会招标文件要旨，并充分、详细考察工地现场。根据招标文件、招标人提供的所有与本工程有关的其他图纸资料、工程实际情况、投标人的施工组织设计及风险等自行调整措施项目并报价。在实施过程中</w:t>
      </w:r>
      <w:r>
        <w:rPr>
          <w:rFonts w:hint="eastAsia" w:ascii="宋体" w:hAnsi="宋体"/>
          <w:color w:val="auto"/>
          <w:sz w:val="20"/>
          <w:szCs w:val="20"/>
          <w:highlight w:val="none"/>
        </w:rPr>
        <w:t>，除非合同条件中另有明确约定，否则，工程措施项目费将以总价包干。</w:t>
      </w:r>
      <w:r>
        <w:rPr>
          <w:rFonts w:hint="eastAsia"/>
          <w:color w:val="auto"/>
          <w:sz w:val="20"/>
          <w:szCs w:val="20"/>
          <w:highlight w:val="none"/>
        </w:rPr>
        <w:t>如施工组织设计方案存在缺陷，发包人可要求其对方案进行完善、修改，承包人必须无条件执行，直到发包人、监理工程师、设计单位批准通过，但不因施工组织设计方案的调整而调整相关措施费用。</w:t>
      </w:r>
      <w:r>
        <w:rPr>
          <w:rFonts w:hint="eastAsia" w:ascii="宋体"/>
          <w:color w:val="auto"/>
          <w:sz w:val="20"/>
          <w:szCs w:val="20"/>
          <w:highlight w:val="none"/>
        </w:rPr>
        <w:t>任何因忽视或误解工地情况而导致的费用索赔或工期延长的申请不获批准。</w:t>
      </w:r>
    </w:p>
    <w:p>
      <w:pPr>
        <w:adjustRightInd w:val="0"/>
        <w:snapToGrid w:val="0"/>
        <w:spacing w:before="312" w:beforeLines="100" w:line="360" w:lineRule="auto"/>
        <w:ind w:firstLine="400" w:firstLineChars="200"/>
        <w:jc w:val="left"/>
        <w:rPr>
          <w:rFonts w:ascii="宋体" w:hAnsi="宋体"/>
          <w:bCs/>
          <w:color w:val="auto"/>
          <w:sz w:val="20"/>
          <w:szCs w:val="20"/>
          <w:highlight w:val="none"/>
        </w:rPr>
      </w:pPr>
      <w:r>
        <w:rPr>
          <w:rFonts w:ascii="宋体" w:hAnsi="宋体"/>
          <w:bCs/>
          <w:color w:val="auto"/>
          <w:sz w:val="20"/>
          <w:szCs w:val="20"/>
          <w:highlight w:val="none"/>
        </w:rPr>
        <w:t>9、措施项目中的安全施工、文明施工、临时设施、环境保护</w:t>
      </w:r>
      <w:r>
        <w:rPr>
          <w:rFonts w:hint="eastAsia" w:ascii="宋体" w:hAnsi="宋体"/>
          <w:bCs/>
          <w:color w:val="auto"/>
          <w:sz w:val="20"/>
          <w:szCs w:val="20"/>
          <w:highlight w:val="none"/>
        </w:rPr>
        <w:t>、</w:t>
      </w:r>
      <w:r>
        <w:rPr>
          <w:rFonts w:hint="eastAsia" w:ascii="宋体" w:hAnsi="宋体"/>
          <w:b/>
          <w:color w:val="auto"/>
          <w:sz w:val="20"/>
          <w:szCs w:val="20"/>
          <w:highlight w:val="none"/>
          <w:u w:val="single"/>
        </w:rPr>
        <w:t>施工临时围挡、基坑内场地硬地化、产业工人职业训练专项经费</w:t>
      </w:r>
      <w:r>
        <w:rPr>
          <w:rFonts w:ascii="宋体" w:hAnsi="宋体"/>
          <w:bCs/>
          <w:color w:val="auto"/>
          <w:sz w:val="20"/>
          <w:szCs w:val="20"/>
          <w:highlight w:val="none"/>
        </w:rPr>
        <w:t>等安全文明施工措施费为不可竞争费用，投标人按招标控制价中公布的该项费用具体金额进行报价，不得改变，并计入总报价。</w:t>
      </w:r>
    </w:p>
    <w:p>
      <w:pPr>
        <w:adjustRightInd w:val="0"/>
        <w:snapToGrid w:val="0"/>
        <w:spacing w:line="360" w:lineRule="auto"/>
        <w:ind w:left="29" w:leftChars="14" w:firstLine="420"/>
        <w:jc w:val="left"/>
        <w:rPr>
          <w:rFonts w:ascii="宋体" w:hAnsi="宋体"/>
          <w:bCs/>
          <w:color w:val="auto"/>
          <w:sz w:val="20"/>
          <w:szCs w:val="20"/>
          <w:highlight w:val="none"/>
        </w:rPr>
      </w:pPr>
      <w:r>
        <w:rPr>
          <w:rFonts w:hint="eastAsia" w:ascii="宋体" w:hAnsi="宋体"/>
          <w:bCs/>
          <w:color w:val="auto"/>
          <w:sz w:val="20"/>
          <w:szCs w:val="20"/>
          <w:highlight w:val="none"/>
        </w:rPr>
        <w:t>措施项目费中的履约担保手续费为总价包干，投标人报价时应综合考虑企业资信、项目实际情况等因素，结算时该费用不再调整。</w:t>
      </w:r>
    </w:p>
    <w:p>
      <w:pPr>
        <w:adjustRightInd w:val="0"/>
        <w:snapToGrid w:val="0"/>
        <w:spacing w:line="360" w:lineRule="auto"/>
        <w:ind w:firstLine="400" w:firstLineChars="200"/>
        <w:jc w:val="left"/>
        <w:rPr>
          <w:rFonts w:ascii="宋体" w:hAnsi="宋体"/>
          <w:bCs/>
          <w:color w:val="auto"/>
          <w:sz w:val="20"/>
          <w:szCs w:val="20"/>
          <w:highlight w:val="none"/>
        </w:rPr>
      </w:pPr>
      <w:r>
        <w:rPr>
          <w:rFonts w:ascii="宋体" w:hAnsi="宋体"/>
          <w:bCs/>
          <w:color w:val="auto"/>
          <w:sz w:val="20"/>
          <w:szCs w:val="20"/>
          <w:highlight w:val="none"/>
        </w:rPr>
        <w:t>10、暂列金额</w:t>
      </w:r>
    </w:p>
    <w:p>
      <w:pPr>
        <w:adjustRightInd w:val="0"/>
        <w:snapToGrid w:val="0"/>
        <w:spacing w:line="360" w:lineRule="auto"/>
        <w:ind w:firstLine="400" w:firstLineChars="200"/>
        <w:jc w:val="left"/>
        <w:rPr>
          <w:rFonts w:ascii="宋体" w:hAnsi="宋体"/>
          <w:bCs/>
          <w:color w:val="auto"/>
          <w:sz w:val="20"/>
          <w:szCs w:val="20"/>
          <w:highlight w:val="none"/>
        </w:rPr>
      </w:pPr>
      <w:r>
        <w:rPr>
          <w:rFonts w:ascii="宋体" w:hAnsi="宋体"/>
          <w:bCs/>
          <w:color w:val="auto"/>
          <w:sz w:val="20"/>
          <w:szCs w:val="20"/>
          <w:highlight w:val="none"/>
        </w:rPr>
        <w:t>10.1暂列金额：金额见前附表二，根据招标文件规定金额计入投标总价，不得更改。</w:t>
      </w:r>
    </w:p>
    <w:p>
      <w:pPr>
        <w:adjustRightInd w:val="0"/>
        <w:snapToGrid w:val="0"/>
        <w:spacing w:line="360" w:lineRule="auto"/>
        <w:ind w:firstLine="400" w:firstLineChars="200"/>
        <w:jc w:val="left"/>
        <w:rPr>
          <w:rFonts w:ascii="宋体" w:hAnsi="宋体"/>
          <w:bCs/>
          <w:color w:val="auto"/>
          <w:sz w:val="20"/>
          <w:szCs w:val="20"/>
          <w:highlight w:val="none"/>
        </w:rPr>
      </w:pPr>
      <w:r>
        <w:rPr>
          <w:rFonts w:hint="eastAsia" w:ascii="宋体" w:hAnsi="宋体"/>
          <w:bCs/>
          <w:color w:val="auto"/>
          <w:sz w:val="20"/>
          <w:szCs w:val="20"/>
          <w:highlight w:val="none"/>
        </w:rPr>
        <w:t>暂列金额的使用详见合同条款。</w:t>
      </w:r>
    </w:p>
    <w:p>
      <w:pPr>
        <w:adjustRightInd w:val="0"/>
        <w:snapToGrid w:val="0"/>
        <w:spacing w:line="360" w:lineRule="auto"/>
        <w:ind w:firstLine="400" w:firstLineChars="200"/>
        <w:jc w:val="left"/>
        <w:rPr>
          <w:rFonts w:ascii="宋体" w:hAnsi="宋体"/>
          <w:color w:val="auto"/>
          <w:sz w:val="20"/>
          <w:szCs w:val="20"/>
          <w:highlight w:val="none"/>
        </w:rPr>
      </w:pPr>
      <w:r>
        <w:rPr>
          <w:rFonts w:hint="eastAsia" w:ascii="宋体" w:hAnsi="宋体"/>
          <w:color w:val="auto"/>
          <w:sz w:val="20"/>
          <w:szCs w:val="20"/>
          <w:highlight w:val="none"/>
        </w:rPr>
        <w:t>1</w:t>
      </w:r>
      <w:r>
        <w:rPr>
          <w:rFonts w:ascii="宋体" w:hAnsi="宋体"/>
          <w:color w:val="auto"/>
          <w:sz w:val="20"/>
          <w:szCs w:val="20"/>
          <w:highlight w:val="none"/>
        </w:rPr>
        <w:t>1、投标报价中应包含国家有关部门和地方政府规定交纳的“规费”，包括社会保障费(包括失业保险、养老保险、工伤保险、生育保险、医疗保险、住房公积金)、</w:t>
      </w:r>
      <w:r>
        <w:rPr>
          <w:rFonts w:ascii="宋体" w:hAnsi="宋体"/>
          <w:b/>
          <w:bCs/>
          <w:color w:val="auto"/>
          <w:sz w:val="20"/>
          <w:szCs w:val="20"/>
          <w:highlight w:val="none"/>
          <w:u w:val="single"/>
        </w:rPr>
        <w:t>环境保护</w:t>
      </w:r>
      <w:r>
        <w:rPr>
          <w:rFonts w:hint="eastAsia" w:ascii="宋体" w:hAnsi="宋体"/>
          <w:b/>
          <w:bCs/>
          <w:color w:val="auto"/>
          <w:sz w:val="20"/>
          <w:szCs w:val="20"/>
          <w:highlight w:val="none"/>
          <w:u w:val="single"/>
        </w:rPr>
        <w:t>税及其它政府规定的费用</w:t>
      </w:r>
      <w:r>
        <w:rPr>
          <w:rFonts w:ascii="宋体" w:hAnsi="宋体"/>
          <w:color w:val="auto"/>
          <w:sz w:val="20"/>
          <w:szCs w:val="20"/>
          <w:highlight w:val="none"/>
        </w:rPr>
        <w:t>。</w:t>
      </w:r>
    </w:p>
    <w:p>
      <w:pPr>
        <w:adjustRightInd w:val="0"/>
        <w:snapToGrid w:val="0"/>
        <w:spacing w:before="312" w:beforeLines="100" w:line="360" w:lineRule="auto"/>
        <w:ind w:firstLine="400" w:firstLineChars="200"/>
        <w:jc w:val="left"/>
        <w:rPr>
          <w:rFonts w:ascii="宋体" w:hAnsi="宋体"/>
          <w:bCs/>
          <w:color w:val="auto"/>
          <w:sz w:val="20"/>
          <w:szCs w:val="20"/>
          <w:highlight w:val="none"/>
        </w:rPr>
      </w:pPr>
      <w:r>
        <w:rPr>
          <w:rFonts w:hint="eastAsia" w:ascii="宋体" w:hAnsi="宋体"/>
          <w:bCs/>
          <w:color w:val="auto"/>
          <w:sz w:val="20"/>
          <w:szCs w:val="20"/>
          <w:highlight w:val="none"/>
        </w:rPr>
        <w:t>1</w:t>
      </w:r>
      <w:r>
        <w:rPr>
          <w:rFonts w:ascii="宋体" w:hAnsi="宋体"/>
          <w:bCs/>
          <w:color w:val="auto"/>
          <w:sz w:val="20"/>
          <w:szCs w:val="20"/>
          <w:highlight w:val="none"/>
        </w:rPr>
        <w:t>2、</w:t>
      </w:r>
      <w:r>
        <w:rPr>
          <w:rFonts w:hint="eastAsia" w:ascii="宋体" w:hAnsi="宋体"/>
          <w:bCs/>
          <w:color w:val="auto"/>
          <w:sz w:val="20"/>
          <w:szCs w:val="20"/>
          <w:highlight w:val="none"/>
        </w:rPr>
        <w:t>关于参考品牌及其报价</w:t>
      </w:r>
    </w:p>
    <w:p>
      <w:pPr>
        <w:adjustRightInd w:val="0"/>
        <w:snapToGrid w:val="0"/>
        <w:spacing w:before="312" w:beforeLines="100" w:line="360" w:lineRule="auto"/>
        <w:ind w:firstLine="400" w:firstLineChars="200"/>
        <w:jc w:val="left"/>
        <w:rPr>
          <w:rFonts w:ascii="宋体" w:hAnsi="宋体"/>
          <w:bCs/>
          <w:color w:val="auto"/>
          <w:sz w:val="20"/>
          <w:szCs w:val="20"/>
          <w:highlight w:val="none"/>
        </w:rPr>
      </w:pPr>
      <w:r>
        <w:rPr>
          <w:rFonts w:hint="eastAsia" w:ascii="宋体" w:hAnsi="宋体"/>
          <w:bCs/>
          <w:color w:val="auto"/>
          <w:sz w:val="20"/>
          <w:szCs w:val="20"/>
          <w:highlight w:val="none"/>
        </w:rPr>
        <w:t>1</w:t>
      </w:r>
      <w:r>
        <w:rPr>
          <w:rFonts w:ascii="宋体" w:hAnsi="宋体"/>
          <w:bCs/>
          <w:color w:val="auto"/>
          <w:sz w:val="20"/>
          <w:szCs w:val="20"/>
          <w:highlight w:val="none"/>
        </w:rPr>
        <w:t>2</w:t>
      </w:r>
      <w:r>
        <w:rPr>
          <w:rFonts w:hint="eastAsia" w:ascii="宋体" w:hAnsi="宋体"/>
          <w:bCs/>
          <w:color w:val="auto"/>
          <w:sz w:val="20"/>
          <w:szCs w:val="20"/>
          <w:highlight w:val="none"/>
        </w:rPr>
        <w:t>.1招标人为了确保工程质量和装饰效果，对某些质量、价格或观感对整个工程或设备质量、价格或者装饰效果起着非常关键作用的主要材料或设备（元器件）设立参考品牌，作为材料设备的选用范围。</w:t>
      </w:r>
    </w:p>
    <w:p>
      <w:pPr>
        <w:adjustRightInd w:val="0"/>
        <w:snapToGrid w:val="0"/>
        <w:spacing w:before="312" w:beforeLines="100" w:line="360" w:lineRule="auto"/>
        <w:ind w:firstLine="400" w:firstLineChars="200"/>
        <w:jc w:val="left"/>
        <w:rPr>
          <w:rFonts w:ascii="宋体" w:hAnsi="宋体"/>
          <w:bCs/>
          <w:color w:val="auto"/>
          <w:sz w:val="20"/>
          <w:szCs w:val="20"/>
          <w:highlight w:val="none"/>
        </w:rPr>
      </w:pPr>
      <w:r>
        <w:rPr>
          <w:rFonts w:hint="eastAsia" w:ascii="宋体" w:hAnsi="宋体"/>
          <w:bCs/>
          <w:color w:val="auto"/>
          <w:sz w:val="20"/>
          <w:szCs w:val="20"/>
          <w:highlight w:val="none"/>
        </w:rPr>
        <w:t>1</w:t>
      </w:r>
      <w:r>
        <w:rPr>
          <w:rFonts w:ascii="宋体" w:hAnsi="宋体"/>
          <w:bCs/>
          <w:color w:val="auto"/>
          <w:sz w:val="20"/>
          <w:szCs w:val="20"/>
          <w:highlight w:val="none"/>
        </w:rPr>
        <w:t>2</w:t>
      </w:r>
      <w:r>
        <w:rPr>
          <w:rFonts w:hint="eastAsia" w:ascii="宋体" w:hAnsi="宋体"/>
          <w:bCs/>
          <w:color w:val="auto"/>
          <w:sz w:val="20"/>
          <w:szCs w:val="20"/>
          <w:highlight w:val="none"/>
        </w:rPr>
        <w:t>.2投标人在投标时可以选择参考品牌作为投标品牌，也可以选用其他品质不低于参考品牌的品牌，但在后一种情况下投标人应提供足够的证据证明其所选投标品牌完全满足设计要求、品质不低于参考品牌。由于投标单位未能提供足够的证据造成的后果由投标人承担。投标人在投标时应根据所选择的参考品牌进行报价。</w:t>
      </w:r>
    </w:p>
    <w:p>
      <w:pPr>
        <w:adjustRightInd w:val="0"/>
        <w:snapToGrid w:val="0"/>
        <w:spacing w:before="312" w:beforeLines="100" w:line="360" w:lineRule="auto"/>
        <w:ind w:firstLine="400" w:firstLineChars="200"/>
        <w:jc w:val="left"/>
        <w:rPr>
          <w:rFonts w:ascii="宋体" w:hAnsi="宋体"/>
          <w:color w:val="auto"/>
          <w:sz w:val="20"/>
          <w:szCs w:val="20"/>
          <w:highlight w:val="none"/>
        </w:rPr>
      </w:pPr>
      <w:r>
        <w:rPr>
          <w:rFonts w:ascii="宋体" w:hAnsi="宋体"/>
          <w:color w:val="auto"/>
          <w:sz w:val="20"/>
          <w:szCs w:val="20"/>
          <w:highlight w:val="none"/>
        </w:rPr>
        <w:t>13、工程量清单中的报价，均应以人民币元为单位，最终以人民币办理结算。</w:t>
      </w:r>
    </w:p>
    <w:p>
      <w:pPr>
        <w:rPr>
          <w:rFonts w:ascii="仿宋" w:hAnsi="仿宋" w:eastAsia="仿宋" w:cs="仿宋"/>
          <w:color w:val="auto"/>
          <w:highlight w:val="none"/>
        </w:rPr>
      </w:pPr>
      <w:r>
        <w:rPr>
          <w:rFonts w:hint="eastAsia" w:ascii="仿宋" w:hAnsi="仿宋" w:eastAsia="仿宋" w:cs="仿宋"/>
          <w:color w:val="auto"/>
          <w:highlight w:val="none"/>
        </w:rPr>
        <w:br w:type="page"/>
      </w:r>
    </w:p>
    <w:p>
      <w:pPr>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附件</w:t>
      </w:r>
      <w:r>
        <w:rPr>
          <w:rFonts w:hint="eastAsia" w:ascii="仿宋" w:hAnsi="仿宋" w:eastAsia="仿宋" w:cs="仿宋"/>
          <w:color w:val="auto"/>
          <w:sz w:val="31"/>
          <w:szCs w:val="31"/>
          <w:highlight w:val="none"/>
          <w:lang w:val="en-US" w:eastAsia="zh-CN"/>
        </w:rPr>
        <w:t>二</w:t>
      </w:r>
      <w:r>
        <w:rPr>
          <w:rFonts w:hint="eastAsia" w:ascii="仿宋" w:hAnsi="仿宋" w:eastAsia="仿宋" w:cs="仿宋"/>
          <w:color w:val="auto"/>
          <w:sz w:val="31"/>
          <w:szCs w:val="31"/>
          <w:highlight w:val="none"/>
        </w:rPr>
        <w:t>：</w:t>
      </w:r>
    </w:p>
    <w:p>
      <w:pPr>
        <w:adjustRightInd w:val="0"/>
        <w:snapToGrid w:val="0"/>
        <w:spacing w:after="312" w:afterLines="100" w:line="360" w:lineRule="auto"/>
        <w:jc w:val="center"/>
        <w:rPr>
          <w:rFonts w:ascii="仿宋" w:hAnsi="仿宋" w:eastAsia="仿宋" w:cs="仿宋"/>
          <w:b/>
          <w:color w:val="auto"/>
          <w:sz w:val="27"/>
          <w:szCs w:val="27"/>
          <w:highlight w:val="none"/>
        </w:rPr>
      </w:pPr>
      <w:r>
        <w:rPr>
          <w:rFonts w:hint="eastAsia" w:ascii="仿宋" w:hAnsi="仿宋" w:eastAsia="仿宋" w:cs="仿宋"/>
          <w:b/>
          <w:bCs/>
          <w:color w:val="auto"/>
          <w:sz w:val="27"/>
          <w:szCs w:val="27"/>
          <w:highlight w:val="none"/>
        </w:rPr>
        <w:t>《工程量清单投标报价规定》的修改及补充条款</w:t>
      </w:r>
    </w:p>
    <w:p>
      <w:pPr>
        <w:adjustRightInd w:val="0"/>
        <w:snapToGrid w:val="0"/>
        <w:spacing w:line="360" w:lineRule="auto"/>
        <w:jc w:val="left"/>
        <w:rPr>
          <w:rFonts w:cs="仿宋" w:asciiTheme="minorEastAsia" w:hAnsiTheme="minorEastAsia" w:eastAsiaTheme="minorEastAsia"/>
          <w:b/>
          <w:color w:val="auto"/>
          <w:sz w:val="20"/>
          <w:szCs w:val="20"/>
          <w:highlight w:val="none"/>
        </w:rPr>
      </w:pPr>
      <w:r>
        <w:rPr>
          <w:rFonts w:hint="eastAsia" w:cs="仿宋" w:asciiTheme="minorEastAsia" w:hAnsiTheme="minorEastAsia" w:eastAsiaTheme="minorEastAsia"/>
          <w:b/>
          <w:color w:val="auto"/>
          <w:sz w:val="20"/>
          <w:szCs w:val="20"/>
          <w:highlight w:val="none"/>
        </w:rPr>
        <w:t>说明：附件2是附件1的修改和补充，如附件2与附件1之间有不符之处，以附件2内容为准。</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本工程为固定综合单价合同，投标人在投标报价时应充分考虑为完成本工程应包括的全部项目及风险，综合单价中应包括招标文件及合同条件明示和隐含的一切风险费用。风险范围包括但不限于：</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（1）由于承包人与总承包单位、其他专业承包人之间的交叉作业或配合而引起的窝工、停工损失；以及施工作业面移交等原因导致不均衡施工对劳动力需求的变化从而出现赶工或窝工，费用不做调整；</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（2）人工、材料、机械费等变化引起风险（合同规定的可以调整的除外）；</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（3）招标工程承包范围内有需深化设计项目的，清单项目内因施工工艺需承包人进行深化设计所发生的一切费用；</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（4）与各专业之间的衔接、部分已完结构的拆除、隔断与原结构的连接、水电管线安装与原有管线交叉部位的处理等所发生的一切费用；</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（5）由于承包人与总承包单位、其他专业承包人之间的交叉作业或配合而引起的人工和机械的降效。</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（6）其他。</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投标报价时应考虑聘请专业保安公司负责施工现场保安工作，采取相应保卫措施防止出现财、物被盗行为，相关费用已包括在报价中，招标人不再另行支付此类费用。</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本项目采用工务署质量标准进行验收。特别提醒：工务署质量验收标准可能高于国家、地区及行业验收标准。请投标人在投标时充分考虑采用高于国家、地区及行业验收标准所增加的一切费用，结算时不予调整。</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招标文件中约定由承包人提供的服务及应履行的义务，除非相关条款中已经明确费用计取标准和支付方式，否则所有相关费用由投标人在投标报价时综合考虑，不再另行计量或计价。</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本项目安全文明施工由施工总承包单位进行统一协调管理，承包人需与施工总承包单位签署安全管理协议。承包人需向施工总承包单位交纳不少于1万元的安全文明施工保证金；承包人需履行本工程范围内的安全文明责任，并服从施工总承包单位的安全文明施工统一管理。</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bookmarkStart w:id="5" w:name="_Hlk102664585"/>
      <w:r>
        <w:rPr>
          <w:rFonts w:hint="eastAsia" w:cs="仿宋" w:asciiTheme="minorEastAsia" w:hAnsiTheme="minorEastAsia" w:eastAsiaTheme="minorEastAsia"/>
          <w:color w:val="auto"/>
          <w:sz w:val="20"/>
          <w:szCs w:val="20"/>
          <w:highlight w:val="none"/>
        </w:rPr>
        <w:t>临时设施使用费</w:t>
      </w:r>
      <w:bookmarkEnd w:id="5"/>
      <w:r>
        <w:rPr>
          <w:rFonts w:hint="eastAsia" w:cs="仿宋" w:asciiTheme="minorEastAsia" w:hAnsiTheme="minorEastAsia" w:eastAsiaTheme="minorEastAsia"/>
          <w:color w:val="auto"/>
          <w:sz w:val="20"/>
          <w:szCs w:val="20"/>
          <w:highlight w:val="none"/>
        </w:rPr>
        <w:t>（总分包配合费）</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承包人使用施工总承包单位现场设施所需支付的费用，以及总承包单位和招标人指定承包人约定的其他费用。</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招标人编制的专业工程标底中已包含脚手架、垂直运输设备等费用，专业工程承包人如使用总承包单位的脚手架、垂直运输设备等设施时，如需向总承包单位缴纳临时设施使用费时，该费用由专业工程承包人负责，在投标报价时综合考虑，不得向发包人另行索要。</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临时设施使用费（总分包配合费）=本工程合同价（扣除暂列金额）×1 %（即配合费率）；在结算时由发包人直接从结算款中扣除总分包配合费，支付给施工总承包单位。投标人投标时需考虑此部分费用，结算时，不因本工程结算金额的变化而调整。</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临时用水电</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（1）工程用水：</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收费规定：具备安表计量条件的按表计量，总表和分表的水费差由各用水单位分摊，施工总承包单位向承包人收取的水费单价不得高于深圳市水务局收费标准的120%，并向承包人出具用水收费凭证（无发票）。</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（2）工程用电：</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 xml:space="preserve">收费规定：具备安表计量条件的按表计量，施工总承包单位向承包人收取的电费单价不得高于深圳市供电局收费标准的125%； </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施工总承包单位负责收缴电费，统一缴至供电局，并向承包人出具用电收费凭证（无发票）。承包人必须在指定的时间内（每月10号前）向施工总承包单位缴清用电费用，不得拒/欠缴电费。总表与分表度数如有出入，按用电量的比例进行分摊；</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变压器的基本电费由施工总承包单位负责收缴，基本电费由各施工单位共同分摊。</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（3）不具备安表计量条件的水电费：</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不具备安表计量条件的水电费由施工总承包单位与承包人自行协商解决，但此种情形下施工总承包单位向承包人收取水电费用总额上限为承包人合同金额（扣除设备费）的0.8%（含施工用水电及联合调试用水电，不含税），承包人须在水电费缴纳协议签订后一个月内一次性支付给施工总承包单位。</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施工过程中的噪音、扬尘、震动、防护等将对师生造成不良影响，施工过程中不得影响学校的正常教学与生活秩序。投标人须严格遵照学校的作息时间，以及节假日、各类考试、重大活动等特定时间安排，在规定的时间合理安排施工进度和组织安全文明施工。以上有关产生的施工降效费，承包人需充分考虑此项风险，在措施费中报价，结算时不予调整。</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因发包人或项目其他承包人原因延迟移交场地或工作面而对本工程工期产生影响的，承包人应及时调整施工方案，并承担因此而产生的相关风险；承包人应在投标报价中充分考虑相关风险费用，不得因上述原因提出费用索赔。</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当前处于“新冠”疫情时期，请各投标人在投标报价时充分考虑在施工期间按疫情管理要求增加疫情防控的费用，在措施费“其他”项中予以综合考虑，结算不予调整。</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承包人范围内施工完成后，需做好成品保护。如因承包人原因导致其他承包人完成的工作损坏，该部分的修复费用由承包人承担。</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分部分项工程量清单中项目特征描述不全或不准确时，应按招标文件、设计图纸及技术规范要求中最严格的规定执行；对本工程施工、材料和设备（特别是招标人有明确质量品质标准要求的材料和设备）的说明和规定，在招标文件、设计图纸中已有详细说明，未重复写入工程量清单内，投标人投标报价时应全面满足上述规定。</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措施项目报价应综合考虑以下风险范围（包括但不限于），招标人不再另行计取相关费用：</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a、施工及维护期间除不可抗力原因外的气候条件造成的现场措施费的增加；</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b、由于承包人与其他专业承包人之间的交叉作业或配合而引起的工序调整、时序调整、窝工、停工损失；以及施工作业面移交等原因导致不均衡施工对劳动力需求的变化从而出现赶工或窝工，费用不做调整。</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c、冬、雨季施工等措施费。</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cs="仿宋" w:asciiTheme="minorEastAsia" w:hAnsiTheme="minorEastAsia" w:eastAsiaTheme="minorEastAsia"/>
          <w:color w:val="auto"/>
          <w:sz w:val="20"/>
          <w:szCs w:val="20"/>
          <w:highlight w:val="none"/>
        </w:rPr>
        <w:t>d</w:t>
      </w:r>
      <w:r>
        <w:rPr>
          <w:rFonts w:hint="eastAsia" w:cs="仿宋" w:asciiTheme="minorEastAsia" w:hAnsiTheme="minorEastAsia" w:eastAsiaTheme="minorEastAsia"/>
          <w:color w:val="auto"/>
          <w:sz w:val="20"/>
          <w:szCs w:val="20"/>
          <w:highlight w:val="none"/>
        </w:rPr>
        <w:t>、达到工程质量目标相应采取施工技术管理要求所增加的相关费用。</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总包管理服务费</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总包管理服务费是施工总承包单位对发包人发包的专业工程实施统筹管理而发生的费用，包括对专业工程的进度安排，施工现场管理协调，竣工资料汇总整理等。</w:t>
      </w:r>
    </w:p>
    <w:p>
      <w:pPr>
        <w:adjustRightInd w:val="0"/>
        <w:snapToGrid w:val="0"/>
        <w:spacing w:line="360" w:lineRule="auto"/>
        <w:ind w:firstLine="400" w:firstLineChars="200"/>
        <w:jc w:val="left"/>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总包管理服务费由发包人支付给施工总承包单位，承包人无需计取此项费用。</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招标文件中约定由承包人提供的服务及应履行的义务，除非相关条款中已经明确费用计取标准和支付方式，否则所有相关费用由投标人在投标报价时综合考虑，不再另行计量或计价。</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本标段标识标牌施工安装中配套所需的室内外基础工程和室内外固定工程以及施工中如需凿墙及开孔等，均由投标人负责，投标人在投标报价时综合考虑，投标总价包含本项费用，结算时不予调整。</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本项目用地紧张，现场无法搭设承包人临时设施和提供材料加工堆放场地，需承包人自行解决，异地租赁费用在措施费中计取，投标人应在考察现场后进行合理报价，总价包干，结算不予调整。</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本工程项目场地狭小，无法提供临时设施搭建场地和材料加工堆放场地，需承包人自行解决（异地租赁等）。投标人在投标报价时应考虑此项费用。</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现场所有施工垃圾由施工总承包单位统一进行清运。施工过程中产生的建筑垃圾均由承包人清运至施工总承包单位指定地点。请投标人在投标报价时在措施费“拆除及垃圾外运费”项报价，结算时按投标报价包干，不作调整。</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标识标牌的图案及文字等内容，需投标人进场后进行深化设计，包括但不限于：图案及文字的样式、颜色等，并最终须获得设计单位及发包人认可，因深化设计产生的费用由投标人在投标报价中综合考虑，结算不另行增加费用。</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rPr>
        <w:t>中标人负责本工程招标文件及合同的制作印刷费。</w:t>
      </w:r>
    </w:p>
    <w:p>
      <w:pPr>
        <w:pStyle w:val="19"/>
        <w:numPr>
          <w:ilvl w:val="0"/>
          <w:numId w:val="3"/>
        </w:numPr>
        <w:adjustRightInd w:val="0"/>
        <w:snapToGrid w:val="0"/>
        <w:spacing w:line="360" w:lineRule="auto"/>
        <w:ind w:firstLine="400"/>
        <w:rPr>
          <w:rFonts w:cs="仿宋" w:asciiTheme="minorEastAsia" w:hAnsiTheme="minorEastAsia" w:eastAsiaTheme="minorEastAsia"/>
          <w:color w:val="auto"/>
          <w:sz w:val="20"/>
          <w:szCs w:val="20"/>
          <w:highlight w:val="none"/>
        </w:rPr>
      </w:pPr>
      <w:r>
        <w:rPr>
          <w:rFonts w:hint="eastAsia" w:cs="仿宋" w:asciiTheme="minorEastAsia" w:hAnsiTheme="minorEastAsia" w:eastAsiaTheme="minorEastAsia"/>
          <w:color w:val="auto"/>
          <w:sz w:val="20"/>
          <w:szCs w:val="20"/>
          <w:highlight w:val="none"/>
          <w:lang w:val="en-US" w:eastAsia="zh-CN"/>
        </w:rPr>
        <w:t>负责标识标牌自身接线调试，</w:t>
      </w:r>
      <w:r>
        <w:rPr>
          <w:rFonts w:hint="eastAsia" w:cs="仿宋" w:asciiTheme="minorEastAsia" w:hAnsiTheme="minorEastAsia" w:eastAsiaTheme="minorEastAsia"/>
          <w:color w:val="auto"/>
          <w:sz w:val="20"/>
          <w:szCs w:val="20"/>
          <w:highlight w:val="none"/>
        </w:rPr>
        <w:t>投标人在投标报价时综合考虑，投标总价包含本项费用，结算时不予调整。</w:t>
      </w:r>
    </w:p>
    <w:p>
      <w:pPr>
        <w:pStyle w:val="19"/>
        <w:numPr>
          <w:ilvl w:val="0"/>
          <w:numId w:val="0"/>
        </w:numPr>
        <w:adjustRightInd w:val="0"/>
        <w:snapToGrid w:val="0"/>
        <w:spacing w:line="360" w:lineRule="auto"/>
        <w:rPr>
          <w:rFonts w:cs="仿宋" w:asciiTheme="minorEastAsia" w:hAnsiTheme="minorEastAsia" w:eastAsiaTheme="minorEastAsia"/>
          <w:color w:val="auto"/>
          <w:sz w:val="20"/>
          <w:szCs w:val="20"/>
          <w:highlight w:val="none"/>
        </w:rPr>
      </w:pPr>
    </w:p>
    <w:p>
      <w:pPr>
        <w:adjustRightInd w:val="0"/>
        <w:snapToGrid w:val="0"/>
        <w:spacing w:line="360" w:lineRule="auto"/>
        <w:rPr>
          <w:rFonts w:ascii="仿宋" w:hAnsi="仿宋" w:eastAsia="仿宋" w:cs="仿宋"/>
          <w:color w:val="auto"/>
          <w:highlight w:val="none"/>
        </w:rPr>
      </w:pPr>
    </w:p>
    <w:p>
      <w:pPr>
        <w:adjustRightInd w:val="0"/>
        <w:snapToGrid w:val="0"/>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13"/>
        <w:spacing w:before="0"/>
        <w:jc w:val="center"/>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措施项目清单计价表</w:t>
      </w:r>
    </w:p>
    <w:tbl>
      <w:tblPr>
        <w:tblStyle w:val="15"/>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852"/>
        <w:gridCol w:w="3504"/>
        <w:gridCol w:w="4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90" w:type="dxa"/>
            <w:vAlign w:val="center"/>
          </w:tcPr>
          <w:p>
            <w:pPr>
              <w:adjustRightInd w:val="0"/>
              <w:snapToGrid w:val="0"/>
              <w:jc w:val="center"/>
              <w:rPr>
                <w:rFonts w:ascii="Times New Roman" w:hAnsi="Times New Roman" w:cs="Times New Roman"/>
                <w:b/>
                <w:bCs/>
                <w:color w:val="auto"/>
                <w:sz w:val="20"/>
                <w:szCs w:val="20"/>
                <w:highlight w:val="none"/>
              </w:rPr>
            </w:pPr>
            <w:r>
              <w:rPr>
                <w:rFonts w:hint="eastAsia" w:ascii="Times New Roman" w:hAnsi="Times New Roman" w:cs="Times New Roman"/>
                <w:b/>
                <w:bCs/>
                <w:color w:val="auto"/>
                <w:sz w:val="20"/>
                <w:szCs w:val="20"/>
                <w:highlight w:val="none"/>
              </w:rPr>
              <w:t>选用</w:t>
            </w:r>
          </w:p>
        </w:tc>
        <w:tc>
          <w:tcPr>
            <w:tcW w:w="852" w:type="dxa"/>
            <w:vAlign w:val="center"/>
          </w:tcPr>
          <w:p>
            <w:pPr>
              <w:adjustRightInd w:val="0"/>
              <w:snapToGrid w:val="0"/>
              <w:jc w:val="center"/>
              <w:rPr>
                <w:rFonts w:ascii="Times New Roman" w:hAnsi="Times New Roman" w:cs="Times New Roman"/>
                <w:b/>
                <w:bCs/>
                <w:color w:val="auto"/>
                <w:sz w:val="20"/>
                <w:szCs w:val="20"/>
                <w:highlight w:val="none"/>
              </w:rPr>
            </w:pPr>
            <w:r>
              <w:rPr>
                <w:rFonts w:hint="eastAsia" w:ascii="Times New Roman" w:hAnsi="Times New Roman" w:cs="Times New Roman"/>
                <w:b/>
                <w:bCs/>
                <w:color w:val="auto"/>
                <w:sz w:val="20"/>
                <w:szCs w:val="20"/>
                <w:highlight w:val="none"/>
              </w:rPr>
              <w:t>序号</w:t>
            </w:r>
          </w:p>
        </w:tc>
        <w:tc>
          <w:tcPr>
            <w:tcW w:w="3504" w:type="dxa"/>
            <w:vAlign w:val="center"/>
          </w:tcPr>
          <w:p>
            <w:pPr>
              <w:adjustRightInd w:val="0"/>
              <w:snapToGrid w:val="0"/>
              <w:jc w:val="center"/>
              <w:rPr>
                <w:rFonts w:ascii="Times New Roman" w:hAnsi="Times New Roman" w:cs="Times New Roman"/>
                <w:b/>
                <w:bCs/>
                <w:color w:val="auto"/>
                <w:sz w:val="20"/>
                <w:szCs w:val="20"/>
                <w:highlight w:val="none"/>
              </w:rPr>
            </w:pPr>
            <w:r>
              <w:rPr>
                <w:rFonts w:hint="eastAsia" w:ascii="Times New Roman" w:hAnsi="Times New Roman" w:cs="Times New Roman"/>
                <w:b/>
                <w:bCs/>
                <w:color w:val="auto"/>
                <w:sz w:val="20"/>
                <w:szCs w:val="20"/>
                <w:highlight w:val="none"/>
              </w:rPr>
              <w:t>项目名称</w:t>
            </w:r>
          </w:p>
        </w:tc>
        <w:tc>
          <w:tcPr>
            <w:tcW w:w="4441" w:type="dxa"/>
            <w:vAlign w:val="center"/>
          </w:tcPr>
          <w:p>
            <w:pPr>
              <w:adjustRightInd w:val="0"/>
              <w:snapToGrid w:val="0"/>
              <w:jc w:val="center"/>
              <w:rPr>
                <w:rFonts w:ascii="Times New Roman" w:hAnsi="Times New Roman" w:cs="Times New Roman"/>
                <w:b/>
                <w:bCs/>
                <w:color w:val="auto"/>
                <w:sz w:val="20"/>
                <w:szCs w:val="20"/>
                <w:highlight w:val="none"/>
              </w:rPr>
            </w:pPr>
            <w:r>
              <w:rPr>
                <w:rFonts w:hint="eastAsia" w:ascii="Times New Roman" w:hAnsi="Times New Roman" w:cs="Times New Roman"/>
                <w:b/>
                <w:bCs/>
                <w:color w:val="auto"/>
                <w:sz w:val="20"/>
                <w:szCs w:val="20"/>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1</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安全文明施工措施费</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含按政府主管部门有关现场管理要求所必须发生的费用（如安装视频监控系统、</w:t>
            </w:r>
            <w:r>
              <w:rPr>
                <w:rFonts w:ascii="宋体" w:hAnsi="宋体" w:cs="Times New Roman"/>
                <w:bCs/>
                <w:color w:val="auto"/>
                <w:sz w:val="20"/>
                <w:szCs w:val="20"/>
                <w:highlight w:val="none"/>
              </w:rPr>
              <w:t>运输车辆自动喷淋系统</w:t>
            </w:r>
            <w:r>
              <w:rPr>
                <w:rFonts w:hint="eastAsia" w:ascii="宋体" w:hAnsi="宋体" w:cs="Times New Roman"/>
                <w:bCs/>
                <w:color w:val="auto"/>
                <w:sz w:val="20"/>
                <w:szCs w:val="20"/>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1.1</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
                <w:color w:val="auto"/>
                <w:sz w:val="20"/>
                <w:szCs w:val="20"/>
                <w:highlight w:val="none"/>
                <w:u w:val="single"/>
              </w:rPr>
              <w:t>安全文明施工措施费（包括临时设施费、安全施工费、文明施工费、环境保护费）</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Times New Roman" w:cs="Times New Roman"/>
                <w:color w:val="auto"/>
                <w:sz w:val="20"/>
                <w:szCs w:val="20"/>
                <w:highlight w:val="none"/>
              </w:rPr>
              <w:t>大门、围墙（围档）以及洗车槽等临时设施的要求详见合同专用条款附件“深圳市建筑工务署形象手册”。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dxa"/>
            <w:vAlign w:val="center"/>
          </w:tcPr>
          <w:p>
            <w:pPr>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1.2</w:t>
            </w:r>
          </w:p>
        </w:tc>
        <w:tc>
          <w:tcPr>
            <w:tcW w:w="3504" w:type="dxa"/>
            <w:vAlign w:val="center"/>
          </w:tcPr>
          <w:p>
            <w:pPr>
              <w:adjustRightInd w:val="0"/>
              <w:snapToGrid w:val="0"/>
              <w:jc w:val="left"/>
              <w:rPr>
                <w:rFonts w:ascii="宋体" w:hAnsi="宋体" w:cs="Times New Roman"/>
                <w:b/>
                <w:color w:val="auto"/>
                <w:sz w:val="20"/>
                <w:szCs w:val="20"/>
                <w:highlight w:val="none"/>
                <w:u w:val="single"/>
              </w:rPr>
            </w:pPr>
            <w:r>
              <w:rPr>
                <w:rFonts w:hint="eastAsia" w:ascii="宋体" w:hAnsi="宋体" w:cs="Times New Roman"/>
                <w:b/>
                <w:color w:val="auto"/>
                <w:sz w:val="20"/>
                <w:szCs w:val="20"/>
                <w:highlight w:val="none"/>
                <w:u w:val="single"/>
              </w:rPr>
              <w:t>其他安全文明施工措施</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dxa"/>
            <w:vAlign w:val="center"/>
          </w:tcPr>
          <w:p>
            <w:pPr>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1.2.1</w:t>
            </w:r>
          </w:p>
        </w:tc>
        <w:tc>
          <w:tcPr>
            <w:tcW w:w="3504" w:type="dxa"/>
            <w:vAlign w:val="center"/>
          </w:tcPr>
          <w:p>
            <w:pPr>
              <w:adjustRightInd w:val="0"/>
              <w:snapToGrid w:val="0"/>
              <w:jc w:val="left"/>
              <w:rPr>
                <w:rFonts w:ascii="宋体" w:hAnsi="宋体" w:cs="Times New Roman"/>
                <w:b/>
                <w:color w:val="auto"/>
                <w:sz w:val="20"/>
                <w:szCs w:val="20"/>
                <w:highlight w:val="none"/>
                <w:u w:val="single"/>
              </w:rPr>
            </w:pPr>
            <w:r>
              <w:rPr>
                <w:rFonts w:hint="eastAsia" w:ascii="宋体" w:hAnsi="宋体" w:cs="Times New Roman"/>
                <w:b/>
                <w:color w:val="auto"/>
                <w:sz w:val="20"/>
                <w:szCs w:val="20"/>
                <w:highlight w:val="none"/>
                <w:u w:val="single"/>
              </w:rPr>
              <w:t>临时围挡费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dxa"/>
            <w:vAlign w:val="center"/>
          </w:tcPr>
          <w:p>
            <w:pPr>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1.2.2</w:t>
            </w:r>
          </w:p>
        </w:tc>
        <w:tc>
          <w:tcPr>
            <w:tcW w:w="3504" w:type="dxa"/>
            <w:vAlign w:val="center"/>
          </w:tcPr>
          <w:p>
            <w:pPr>
              <w:adjustRightInd w:val="0"/>
              <w:snapToGrid w:val="0"/>
              <w:jc w:val="left"/>
              <w:rPr>
                <w:rFonts w:ascii="宋体" w:hAnsi="宋体" w:cs="Times New Roman"/>
                <w:b/>
                <w:color w:val="auto"/>
                <w:sz w:val="20"/>
                <w:szCs w:val="20"/>
                <w:highlight w:val="none"/>
                <w:u w:val="single"/>
              </w:rPr>
            </w:pPr>
            <w:r>
              <w:rPr>
                <w:rFonts w:hint="eastAsia" w:ascii="宋体" w:hAnsi="宋体" w:cs="Times New Roman"/>
                <w:b/>
                <w:color w:val="auto"/>
                <w:sz w:val="20"/>
                <w:szCs w:val="20"/>
                <w:highlight w:val="none"/>
                <w:u w:val="single"/>
              </w:rPr>
              <w:t>基坑内场地硬地化</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0" w:type="dxa"/>
            <w:vAlign w:val="center"/>
          </w:tcPr>
          <w:p>
            <w:pPr>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1.3</w:t>
            </w:r>
          </w:p>
        </w:tc>
        <w:tc>
          <w:tcPr>
            <w:tcW w:w="3504" w:type="dxa"/>
            <w:vAlign w:val="center"/>
          </w:tcPr>
          <w:p>
            <w:pPr>
              <w:adjustRightInd w:val="0"/>
              <w:snapToGrid w:val="0"/>
              <w:jc w:val="left"/>
              <w:rPr>
                <w:rFonts w:ascii="宋体" w:hAnsi="宋体" w:cs="Times New Roman"/>
                <w:b/>
                <w:color w:val="auto"/>
                <w:sz w:val="20"/>
                <w:szCs w:val="20"/>
                <w:highlight w:val="none"/>
                <w:u w:val="single"/>
              </w:rPr>
            </w:pPr>
            <w:r>
              <w:rPr>
                <w:rFonts w:hint="eastAsia" w:ascii="宋体" w:hAnsi="宋体" w:cs="Times New Roman"/>
                <w:b/>
                <w:color w:val="auto"/>
                <w:sz w:val="20"/>
                <w:szCs w:val="20"/>
                <w:highlight w:val="none"/>
                <w:u w:val="single"/>
              </w:rPr>
              <w:t>产业工人职业训练专项经费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2</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履约担保手续费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3</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夜间施工费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4</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赶工措施费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5</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冬雨季施工费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6</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已完工程及设备保护费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7</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地上地下设施及建筑物的临时保护费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ascii="Times New Roman" w:hAnsi="Times New Roman" w:cs="Times New Roman"/>
                <w:color w:val="auto"/>
                <w:szCs w:val="22"/>
                <w:highlight w:val="none"/>
              </w:rPr>
              <w:drawing>
                <wp:inline distT="0" distB="0" distL="0" distR="0">
                  <wp:extent cx="158750" cy="230505"/>
                  <wp:effectExtent l="0" t="0" r="12700" b="17145"/>
                  <wp:docPr id="97"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8</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混凝土、钢筋混凝土模板及支架费</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注：如存在“高大模板支撑系统”，需另行列项计取。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9</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二次搬运费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10</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脚手架费</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根据工程实际有特殊要求时请加以说明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11</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垂直运输机械费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adjustRightInd w:val="0"/>
              <w:snapToGrid w:val="0"/>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12</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大型机械设备进出场及安拆费</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有特殊要求时请加以说明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ascii="Times New Roman" w:hAnsi="Times New Roman" w:cs="Times New Roman"/>
                <w:color w:val="auto"/>
                <w:szCs w:val="22"/>
                <w:highlight w:val="none"/>
              </w:rPr>
              <w:drawing>
                <wp:inline distT="0" distB="0" distL="0" distR="0">
                  <wp:extent cx="158750" cy="230505"/>
                  <wp:effectExtent l="0" t="0" r="12700" b="17145"/>
                  <wp:docPr id="104"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13</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施工排水降水费</w:t>
            </w:r>
          </w:p>
          <w:p>
            <w:pPr>
              <w:adjustRightInd w:val="0"/>
              <w:snapToGrid w:val="0"/>
              <w:jc w:val="left"/>
              <w:rPr>
                <w:rFonts w:ascii="宋体" w:hAnsi="宋体" w:cs="Times New Roman"/>
                <w:bCs/>
                <w:color w:val="auto"/>
                <w:sz w:val="20"/>
                <w:szCs w:val="20"/>
                <w:highlight w:val="none"/>
              </w:rPr>
            </w:pP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本工程施工期间地表及地下水有组织的排放、降水费用（回灌费用），尤其是地下室结构、主体结构工程施工期间，应确保满足低于设计抗浮水位要求并满足地下室防水工程需要。地下室底板局部可能会受到地质勘探钻孔微承压水上冒的影响，应采取措施进行处理，施工排水、降水应确保周边建（构）筑物的安全。综合考虑施工期间除不可抗力原因外的气候条件造成的现场工程量的增加（如大雨造成的抽水台班等）及其他风险（如招标人提供的地质报告等相关资料可能存在与实际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14</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异地租赁费</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若施工现场用地不能满足施工而需要异地租赁而引起的相关费用增加，包括场地租赁费（含用地手续的费用）、交通费，材料外场加工运输费等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ascii="Times New Roman" w:hAnsi="Times New Roman" w:cs="Times New Roman"/>
                <w:color w:val="auto"/>
                <w:szCs w:val="22"/>
                <w:highlight w:val="none"/>
              </w:rPr>
              <w:drawing>
                <wp:inline distT="0" distB="0" distL="0" distR="0">
                  <wp:extent cx="158750" cy="230505"/>
                  <wp:effectExtent l="0" t="0" r="12700" b="17145"/>
                  <wp:docPr id="106"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1</w:t>
            </w:r>
            <w:r>
              <w:rPr>
                <w:rFonts w:hint="eastAsia" w:ascii="宋体" w:hAnsi="宋体" w:cs="Times New Roman"/>
                <w:bCs/>
                <w:color w:val="auto"/>
                <w:sz w:val="20"/>
                <w:szCs w:val="20"/>
                <w:highlight w:val="none"/>
              </w:rPr>
              <w:t>5</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边境作业措施费：禁区内施工作业、办证、协调、边境施工安全管理等费用</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ascii="Times New Roman" w:hAnsi="Times New Roman" w:cs="Times New Roman"/>
                <w:color w:val="auto"/>
                <w:szCs w:val="22"/>
                <w:highlight w:val="none"/>
              </w:rPr>
              <w:drawing>
                <wp:inline distT="0" distB="0" distL="0" distR="0">
                  <wp:extent cx="158750" cy="230505"/>
                  <wp:effectExtent l="0" t="0" r="12700" b="17145"/>
                  <wp:docPr id="107"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1</w:t>
            </w:r>
            <w:r>
              <w:rPr>
                <w:rFonts w:hint="eastAsia" w:ascii="宋体" w:hAnsi="宋体" w:cs="Times New Roman"/>
                <w:bCs/>
                <w:color w:val="auto"/>
                <w:sz w:val="20"/>
                <w:szCs w:val="20"/>
                <w:highlight w:val="none"/>
              </w:rPr>
              <w:t>6</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对地下管线、其他相邻建（构）物等的保护费</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ascii="Times New Roman" w:hAnsi="Times New Roman" w:cs="Times New Roman"/>
                <w:color w:val="auto"/>
                <w:szCs w:val="22"/>
                <w:highlight w:val="none"/>
              </w:rPr>
              <w:drawing>
                <wp:inline distT="0" distB="0" distL="0" distR="0">
                  <wp:extent cx="158750" cy="230505"/>
                  <wp:effectExtent l="0" t="0" r="12700" b="17145"/>
                  <wp:docPr id="108"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1</w:t>
            </w:r>
            <w:r>
              <w:rPr>
                <w:rFonts w:hint="eastAsia" w:ascii="宋体" w:hAnsi="宋体" w:cs="Times New Roman"/>
                <w:bCs/>
                <w:color w:val="auto"/>
                <w:sz w:val="20"/>
                <w:szCs w:val="20"/>
                <w:highlight w:val="none"/>
              </w:rPr>
              <w:t>7</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钢筋混凝土辅材费</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现浇钢筋砼中所有固定位置的支撑钢材、双层钢筋用的“铁马”、地下室外墙模板（或其他部位）的紧固螺杆（不取出）、预埋管线表面铺钢筋网片等产生的费用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ascii="Times New Roman" w:hAnsi="Times New Roman" w:cs="Times New Roman"/>
                <w:color w:val="auto"/>
                <w:szCs w:val="22"/>
                <w:highlight w:val="none"/>
              </w:rPr>
              <w:drawing>
                <wp:inline distT="0" distB="0" distL="0" distR="0">
                  <wp:extent cx="158750" cy="230505"/>
                  <wp:effectExtent l="0" t="0" r="12700" b="17145"/>
                  <wp:docPr id="109"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1</w:t>
            </w:r>
            <w:r>
              <w:rPr>
                <w:rFonts w:hint="eastAsia" w:ascii="宋体" w:hAnsi="宋体" w:cs="Times New Roman"/>
                <w:bCs/>
                <w:color w:val="auto"/>
                <w:sz w:val="20"/>
                <w:szCs w:val="20"/>
                <w:highlight w:val="none"/>
              </w:rPr>
              <w:t>8</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施工期间河堤防洪、防汛时发生的费用</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如使用的沙袋、砌墙等，以及有关主管部门规定的防洪防汛应急措施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spacing w:line="360" w:lineRule="auto"/>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19</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与周边工程配合衔接处理费用</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本工程施工期间与周边所有建设项目的建筑、安装工程，可能发生的协调、配合等费用；与周边工程的衔接处理所发生的措施费用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2</w:t>
            </w:r>
            <w:r>
              <w:rPr>
                <w:rFonts w:hint="eastAsia" w:ascii="宋体" w:hAnsi="宋体" w:cs="Times New Roman"/>
                <w:bCs/>
                <w:color w:val="auto"/>
                <w:sz w:val="20"/>
                <w:szCs w:val="20"/>
                <w:highlight w:val="none"/>
              </w:rPr>
              <w:t>0</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资料费：包括（但不限于）承包人向发包人提交经确认的深化设计图纸和其他技术资料份（包括电子文件）</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2</w:t>
            </w:r>
            <w:r>
              <w:rPr>
                <w:rFonts w:hint="eastAsia" w:ascii="宋体" w:hAnsi="宋体" w:cs="Times New Roman"/>
                <w:bCs/>
                <w:color w:val="auto"/>
                <w:sz w:val="20"/>
                <w:szCs w:val="20"/>
                <w:highlight w:val="none"/>
              </w:rPr>
              <w:t>1</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本工程所需样板（间）制作所产生的费用（按合同通用条件及专用条件中规定由承包人制作的材料及操作工艺样板的一切费用，包括样板制作所需的材料、人工、机械等全部费用，同时还包括样板返工及拆除费用，结算时费用不作调整）</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2</w:t>
            </w:r>
            <w:r>
              <w:rPr>
                <w:rFonts w:hint="eastAsia" w:ascii="宋体" w:hAnsi="宋体" w:cs="Times New Roman"/>
                <w:bCs/>
                <w:color w:val="auto"/>
                <w:sz w:val="20"/>
                <w:szCs w:val="20"/>
                <w:highlight w:val="none"/>
              </w:rPr>
              <w:t>2</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根据招标人要求提供各种材料样板相关费用</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2</w:t>
            </w:r>
            <w:r>
              <w:rPr>
                <w:rFonts w:hint="eastAsia" w:ascii="宋体" w:hAnsi="宋体" w:cs="Times New Roman"/>
                <w:bCs/>
                <w:color w:val="auto"/>
                <w:sz w:val="20"/>
                <w:szCs w:val="20"/>
                <w:highlight w:val="none"/>
              </w:rPr>
              <w:t>3</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color w:val="auto"/>
                <w:sz w:val="20"/>
                <w:szCs w:val="20"/>
                <w:highlight w:val="none"/>
              </w:rPr>
              <w:t>承包范围内的深化设计造成的费用增加</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包含综合管线绘制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ascii="Times New Roman" w:hAnsi="Times New Roman" w:cs="Times New Roman"/>
                <w:color w:val="auto"/>
                <w:szCs w:val="22"/>
                <w:highlight w:val="none"/>
              </w:rPr>
              <w:drawing>
                <wp:inline distT="0" distB="0" distL="0" distR="0">
                  <wp:extent cx="158750" cy="230505"/>
                  <wp:effectExtent l="0" t="0" r="12700" b="17145"/>
                  <wp:docPr id="115"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2</w:t>
            </w:r>
            <w:r>
              <w:rPr>
                <w:rFonts w:hint="eastAsia" w:ascii="宋体" w:hAnsi="宋体" w:cs="Times New Roman"/>
                <w:bCs/>
                <w:color w:val="auto"/>
                <w:sz w:val="20"/>
                <w:szCs w:val="20"/>
                <w:highlight w:val="none"/>
              </w:rPr>
              <w:t>4</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color w:val="auto"/>
                <w:sz w:val="20"/>
                <w:szCs w:val="20"/>
                <w:highlight w:val="none"/>
              </w:rPr>
              <w:t>新设备</w:t>
            </w:r>
            <w:r>
              <w:rPr>
                <w:rFonts w:hint="eastAsia" w:ascii="宋体" w:hAnsi="宋体" w:cs="Times New Roman"/>
                <w:b/>
                <w:bCs/>
                <w:color w:val="auto"/>
                <w:sz w:val="20"/>
                <w:szCs w:val="20"/>
                <w:highlight w:val="none"/>
                <w:u w:val="single"/>
              </w:rPr>
              <w:t>及高压电缆</w:t>
            </w:r>
            <w:r>
              <w:rPr>
                <w:rFonts w:hint="eastAsia" w:ascii="宋体" w:hAnsi="宋体" w:cs="Times New Roman"/>
                <w:color w:val="auto"/>
                <w:sz w:val="20"/>
                <w:szCs w:val="20"/>
                <w:highlight w:val="none"/>
              </w:rPr>
              <w:t>（或入网）检测、测试、试验、调试直至通过验收送电</w:t>
            </w:r>
            <w:r>
              <w:rPr>
                <w:rFonts w:ascii="宋体" w:hAnsi="宋体" w:cs="Times New Roman"/>
                <w:color w:val="auto"/>
                <w:sz w:val="20"/>
                <w:szCs w:val="20"/>
                <w:highlight w:val="none"/>
              </w:rPr>
              <w:t>(包括供用电手续的办理直至正式送电)等相关费用</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spacing w:line="360" w:lineRule="auto"/>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25</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施工期间、项目收尾阶段临时设施需拆除，并需要另外租用场地使用，由此发生的费用。</w:t>
            </w:r>
          </w:p>
        </w:tc>
        <w:tc>
          <w:tcPr>
            <w:tcW w:w="4441" w:type="dxa"/>
            <w:vAlign w:val="center"/>
          </w:tcPr>
          <w:p>
            <w:pPr>
              <w:adjustRightInd w:val="0"/>
              <w:snapToGrid w:val="0"/>
              <w:jc w:val="left"/>
              <w:rPr>
                <w:rFonts w:ascii="宋体" w:hAnsi="宋体" w:cs="Times New Roman"/>
                <w:bCs/>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ascii="Times New Roman" w:hAnsi="Times New Roman" w:cs="Times New Roman"/>
                <w:color w:val="auto"/>
                <w:szCs w:val="22"/>
                <w:highlight w:val="none"/>
              </w:rPr>
              <w:drawing>
                <wp:inline distT="0" distB="0" distL="0" distR="0">
                  <wp:extent cx="158750" cy="230505"/>
                  <wp:effectExtent l="0" t="0" r="12700" b="17145"/>
                  <wp:docPr id="117"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pPr>
              <w:spacing w:line="360" w:lineRule="auto"/>
              <w:jc w:val="left"/>
              <w:rPr>
                <w:rFonts w:ascii="宋体" w:hAnsi="宋体" w:cs="Times New Roman"/>
                <w:bCs/>
                <w:color w:val="auto"/>
                <w:sz w:val="20"/>
                <w:szCs w:val="20"/>
                <w:highlight w:val="none"/>
              </w:rPr>
            </w:pPr>
            <w:r>
              <w:rPr>
                <w:rFonts w:ascii="宋体" w:hAnsi="宋体" w:cs="Times New Roman"/>
                <w:bCs/>
                <w:color w:val="auto"/>
                <w:sz w:val="20"/>
                <w:szCs w:val="20"/>
                <w:highlight w:val="none"/>
              </w:rPr>
              <w:t>2</w:t>
            </w:r>
            <w:r>
              <w:rPr>
                <w:rFonts w:hint="eastAsia" w:ascii="宋体" w:hAnsi="宋体" w:cs="Times New Roman"/>
                <w:bCs/>
                <w:color w:val="auto"/>
                <w:sz w:val="20"/>
                <w:szCs w:val="20"/>
                <w:highlight w:val="none"/>
              </w:rPr>
              <w:t>6</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招标人办公区</w:t>
            </w:r>
            <w:r>
              <w:rPr>
                <w:rFonts w:hint="eastAsia" w:ascii="宋体" w:hAnsi="宋体" w:cs="Times New Roman"/>
                <w:b/>
                <w:color w:val="auto"/>
                <w:sz w:val="20"/>
                <w:szCs w:val="20"/>
                <w:highlight w:val="none"/>
                <w:u w:val="single"/>
              </w:rPr>
              <w:t>搭建（租赁）</w:t>
            </w:r>
            <w:r>
              <w:rPr>
                <w:rFonts w:hint="eastAsia" w:ascii="宋体" w:hAnsi="宋体" w:cs="Times New Roman"/>
                <w:bCs/>
                <w:color w:val="auto"/>
                <w:sz w:val="20"/>
                <w:szCs w:val="20"/>
                <w:highlight w:val="none"/>
              </w:rPr>
              <w:t>及后勤保障工作相关费用（备注：发包人和承包人办公区分别独立设置时选用）</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投标人应按招标文件要求提供招标人临时办公用房及办公区清洁卫生、保安、办公室花卉租赁服务，并在投标报价时充分考虑完全满足招标文件要求所需费用。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left"/>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spacing w:line="360" w:lineRule="auto"/>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27</w:t>
            </w:r>
          </w:p>
        </w:tc>
        <w:tc>
          <w:tcPr>
            <w:tcW w:w="3504"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联合调试费</w:t>
            </w:r>
          </w:p>
        </w:tc>
        <w:tc>
          <w:tcPr>
            <w:tcW w:w="4441" w:type="dxa"/>
            <w:vAlign w:val="center"/>
          </w:tcPr>
          <w:p>
            <w:pPr>
              <w:adjustRightInd w:val="0"/>
              <w:snapToGrid w:val="0"/>
              <w:jc w:val="left"/>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见附件二“</w:t>
            </w:r>
            <w:r>
              <w:rPr>
                <w:rFonts w:ascii="宋体" w:hAnsi="宋体" w:cs="Times New Roman"/>
                <w:bCs/>
                <w:color w:val="auto"/>
                <w:sz w:val="20"/>
                <w:szCs w:val="20"/>
                <w:highlight w:val="none"/>
              </w:rPr>
              <w:t>1</w:t>
            </w:r>
            <w:r>
              <w:rPr>
                <w:rFonts w:hint="eastAsia" w:ascii="宋体" w:hAnsi="宋体" w:cs="Times New Roman"/>
                <w:bCs/>
                <w:color w:val="auto"/>
                <w:sz w:val="20"/>
                <w:szCs w:val="20"/>
                <w:highlight w:val="none"/>
              </w:rPr>
              <w:t>8</w:t>
            </w:r>
            <w:r>
              <w:rPr>
                <w:rFonts w:ascii="宋体" w:hAnsi="宋体" w:cs="Times New Roman"/>
                <w:bCs/>
                <w:color w:val="auto"/>
                <w:sz w:val="20"/>
                <w:szCs w:val="20"/>
                <w:highlight w:val="none"/>
              </w:rPr>
              <w:t>.1、1</w:t>
            </w:r>
            <w:r>
              <w:rPr>
                <w:rFonts w:hint="eastAsia" w:ascii="宋体" w:hAnsi="宋体" w:cs="Times New Roman"/>
                <w:bCs/>
                <w:color w:val="auto"/>
                <w:sz w:val="20"/>
                <w:szCs w:val="20"/>
                <w:highlight w:val="none"/>
              </w:rPr>
              <w:t>8</w:t>
            </w:r>
            <w:r>
              <w:rPr>
                <w:rFonts w:ascii="宋体" w:hAnsi="宋体" w:cs="Times New Roman"/>
                <w:bCs/>
                <w:color w:val="auto"/>
                <w:sz w:val="20"/>
                <w:szCs w:val="20"/>
                <w:highlight w:val="none"/>
              </w:rPr>
              <w:t>.2”条款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center"/>
              <w:rPr>
                <w:rFonts w:ascii="Times New Roman" w:hAnsi="Times New Roman" w:cs="Times New Roman"/>
                <w:color w:val="auto"/>
                <w:szCs w:val="22"/>
                <w:highlight w:val="none"/>
              </w:rPr>
            </w:pPr>
            <w:r>
              <w:rPr>
                <w:rFonts w:hint="eastAsia" w:ascii="宋体" w:hAnsi="宋体" w:cs="Times New Roman"/>
                <w:bCs/>
                <w:color w:val="auto"/>
                <w:sz w:val="20"/>
                <w:szCs w:val="20"/>
                <w:highlight w:val="none"/>
              </w:rPr>
              <w:t>■</w:t>
            </w:r>
          </w:p>
        </w:tc>
        <w:tc>
          <w:tcPr>
            <w:tcW w:w="852" w:type="dxa"/>
            <w:vAlign w:val="center"/>
          </w:tcPr>
          <w:p>
            <w:pPr>
              <w:spacing w:line="360" w:lineRule="auto"/>
              <w:rPr>
                <w:rFonts w:ascii="宋体" w:hAnsi="宋体" w:cs="Times New Roman"/>
                <w:color w:val="auto"/>
                <w:sz w:val="20"/>
                <w:szCs w:val="20"/>
                <w:highlight w:val="none"/>
              </w:rPr>
            </w:pPr>
            <w:r>
              <w:rPr>
                <w:rFonts w:hint="eastAsia" w:ascii="宋体" w:hAnsi="宋体" w:cs="Times New Roman"/>
                <w:color w:val="auto"/>
                <w:sz w:val="20"/>
                <w:szCs w:val="20"/>
                <w:highlight w:val="none"/>
              </w:rPr>
              <w:t>28</w:t>
            </w:r>
          </w:p>
        </w:tc>
        <w:tc>
          <w:tcPr>
            <w:tcW w:w="3504" w:type="dxa"/>
            <w:vAlign w:val="center"/>
          </w:tcPr>
          <w:p>
            <w:pPr>
              <w:jc w:val="left"/>
              <w:textAlignment w:val="center"/>
              <w:rPr>
                <w:rFonts w:ascii="宋体" w:hAnsi="宋体" w:cs="Times New Roman"/>
                <w:color w:val="auto"/>
                <w:sz w:val="20"/>
                <w:szCs w:val="20"/>
                <w:highlight w:val="none"/>
              </w:rPr>
            </w:pPr>
            <w:r>
              <w:rPr>
                <w:rFonts w:hint="eastAsia" w:ascii="宋体" w:hAnsi="宋体" w:cs="Times New Roman"/>
                <w:color w:val="auto"/>
                <w:sz w:val="20"/>
                <w:szCs w:val="20"/>
                <w:highlight w:val="none"/>
              </w:rPr>
              <w:t>检测、检验、试验等费用</w:t>
            </w:r>
          </w:p>
        </w:tc>
        <w:tc>
          <w:tcPr>
            <w:tcW w:w="4441" w:type="dxa"/>
            <w:vAlign w:val="center"/>
          </w:tcPr>
          <w:p>
            <w:pPr>
              <w:adjustRightInd w:val="0"/>
              <w:snapToGrid w:val="0"/>
              <w:jc w:val="left"/>
              <w:textAlignment w:val="center"/>
              <w:rPr>
                <w:rFonts w:ascii="宋体" w:hAnsi="宋体" w:cs="Times New Roman"/>
                <w:color w:val="auto"/>
                <w:sz w:val="20"/>
                <w:szCs w:val="20"/>
                <w:highlight w:val="none"/>
              </w:rPr>
            </w:pPr>
            <w:r>
              <w:rPr>
                <w:rFonts w:hint="eastAsia" w:ascii="宋体" w:hAnsi="宋体" w:cs="Times New Roman"/>
                <w:color w:val="auto"/>
                <w:sz w:val="20"/>
                <w:szCs w:val="20"/>
                <w:highlight w:val="none"/>
              </w:rPr>
              <w:t>投标人应负责在生产场地和施工现场对材料和工程的任何部分进行的复验、见证送检及竣工验收需要的所有检测、试验费用（包括但不限于消防验收、幕墙四性检测、淋水试验、铝合金窗三性检测、节能验收必须的检测、环保验收必须的检测等）。</w:t>
            </w:r>
          </w:p>
          <w:p>
            <w:pPr>
              <w:adjustRightInd w:val="0"/>
              <w:snapToGrid w:val="0"/>
              <w:jc w:val="left"/>
              <w:rPr>
                <w:rFonts w:ascii="宋体" w:hAnsi="宋体" w:cs="Times New Roman"/>
                <w:color w:val="auto"/>
                <w:sz w:val="20"/>
                <w:szCs w:val="20"/>
                <w:highlight w:val="none"/>
              </w:rPr>
            </w:pPr>
            <w:r>
              <w:rPr>
                <w:rFonts w:hint="eastAsia" w:ascii="宋体" w:hAnsi="宋体" w:cs="Times New Roman"/>
                <w:color w:val="auto"/>
                <w:sz w:val="20"/>
                <w:szCs w:val="20"/>
                <w:highlight w:val="none"/>
              </w:rPr>
              <w:t>（基坑监测、桩基检测、钢结构第三方检测费、土壤氡浓度检测、</w:t>
            </w:r>
            <w:r>
              <w:rPr>
                <w:rFonts w:hint="eastAsia" w:ascii="宋体" w:hAnsi="宋体" w:cs="Times New Roman"/>
                <w:b/>
                <w:bCs/>
                <w:color w:val="auto"/>
                <w:sz w:val="20"/>
                <w:szCs w:val="20"/>
                <w:highlight w:val="none"/>
                <w:u w:val="single"/>
              </w:rPr>
              <w:t>道路检测、桥梁检测、室内环境污染检测、建筑节能检测（通风与空调、配电与照明、太阳能热水系统节能性能检测）、建筑能效测评、绿色建筑工程现场检测、防雷检测由发包人另行委托）。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center"/>
              <w:rPr>
                <w:rFonts w:ascii="Times New Roman" w:hAnsi="宋体" w:cs="Times New Roman"/>
                <w:color w:val="auto"/>
                <w:sz w:val="23"/>
                <w:szCs w:val="23"/>
                <w:highlight w:val="none"/>
              </w:rPr>
            </w:pPr>
            <w:r>
              <w:rPr>
                <w:rFonts w:ascii="Times New Roman" w:hAnsi="Times New Roman" w:cs="Times New Roman"/>
                <w:color w:val="auto"/>
                <w:szCs w:val="22"/>
                <w:highlight w:val="none"/>
              </w:rPr>
              <w:drawing>
                <wp:inline distT="0" distB="0" distL="0" distR="0">
                  <wp:extent cx="158750" cy="230505"/>
                  <wp:effectExtent l="0" t="0" r="12700" b="17145"/>
                  <wp:docPr id="120"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pPr>
              <w:spacing w:line="360" w:lineRule="auto"/>
              <w:rPr>
                <w:rFonts w:ascii="宋体" w:hAnsi="宋体" w:cs="Times New Roman"/>
                <w:color w:val="auto"/>
                <w:sz w:val="20"/>
                <w:szCs w:val="20"/>
                <w:highlight w:val="none"/>
              </w:rPr>
            </w:pPr>
            <w:r>
              <w:rPr>
                <w:rFonts w:hint="eastAsia" w:ascii="宋体" w:hAnsi="宋体" w:cs="Times New Roman"/>
                <w:color w:val="auto"/>
                <w:sz w:val="20"/>
                <w:szCs w:val="20"/>
                <w:highlight w:val="none"/>
              </w:rPr>
              <w:t>29</w:t>
            </w:r>
          </w:p>
        </w:tc>
        <w:tc>
          <w:tcPr>
            <w:tcW w:w="3504" w:type="dxa"/>
            <w:vAlign w:val="center"/>
          </w:tcPr>
          <w:p>
            <w:pPr>
              <w:jc w:val="left"/>
              <w:textAlignment w:val="center"/>
              <w:rPr>
                <w:rFonts w:ascii="宋体" w:hAnsi="宋体" w:cs="Times New Roman"/>
                <w:color w:val="auto"/>
                <w:sz w:val="20"/>
                <w:szCs w:val="20"/>
                <w:highlight w:val="none"/>
              </w:rPr>
            </w:pPr>
            <w:r>
              <w:rPr>
                <w:rFonts w:hint="eastAsia" w:ascii="宋体" w:hAnsi="宋体" w:cs="Times New Roman"/>
                <w:color w:val="auto"/>
                <w:sz w:val="20"/>
                <w:szCs w:val="20"/>
                <w:highlight w:val="none"/>
              </w:rPr>
              <w:t>安全体验馆建设费用</w:t>
            </w:r>
          </w:p>
          <w:p>
            <w:pPr>
              <w:jc w:val="left"/>
              <w:textAlignment w:val="center"/>
              <w:rPr>
                <w:rFonts w:ascii="宋体" w:hAnsi="宋体" w:cs="Times New Roman"/>
                <w:color w:val="auto"/>
                <w:sz w:val="20"/>
                <w:szCs w:val="20"/>
                <w:highlight w:val="none"/>
              </w:rPr>
            </w:pPr>
            <w:r>
              <w:rPr>
                <w:rFonts w:ascii="宋体" w:hAnsi="宋体" w:cs="Times New Roman"/>
                <w:color w:val="auto"/>
                <w:sz w:val="20"/>
                <w:szCs w:val="20"/>
                <w:highlight w:val="none"/>
              </w:rPr>
              <w:t>(备注:招标部分的金额为人民币5亿元及以上的总承包工程可勾选；如项目分标段委托的，由招标人指定标段建设)</w:t>
            </w:r>
          </w:p>
        </w:tc>
        <w:tc>
          <w:tcPr>
            <w:tcW w:w="4441" w:type="dxa"/>
            <w:vAlign w:val="center"/>
          </w:tcPr>
          <w:p>
            <w:pPr>
              <w:adjustRightInd w:val="0"/>
              <w:snapToGrid w:val="0"/>
              <w:jc w:val="left"/>
              <w:textAlignment w:val="center"/>
              <w:rPr>
                <w:rFonts w:ascii="宋体" w:hAnsi="宋体" w:cs="Times New Roman"/>
                <w:color w:val="auto"/>
                <w:sz w:val="20"/>
                <w:szCs w:val="20"/>
                <w:highlight w:val="none"/>
              </w:rPr>
            </w:pPr>
            <w:r>
              <w:rPr>
                <w:rFonts w:hint="eastAsia" w:ascii="宋体" w:hAnsi="宋体" w:cs="Times New Roman"/>
                <w:color w:val="auto"/>
                <w:sz w:val="20"/>
                <w:szCs w:val="20"/>
                <w:highlight w:val="none"/>
              </w:rPr>
              <w:t>投标人应按招标文件合同专用条件“6.1.8</w:t>
            </w:r>
            <w:r>
              <w:rPr>
                <w:rFonts w:ascii="宋体" w:hAnsi="宋体" w:cs="Times New Roman"/>
                <w:color w:val="auto"/>
                <w:sz w:val="20"/>
                <w:szCs w:val="20"/>
                <w:highlight w:val="none"/>
              </w:rPr>
              <w:t>”(如已勾选)的要求建设安全体验馆，并在投标报价时充分考虑完全满足招标文件要求所需的费用。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center"/>
              <w:rPr>
                <w:rFonts w:ascii="Times New Roman" w:hAnsi="宋体" w:cs="Times New Roman"/>
                <w:color w:val="auto"/>
                <w:sz w:val="23"/>
                <w:szCs w:val="23"/>
                <w:highlight w:val="none"/>
              </w:rPr>
            </w:pPr>
            <w:r>
              <w:rPr>
                <w:rFonts w:ascii="Times New Roman" w:hAnsi="Times New Roman" w:cs="Times New Roman"/>
                <w:color w:val="auto"/>
                <w:szCs w:val="22"/>
                <w:highlight w:val="none"/>
              </w:rPr>
              <w:drawing>
                <wp:inline distT="0" distB="0" distL="0" distR="0">
                  <wp:extent cx="158750" cy="230505"/>
                  <wp:effectExtent l="0" t="0" r="12700" b="17145"/>
                  <wp:docPr id="121" name="图片 347" descr="C:\Users\ADMINI~1\AppData\Local\Temp\ksohtml5836\wps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347" descr="C:\Users\ADMINI~1\AppData\Local\Temp\ksohtml5836\wps1.wmf"/>
                          <pic:cNvPicPr>
                            <a:picLocks noChangeAspect="1" noChangeArrowheads="1"/>
                          </pic:cNvPicPr>
                        </pic:nvPicPr>
                        <pic:blipFill>
                          <a:blip r:embed="rId9" cstate="print"/>
                          <a:srcRect/>
                          <a:stretch>
                            <a:fillRect/>
                          </a:stretch>
                        </pic:blipFill>
                        <pic:spPr>
                          <a:xfrm>
                            <a:off x="0" y="0"/>
                            <a:ext cx="158750" cy="230505"/>
                          </a:xfrm>
                          <a:prstGeom prst="rect">
                            <a:avLst/>
                          </a:prstGeom>
                          <a:noFill/>
                          <a:ln w="9525">
                            <a:noFill/>
                            <a:miter lim="800000"/>
                            <a:headEnd/>
                            <a:tailEnd/>
                          </a:ln>
                        </pic:spPr>
                      </pic:pic>
                    </a:graphicData>
                  </a:graphic>
                </wp:inline>
              </w:drawing>
            </w:r>
          </w:p>
        </w:tc>
        <w:tc>
          <w:tcPr>
            <w:tcW w:w="852" w:type="dxa"/>
            <w:vAlign w:val="center"/>
          </w:tcPr>
          <w:p>
            <w:pPr>
              <w:spacing w:line="360" w:lineRule="auto"/>
              <w:rPr>
                <w:rFonts w:ascii="宋体" w:hAnsi="宋体" w:cs="Times New Roman"/>
                <w:color w:val="auto"/>
                <w:sz w:val="20"/>
                <w:szCs w:val="20"/>
                <w:highlight w:val="none"/>
              </w:rPr>
            </w:pPr>
            <w:r>
              <w:rPr>
                <w:rFonts w:hint="eastAsia" w:ascii="宋体" w:hAnsi="宋体" w:cs="Times New Roman"/>
                <w:color w:val="auto"/>
                <w:sz w:val="20"/>
                <w:szCs w:val="20"/>
                <w:highlight w:val="none"/>
              </w:rPr>
              <w:t>30</w:t>
            </w:r>
          </w:p>
        </w:tc>
        <w:tc>
          <w:tcPr>
            <w:tcW w:w="3504" w:type="dxa"/>
            <w:vAlign w:val="center"/>
          </w:tcPr>
          <w:p>
            <w:pPr>
              <w:jc w:val="left"/>
              <w:textAlignment w:val="center"/>
              <w:rPr>
                <w:rFonts w:ascii="宋体" w:hAnsi="宋体" w:cs="Times New Roman"/>
                <w:bCs/>
                <w:color w:val="auto"/>
                <w:sz w:val="20"/>
                <w:szCs w:val="20"/>
                <w:highlight w:val="none"/>
              </w:rPr>
            </w:pPr>
            <w:r>
              <w:rPr>
                <w:rFonts w:hint="eastAsia" w:ascii="宋体" w:hAnsi="宋体" w:cs="Times New Roman"/>
                <w:b/>
                <w:color w:val="auto"/>
                <w:sz w:val="20"/>
                <w:szCs w:val="20"/>
                <w:highlight w:val="none"/>
                <w:u w:val="single"/>
              </w:rPr>
              <w:t>智慧工地增加费</w:t>
            </w:r>
          </w:p>
        </w:tc>
        <w:tc>
          <w:tcPr>
            <w:tcW w:w="4441" w:type="dxa"/>
            <w:vAlign w:val="center"/>
          </w:tcPr>
          <w:p>
            <w:pPr>
              <w:jc w:val="left"/>
              <w:rPr>
                <w:rFonts w:ascii="宋体" w:hAnsi="宋体"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0" w:type="dxa"/>
            <w:vAlign w:val="center"/>
          </w:tcPr>
          <w:p>
            <w:pPr>
              <w:jc w:val="center"/>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w:t>
            </w:r>
          </w:p>
        </w:tc>
        <w:tc>
          <w:tcPr>
            <w:tcW w:w="852" w:type="dxa"/>
            <w:vAlign w:val="center"/>
          </w:tcPr>
          <w:p>
            <w:pPr>
              <w:spacing w:line="360" w:lineRule="auto"/>
              <w:rPr>
                <w:rFonts w:ascii="宋体" w:hAnsi="宋体" w:cs="Times New Roman"/>
                <w:bCs/>
                <w:color w:val="auto"/>
                <w:sz w:val="20"/>
                <w:szCs w:val="20"/>
                <w:highlight w:val="none"/>
              </w:rPr>
            </w:pPr>
            <w:r>
              <w:rPr>
                <w:rFonts w:hint="eastAsia" w:ascii="宋体" w:hAnsi="宋体" w:cs="Times New Roman"/>
                <w:bCs/>
                <w:color w:val="auto"/>
                <w:sz w:val="20"/>
                <w:szCs w:val="20"/>
                <w:highlight w:val="none"/>
              </w:rPr>
              <w:t>31</w:t>
            </w:r>
          </w:p>
        </w:tc>
        <w:tc>
          <w:tcPr>
            <w:tcW w:w="3504" w:type="dxa"/>
            <w:vAlign w:val="center"/>
          </w:tcPr>
          <w:p>
            <w:pPr>
              <w:jc w:val="left"/>
              <w:textAlignment w:val="center"/>
              <w:rPr>
                <w:rFonts w:ascii="宋体" w:hAnsi="宋体" w:cs="Times New Roman"/>
                <w:bCs/>
                <w:color w:val="auto"/>
                <w:sz w:val="20"/>
                <w:szCs w:val="20"/>
                <w:highlight w:val="none"/>
              </w:rPr>
            </w:pPr>
            <w:r>
              <w:rPr>
                <w:rFonts w:hint="eastAsia" w:ascii="宋体" w:hAnsi="宋体" w:cs="Times New Roman"/>
                <w:color w:val="auto"/>
                <w:sz w:val="20"/>
                <w:szCs w:val="20"/>
                <w:highlight w:val="none"/>
              </w:rPr>
              <w:t>其他</w:t>
            </w:r>
          </w:p>
        </w:tc>
        <w:tc>
          <w:tcPr>
            <w:tcW w:w="4441" w:type="dxa"/>
            <w:vAlign w:val="center"/>
          </w:tcPr>
          <w:p>
            <w:pPr>
              <w:jc w:val="left"/>
              <w:rPr>
                <w:rFonts w:ascii="宋体" w:hAnsi="宋体" w:cs="Times New Roman"/>
                <w:color w:val="auto"/>
                <w:sz w:val="20"/>
                <w:szCs w:val="20"/>
                <w:highlight w:val="none"/>
              </w:rPr>
            </w:pPr>
          </w:p>
        </w:tc>
      </w:tr>
    </w:tbl>
    <w:p>
      <w:pPr>
        <w:rPr>
          <w:color w:val="auto"/>
          <w:highlight w:val="none"/>
        </w:rPr>
        <w:sectPr>
          <w:pgSz w:w="11906" w:h="16838"/>
          <w:pgMar w:top="1440" w:right="1800" w:bottom="1440" w:left="1800" w:header="851" w:footer="992" w:gutter="0"/>
          <w:cols w:space="425" w:num="1"/>
          <w:docGrid w:type="lines" w:linePitch="312" w:charSpace="0"/>
        </w:sectPr>
      </w:pPr>
    </w:p>
    <w:p>
      <w:pPr>
        <w:rPr>
          <w:rFonts w:hint="eastAsia" w:ascii="仿宋" w:hAnsi="仿宋"/>
          <w:color w:val="auto"/>
          <w:sz w:val="28"/>
          <w:szCs w:val="28"/>
          <w:highlight w:val="none"/>
        </w:rPr>
      </w:pPr>
      <w:r>
        <w:rPr>
          <w:rFonts w:hint="eastAsia" w:ascii="仿宋" w:hAnsi="仿宋"/>
          <w:color w:val="auto"/>
          <w:sz w:val="28"/>
          <w:szCs w:val="28"/>
          <w:highlight w:val="none"/>
          <w:lang w:val="en-US" w:eastAsia="zh-CN"/>
        </w:rPr>
        <w:t>附件三</w:t>
      </w:r>
      <w:r>
        <w:rPr>
          <w:rFonts w:hint="eastAsia" w:ascii="仿宋" w:hAnsi="仿宋"/>
          <w:color w:val="auto"/>
          <w:sz w:val="28"/>
          <w:szCs w:val="28"/>
          <w:highlight w:val="none"/>
        </w:rPr>
        <w:t>：</w:t>
      </w:r>
    </w:p>
    <w:p>
      <w:pPr>
        <w:jc w:val="center"/>
        <w:outlineLvl w:val="1"/>
        <w:rPr>
          <w:rFonts w:ascii="仿宋" w:hAnsi="仿宋" w:eastAsia="仿宋" w:cs="仿宋"/>
          <w:color w:val="auto"/>
          <w:highlight w:val="none"/>
        </w:rPr>
      </w:pPr>
      <w:r>
        <w:rPr>
          <w:rFonts w:hint="eastAsia" w:ascii="仿宋" w:hAnsi="仿宋" w:eastAsia="仿宋" w:cs="仿宋"/>
          <w:b/>
          <w:color w:val="auto"/>
          <w:sz w:val="32"/>
          <w:szCs w:val="32"/>
          <w:highlight w:val="none"/>
        </w:rPr>
        <w:t>投标报价书</w:t>
      </w:r>
    </w:p>
    <w:tbl>
      <w:tblPr>
        <w:tblStyle w:val="15"/>
        <w:tblW w:w="9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6"/>
        <w:gridCol w:w="6203"/>
        <w:gridCol w:w="1483"/>
        <w:gridCol w:w="1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编号</w:t>
            </w:r>
          </w:p>
        </w:tc>
        <w:tc>
          <w:tcPr>
            <w:tcW w:w="620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工程名称</w:t>
            </w:r>
          </w:p>
        </w:tc>
        <w:tc>
          <w:tcPr>
            <w:tcW w:w="1483" w:type="dxa"/>
            <w:tcBorders>
              <w:top w:val="single" w:color="000000" w:sz="4" w:space="0"/>
              <w:left w:val="single" w:color="000000" w:sz="4" w:space="0"/>
              <w:bottom w:val="single" w:color="000000" w:sz="4" w:space="0"/>
              <w:right w:val="single" w:color="auto" w:sz="4" w:space="0"/>
            </w:tcBorders>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上限价（元）</w:t>
            </w:r>
          </w:p>
        </w:tc>
        <w:tc>
          <w:tcPr>
            <w:tcW w:w="140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6203"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rPr>
              <w:t>深圳职业技术学院北校区一期项目标识采购及安装工程</w:t>
            </w:r>
          </w:p>
        </w:tc>
        <w:tc>
          <w:tcPr>
            <w:tcW w:w="1483" w:type="dxa"/>
            <w:tcBorders>
              <w:top w:val="single" w:color="000000" w:sz="4" w:space="0"/>
              <w:left w:val="single" w:color="000000" w:sz="4" w:space="0"/>
              <w:bottom w:val="single" w:color="000000" w:sz="4" w:space="0"/>
              <w:right w:val="single" w:color="auto" w:sz="4" w:space="0"/>
            </w:tcBorders>
            <w:vAlign w:val="center"/>
          </w:tcPr>
          <w:p>
            <w:pPr>
              <w:tabs>
                <w:tab w:val="left" w:pos="568"/>
              </w:tabs>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780798.84</w:t>
            </w:r>
          </w:p>
        </w:tc>
        <w:tc>
          <w:tcPr>
            <w:tcW w:w="140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jc w:val="center"/>
        </w:trPr>
        <w:tc>
          <w:tcPr>
            <w:tcW w:w="57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1.1</w:t>
            </w:r>
          </w:p>
        </w:tc>
        <w:tc>
          <w:tcPr>
            <w:tcW w:w="6203" w:type="dxa"/>
            <w:tcBorders>
              <w:top w:val="single" w:color="000000" w:sz="4" w:space="0"/>
              <w:left w:val="single" w:color="000000" w:sz="4" w:space="0"/>
              <w:bottom w:val="single" w:color="000000" w:sz="4" w:space="0"/>
              <w:right w:val="single" w:color="000000" w:sz="4" w:space="0"/>
            </w:tcBorders>
            <w:vAlign w:val="bottom"/>
          </w:tcPr>
          <w:p>
            <w:pPr>
              <w:adjustRightInd w:val="0"/>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不可竞争费合计</w:t>
            </w:r>
          </w:p>
        </w:tc>
        <w:tc>
          <w:tcPr>
            <w:tcW w:w="1483" w:type="dxa"/>
            <w:tcBorders>
              <w:top w:val="single" w:color="000000" w:sz="4" w:space="0"/>
              <w:left w:val="single" w:color="000000" w:sz="4" w:space="0"/>
              <w:bottom w:val="single" w:color="000000" w:sz="4" w:space="0"/>
              <w:right w:val="single" w:color="auto" w:sz="4" w:space="0"/>
            </w:tcBorders>
            <w:vAlign w:val="center"/>
          </w:tcPr>
          <w:p>
            <w:pPr>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84739.09</w:t>
            </w:r>
          </w:p>
        </w:tc>
        <w:tc>
          <w:tcPr>
            <w:tcW w:w="1409" w:type="dxa"/>
            <w:tcBorders>
              <w:top w:val="single" w:color="000000" w:sz="4" w:space="0"/>
              <w:left w:val="single" w:color="auto"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jc w:val="center"/>
        </w:trPr>
        <w:tc>
          <w:tcPr>
            <w:tcW w:w="576" w:type="dxa"/>
            <w:vMerge w:val="restart"/>
            <w:tcBorders>
              <w:top w:val="single" w:color="000000" w:sz="4" w:space="0"/>
              <w:left w:val="single" w:color="000000" w:sz="4" w:space="0"/>
              <w:right w:val="single" w:color="000000" w:sz="4" w:space="0"/>
            </w:tcBorders>
            <w:vAlign w:val="center"/>
          </w:tcPr>
          <w:p>
            <w:pPr>
              <w:jc w:val="center"/>
              <w:rPr>
                <w:rFonts w:ascii="仿宋" w:hAnsi="仿宋" w:eastAsia="仿宋" w:cs="仿宋"/>
                <w:color w:val="auto"/>
                <w:sz w:val="24"/>
                <w:highlight w:val="none"/>
              </w:rPr>
            </w:pPr>
            <w:r>
              <w:rPr>
                <w:rFonts w:hint="eastAsia" w:ascii="仿宋" w:hAnsi="仿宋" w:eastAsia="仿宋" w:cs="仿宋"/>
                <w:color w:val="auto"/>
                <w:sz w:val="24"/>
                <w:highlight w:val="none"/>
              </w:rPr>
              <w:t>其中</w:t>
            </w:r>
          </w:p>
        </w:tc>
        <w:tc>
          <w:tcPr>
            <w:tcW w:w="6203" w:type="dxa"/>
            <w:tcBorders>
              <w:top w:val="single" w:color="000000" w:sz="4" w:space="0"/>
              <w:left w:val="single" w:color="000000" w:sz="4" w:space="0"/>
              <w:bottom w:val="single" w:color="auto" w:sz="4" w:space="0"/>
              <w:right w:val="single" w:color="000000" w:sz="4" w:space="0"/>
            </w:tcBorders>
            <w:vAlign w:val="bottom"/>
          </w:tcPr>
          <w:p>
            <w:pPr>
              <w:adjustRightInd w:val="0"/>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暂列金额</w:t>
            </w:r>
          </w:p>
        </w:tc>
        <w:tc>
          <w:tcPr>
            <w:tcW w:w="1483" w:type="dxa"/>
            <w:tcBorders>
              <w:top w:val="single" w:color="000000" w:sz="4" w:space="0"/>
              <w:left w:val="single" w:color="000000" w:sz="4" w:space="0"/>
              <w:bottom w:val="single" w:color="auto" w:sz="4" w:space="0"/>
              <w:right w:val="single" w:color="auto" w:sz="4" w:space="0"/>
            </w:tcBorders>
            <w:vAlign w:val="center"/>
          </w:tcPr>
          <w:p>
            <w:pPr>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rPr>
              <w:t>74000</w:t>
            </w:r>
            <w:r>
              <w:rPr>
                <w:rFonts w:hint="eastAsia" w:ascii="仿宋" w:hAnsi="仿宋" w:eastAsia="仿宋" w:cs="仿宋"/>
                <w:color w:val="auto"/>
                <w:sz w:val="24"/>
                <w:highlight w:val="none"/>
                <w:shd w:val="clear" w:color="auto" w:fill="FFFFFF"/>
                <w:lang w:val="en-US" w:eastAsia="zh-CN"/>
              </w:rPr>
              <w:t>.00</w:t>
            </w:r>
          </w:p>
        </w:tc>
        <w:tc>
          <w:tcPr>
            <w:tcW w:w="1409" w:type="dxa"/>
            <w:tcBorders>
              <w:top w:val="single" w:color="000000" w:sz="4" w:space="0"/>
              <w:left w:val="single" w:color="auto" w:sz="4" w:space="0"/>
              <w:bottom w:val="single" w:color="auto" w:sz="4" w:space="0"/>
              <w:right w:val="single" w:color="000000" w:sz="4" w:space="0"/>
            </w:tcBorders>
            <w:vAlign w:val="center"/>
          </w:tcPr>
          <w:p>
            <w:pPr>
              <w:jc w:val="cente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576" w:type="dxa"/>
            <w:vMerge w:val="continue"/>
            <w:tcBorders>
              <w:left w:val="single" w:color="000000"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c>
          <w:tcPr>
            <w:tcW w:w="6203" w:type="dxa"/>
            <w:tcBorders>
              <w:top w:val="single" w:color="auto" w:sz="4" w:space="0"/>
              <w:left w:val="single" w:color="000000" w:sz="4" w:space="0"/>
              <w:bottom w:val="single" w:color="000000" w:sz="4" w:space="0"/>
              <w:right w:val="single" w:color="000000" w:sz="4" w:space="0"/>
            </w:tcBorders>
            <w:vAlign w:val="bottom"/>
          </w:tcPr>
          <w:p>
            <w:pPr>
              <w:adjustRightInd w:val="0"/>
              <w:snapToGrid w:val="0"/>
              <w:spacing w:line="360" w:lineRule="auto"/>
              <w:jc w:val="center"/>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安全文明施工措施费</w:t>
            </w:r>
          </w:p>
        </w:tc>
        <w:tc>
          <w:tcPr>
            <w:tcW w:w="1483" w:type="dxa"/>
            <w:tcBorders>
              <w:top w:val="single" w:color="auto" w:sz="4" w:space="0"/>
              <w:left w:val="single" w:color="000000" w:sz="4" w:space="0"/>
              <w:bottom w:val="single" w:color="000000" w:sz="4" w:space="0"/>
              <w:right w:val="single" w:color="auto" w:sz="4" w:space="0"/>
            </w:tcBorders>
            <w:vAlign w:val="center"/>
          </w:tcPr>
          <w:p>
            <w:pPr>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rPr>
              <w:t>107</w:t>
            </w:r>
            <w:r>
              <w:rPr>
                <w:rFonts w:hint="eastAsia" w:ascii="仿宋" w:hAnsi="仿宋" w:eastAsia="仿宋" w:cs="仿宋"/>
                <w:color w:val="auto"/>
                <w:sz w:val="24"/>
                <w:highlight w:val="none"/>
                <w:shd w:val="clear" w:color="auto" w:fill="FFFFFF"/>
                <w:lang w:val="en-US" w:eastAsia="zh-CN"/>
              </w:rPr>
              <w:t>39</w:t>
            </w:r>
            <w:r>
              <w:rPr>
                <w:rFonts w:hint="eastAsia" w:ascii="仿宋" w:hAnsi="仿宋" w:eastAsia="仿宋" w:cs="仿宋"/>
                <w:color w:val="auto"/>
                <w:sz w:val="24"/>
                <w:highlight w:val="none"/>
                <w:shd w:val="clear" w:color="auto" w:fill="FFFFFF"/>
              </w:rPr>
              <w:t>.</w:t>
            </w:r>
            <w:r>
              <w:rPr>
                <w:rFonts w:hint="eastAsia" w:ascii="仿宋" w:hAnsi="仿宋" w:eastAsia="仿宋" w:cs="仿宋"/>
                <w:color w:val="auto"/>
                <w:sz w:val="24"/>
                <w:highlight w:val="none"/>
                <w:shd w:val="clear" w:color="auto" w:fill="FFFFFF"/>
                <w:lang w:val="en-US" w:eastAsia="zh-CN"/>
              </w:rPr>
              <w:t>09</w:t>
            </w:r>
          </w:p>
        </w:tc>
        <w:tc>
          <w:tcPr>
            <w:tcW w:w="1409" w:type="dxa"/>
            <w:tcBorders>
              <w:top w:val="single" w:color="auto" w:sz="4" w:space="0"/>
              <w:left w:val="single" w:color="auto" w:sz="4" w:space="0"/>
              <w:bottom w:val="single" w:color="000000" w:sz="4" w:space="0"/>
              <w:right w:val="single" w:color="000000" w:sz="4" w:space="0"/>
            </w:tcBorders>
            <w:vAlign w:val="center"/>
          </w:tcPr>
          <w:p>
            <w:pPr>
              <w:jc w:val="center"/>
              <w:rPr>
                <w:rFonts w:ascii="仿宋" w:hAnsi="仿宋" w:eastAsia="仿宋" w:cs="仿宋"/>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7" w:hRule="atLeast"/>
          <w:jc w:val="center"/>
        </w:trPr>
        <w:tc>
          <w:tcPr>
            <w:tcW w:w="9671" w:type="dxa"/>
            <w:gridSpan w:val="4"/>
            <w:tcBorders>
              <w:top w:val="single" w:color="000000" w:sz="4" w:space="0"/>
              <w:left w:val="single" w:color="000000" w:sz="4" w:space="0"/>
              <w:bottom w:val="single" w:color="000000" w:sz="4" w:space="0"/>
              <w:right w:val="single" w:color="000000" w:sz="4" w:space="0"/>
            </w:tcBorders>
          </w:tcPr>
          <w:p>
            <w:pPr>
              <w:adjustRightInd w:val="0"/>
              <w:snapToGrid w:val="0"/>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本次服务具体要求：</w:t>
            </w:r>
          </w:p>
          <w:p>
            <w:pPr>
              <w:pStyle w:val="19"/>
              <w:numPr>
                <w:ilvl w:val="0"/>
                <w:numId w:val="4"/>
              </w:numPr>
              <w:adjustRightInd w:val="0"/>
              <w:snapToGrid w:val="0"/>
              <w:spacing w:line="360" w:lineRule="auto"/>
              <w:ind w:firstLine="482"/>
              <w:rPr>
                <w:rFonts w:ascii="仿宋" w:hAnsi="仿宋" w:eastAsia="仿宋" w:cs="仿宋"/>
                <w:color w:val="auto"/>
                <w:highlight w:val="none"/>
                <w:shd w:val="clear" w:color="auto" w:fill="FFFFFF"/>
              </w:rPr>
            </w:pPr>
            <w:r>
              <w:rPr>
                <w:rFonts w:hint="eastAsia" w:ascii="仿宋" w:hAnsi="仿宋" w:eastAsia="仿宋" w:cs="仿宋"/>
                <w:b/>
                <w:bCs/>
                <w:color w:val="auto"/>
                <w:highlight w:val="none"/>
                <w:shd w:val="clear" w:color="auto" w:fill="FFFFFF"/>
              </w:rPr>
              <w:t>工期</w:t>
            </w:r>
            <w:r>
              <w:rPr>
                <w:rFonts w:hint="eastAsia" w:ascii="仿宋" w:hAnsi="仿宋" w:eastAsia="仿宋" w:cs="仿宋"/>
                <w:b/>
                <w:bCs/>
                <w:color w:val="auto"/>
                <w:highlight w:val="none"/>
                <w:shd w:val="clear" w:color="auto" w:fill="FFFFFF"/>
                <w:lang w:eastAsia="zh-CN"/>
              </w:rPr>
              <w:t>节点</w:t>
            </w:r>
            <w:r>
              <w:rPr>
                <w:rFonts w:hint="eastAsia" w:ascii="仿宋" w:hAnsi="仿宋" w:eastAsia="仿宋" w:cs="仿宋"/>
                <w:b/>
                <w:bCs/>
                <w:color w:val="auto"/>
                <w:highlight w:val="none"/>
                <w:shd w:val="clear" w:color="auto" w:fill="FFFFFF"/>
              </w:rPr>
              <w:t>要求</w:t>
            </w:r>
            <w:r>
              <w:rPr>
                <w:rFonts w:hint="eastAsia" w:ascii="仿宋" w:hAnsi="仿宋" w:eastAsia="仿宋" w:cs="仿宋"/>
                <w:color w:val="auto"/>
                <w:highlight w:val="none"/>
                <w:shd w:val="clear" w:color="auto" w:fill="FFFFFF"/>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1）收到</w:t>
            </w:r>
            <w:r>
              <w:rPr>
                <w:rFonts w:hint="eastAsia" w:ascii="仿宋" w:hAnsi="仿宋" w:eastAsia="仿宋" w:cs="仿宋"/>
                <w:color w:val="auto"/>
                <w:kern w:val="0"/>
                <w:sz w:val="24"/>
                <w:highlight w:val="none"/>
              </w:rPr>
              <w:t>中标通知书15个日历天内，完成本工程深化设计并获得设计单位及招标人确认，若因承包人原因未能按期完成，则处违约金1万元。</w:t>
            </w:r>
          </w:p>
          <w:p>
            <w:pPr>
              <w:spacing w:line="360" w:lineRule="auto"/>
              <w:ind w:firstLine="480" w:firstLineChars="200"/>
              <w:jc w:val="left"/>
              <w:rPr>
                <w:rFonts w:ascii="仿宋" w:hAnsi="仿宋" w:eastAsia="仿宋" w:cs="仿宋"/>
                <w:color w:val="auto"/>
                <w:highlight w:val="none"/>
                <w:shd w:val="clear" w:color="auto" w:fill="FFFFFF"/>
              </w:rPr>
            </w:pPr>
            <w:r>
              <w:rPr>
                <w:rFonts w:hint="eastAsia" w:ascii="仿宋" w:hAnsi="仿宋" w:eastAsia="仿宋" w:cs="仿宋"/>
                <w:color w:val="auto"/>
                <w:sz w:val="24"/>
                <w:highlight w:val="none"/>
              </w:rPr>
              <w:t>2）由于承包人原因未能在总工期内通过竣工验收，按拖期具体日历天数处违约金0.</w:t>
            </w:r>
            <w:r>
              <w:rPr>
                <w:rFonts w:ascii="仿宋" w:hAnsi="仿宋" w:eastAsia="仿宋" w:cs="仿宋"/>
                <w:color w:val="auto"/>
                <w:sz w:val="24"/>
                <w:highlight w:val="none"/>
              </w:rPr>
              <w:t>1</w:t>
            </w:r>
            <w:r>
              <w:rPr>
                <w:rFonts w:hint="eastAsia" w:ascii="仿宋" w:hAnsi="仿宋" w:eastAsia="仿宋" w:cs="仿宋"/>
                <w:color w:val="auto"/>
                <w:sz w:val="24"/>
                <w:highlight w:val="none"/>
              </w:rPr>
              <w:t>万元/日历天，总违约金最多不超过合同价的5%。</w:t>
            </w:r>
          </w:p>
          <w:p>
            <w:pPr>
              <w:pStyle w:val="19"/>
              <w:adjustRightInd w:val="0"/>
              <w:snapToGrid w:val="0"/>
              <w:spacing w:line="360" w:lineRule="auto"/>
              <w:ind w:firstLine="480"/>
              <w:jc w:val="both"/>
              <w:rPr>
                <w:rFonts w:ascii="仿宋" w:hAnsi="仿宋" w:eastAsia="仿宋" w:cs="仿宋"/>
                <w:bCs/>
                <w:color w:val="auto"/>
                <w:highlight w:val="none"/>
              </w:rPr>
            </w:pPr>
            <w:r>
              <w:rPr>
                <w:rFonts w:hint="eastAsia" w:ascii="仿宋" w:hAnsi="仿宋" w:eastAsia="仿宋" w:cs="仿宋"/>
                <w:color w:val="auto"/>
                <w:highlight w:val="none"/>
              </w:rPr>
              <w:t>2、</w:t>
            </w:r>
            <w:r>
              <w:rPr>
                <w:rFonts w:hint="eastAsia" w:ascii="仿宋" w:hAnsi="仿宋" w:eastAsia="仿宋" w:cs="仿宋"/>
                <w:b/>
                <w:bCs/>
                <w:color w:val="auto"/>
                <w:highlight w:val="none"/>
              </w:rPr>
              <w:t>具体工作内容包括但不限于</w:t>
            </w:r>
            <w:r>
              <w:rPr>
                <w:rFonts w:hint="eastAsia" w:ascii="仿宋" w:hAnsi="仿宋" w:eastAsia="仿宋" w:cs="仿宋"/>
                <w:color w:val="auto"/>
                <w:highlight w:val="none"/>
              </w:rPr>
              <w:t>：负责完成</w:t>
            </w:r>
            <w:r>
              <w:rPr>
                <w:rFonts w:hint="eastAsia" w:ascii="仿宋" w:hAnsi="仿宋" w:eastAsia="仿宋" w:cs="仿宋"/>
                <w:color w:val="auto"/>
                <w:highlight w:val="none"/>
                <w:lang w:val="en-US" w:eastAsia="zh-CN"/>
              </w:rPr>
              <w:t>本项目所有</w:t>
            </w:r>
            <w:r>
              <w:rPr>
                <w:rFonts w:hint="eastAsia" w:ascii="仿宋" w:hAnsi="仿宋" w:eastAsia="仿宋" w:cs="仿宋"/>
                <w:color w:val="auto"/>
                <w:highlight w:val="none"/>
              </w:rPr>
              <w:t>标识采购及安装（含深化设计），达到竣工验收移交标准。</w:t>
            </w:r>
          </w:p>
          <w:p>
            <w:pPr>
              <w:pStyle w:val="19"/>
              <w:numPr>
                <w:ilvl w:val="0"/>
                <w:numId w:val="5"/>
              </w:numPr>
              <w:adjustRightInd w:val="0"/>
              <w:snapToGrid w:val="0"/>
              <w:spacing w:line="360" w:lineRule="auto"/>
              <w:ind w:firstLine="480" w:firstLineChars="0"/>
              <w:rPr>
                <w:rFonts w:ascii="仿宋" w:hAnsi="仿宋" w:eastAsia="仿宋" w:cs="仿宋"/>
                <w:color w:val="auto"/>
                <w:highlight w:val="none"/>
                <w:u w:val="single"/>
              </w:rPr>
            </w:pPr>
            <w:r>
              <w:rPr>
                <w:rFonts w:hint="eastAsia" w:ascii="仿宋" w:hAnsi="仿宋" w:eastAsia="仿宋" w:cs="仿宋"/>
                <w:b/>
                <w:bCs/>
                <w:color w:val="auto"/>
                <w:highlight w:val="none"/>
              </w:rPr>
              <w:t>质量要求</w:t>
            </w:r>
            <w:r>
              <w:rPr>
                <w:rFonts w:hint="eastAsia" w:ascii="仿宋" w:hAnsi="仿宋" w:eastAsia="仿宋" w:cs="仿宋"/>
                <w:color w:val="auto"/>
                <w:highlight w:val="none"/>
              </w:rPr>
              <w:t>：</w:t>
            </w:r>
            <w:r>
              <w:rPr>
                <w:rFonts w:hint="eastAsia" w:ascii="仿宋" w:hAnsi="仿宋" w:eastAsia="仿宋" w:cs="仿宋"/>
                <w:color w:val="auto"/>
                <w:highlight w:val="none"/>
                <w:shd w:val="clear" w:color="auto" w:fill="FFFFFF"/>
              </w:rPr>
              <w:t>合格，同时满足招标人已公开发布的工务署“技术标准、图集、工艺指引”等标准。</w:t>
            </w:r>
          </w:p>
          <w:p>
            <w:pPr>
              <w:pStyle w:val="19"/>
              <w:numPr>
                <w:ilvl w:val="0"/>
                <w:numId w:val="5"/>
              </w:numPr>
              <w:adjustRightInd w:val="0"/>
              <w:snapToGrid w:val="0"/>
              <w:spacing w:line="360" w:lineRule="auto"/>
              <w:ind w:firstLine="482"/>
              <w:rPr>
                <w:rFonts w:ascii="仿宋" w:hAnsi="仿宋" w:eastAsia="仿宋" w:cs="仿宋"/>
                <w:b/>
                <w:bCs/>
                <w:color w:val="auto"/>
                <w:highlight w:val="none"/>
              </w:rPr>
            </w:pPr>
            <w:r>
              <w:rPr>
                <w:rFonts w:hint="eastAsia" w:ascii="仿宋" w:hAnsi="仿宋" w:eastAsia="仿宋" w:cs="仿宋"/>
                <w:b/>
                <w:bCs/>
                <w:color w:val="auto"/>
                <w:highlight w:val="none"/>
              </w:rPr>
              <w:t>说明</w:t>
            </w:r>
          </w:p>
          <w:p>
            <w:pPr>
              <w:pStyle w:val="19"/>
              <w:snapToGrid w:val="0"/>
              <w:spacing w:line="360" w:lineRule="auto"/>
              <w:ind w:firstLine="480"/>
              <w:jc w:val="both"/>
              <w:rPr>
                <w:rFonts w:ascii="仿宋" w:hAnsi="仿宋" w:eastAsia="仿宋" w:cs="仿宋"/>
                <w:color w:val="auto"/>
                <w:kern w:val="0"/>
                <w:highlight w:val="none"/>
              </w:rPr>
            </w:pPr>
            <w:r>
              <w:rPr>
                <w:rFonts w:hint="eastAsia" w:ascii="仿宋" w:hAnsi="仿宋" w:eastAsia="仿宋" w:cs="仿宋"/>
                <w:color w:val="auto"/>
                <w:kern w:val="0"/>
                <w:highlight w:val="none"/>
              </w:rPr>
              <w:t>根据《深圳市建筑工务署小型工程简易招标管理办法(2018)》及《深圳市2020年政府集中采购目录及限额标准》（深财购〔2020〕</w:t>
            </w:r>
            <w:r>
              <w:rPr>
                <w:rFonts w:hint="eastAsia" w:ascii="仿宋" w:hAnsi="仿宋" w:eastAsia="仿宋" w:cs="仿宋"/>
                <w:color w:val="auto"/>
                <w:kern w:val="0"/>
                <w:highlight w:val="none"/>
                <w:lang w:eastAsia="zh-CN"/>
              </w:rPr>
              <w:t>60</w:t>
            </w:r>
            <w:r>
              <w:rPr>
                <w:rFonts w:hint="eastAsia" w:ascii="仿宋" w:hAnsi="仿宋" w:eastAsia="仿宋" w:cs="仿宋"/>
                <w:color w:val="auto"/>
                <w:kern w:val="0"/>
                <w:highlight w:val="none"/>
              </w:rPr>
              <w:t>号）的有关规定，</w:t>
            </w:r>
            <w:r>
              <w:rPr>
                <w:rFonts w:hint="eastAsia" w:ascii="仿宋" w:hAnsi="仿宋" w:eastAsia="仿宋" w:cs="仿宋"/>
                <w:color w:val="auto"/>
                <w:kern w:val="0"/>
                <w:highlight w:val="none"/>
                <w:lang w:val="en-US" w:eastAsia="zh-CN"/>
              </w:rPr>
              <w:t>货物</w:t>
            </w:r>
            <w:r>
              <w:rPr>
                <w:rFonts w:hint="eastAsia" w:ascii="仿宋" w:hAnsi="仿宋" w:eastAsia="仿宋" w:cs="仿宋"/>
                <w:color w:val="auto"/>
                <w:kern w:val="0"/>
                <w:highlight w:val="none"/>
              </w:rPr>
              <w:t>类项目为</w:t>
            </w:r>
            <w:r>
              <w:rPr>
                <w:rFonts w:hint="eastAsia" w:ascii="仿宋" w:hAnsi="仿宋" w:eastAsia="仿宋" w:cs="仿宋"/>
                <w:color w:val="auto"/>
                <w:kern w:val="0"/>
                <w:highlight w:val="none"/>
                <w:lang w:val="en-US" w:eastAsia="zh-CN"/>
              </w:rPr>
              <w:t>小于100</w:t>
            </w:r>
            <w:r>
              <w:rPr>
                <w:rFonts w:hint="eastAsia" w:ascii="仿宋" w:hAnsi="仿宋" w:eastAsia="仿宋" w:cs="仿宋"/>
                <w:color w:val="auto"/>
                <w:kern w:val="0"/>
                <w:highlight w:val="none"/>
              </w:rPr>
              <w:t>万元以下，可采用小型简易招标。</w:t>
            </w:r>
          </w:p>
          <w:p>
            <w:pPr>
              <w:pStyle w:val="19"/>
              <w:snapToGrid w:val="0"/>
              <w:spacing w:line="360" w:lineRule="auto"/>
              <w:ind w:firstLine="480"/>
              <w:jc w:val="both"/>
              <w:rPr>
                <w:rFonts w:ascii="仿宋" w:hAnsi="仿宋" w:eastAsia="仿宋" w:cs="仿宋"/>
                <w:color w:val="auto"/>
                <w:kern w:val="0"/>
                <w:highlight w:val="none"/>
              </w:rPr>
            </w:pPr>
            <w:r>
              <w:rPr>
                <w:rFonts w:hint="eastAsia" w:ascii="仿宋" w:hAnsi="仿宋" w:eastAsia="仿宋" w:cs="仿宋"/>
                <w:color w:val="auto"/>
                <w:kern w:val="0"/>
                <w:highlight w:val="none"/>
              </w:rPr>
              <w:t>本工程采用小型简易招标（</w:t>
            </w:r>
            <w:r>
              <w:rPr>
                <w:rFonts w:hint="eastAsia" w:ascii="仿宋" w:hAnsi="仿宋" w:eastAsia="仿宋" w:cs="仿宋"/>
                <w:color w:val="auto"/>
                <w:kern w:val="0"/>
                <w:highlight w:val="none"/>
                <w:lang w:val="en-US" w:eastAsia="zh-CN"/>
              </w:rPr>
              <w:t>货物</w:t>
            </w:r>
            <w:r>
              <w:rPr>
                <w:rFonts w:hint="eastAsia" w:ascii="仿宋" w:hAnsi="仿宋" w:eastAsia="仿宋" w:cs="仿宋"/>
                <w:color w:val="auto"/>
                <w:kern w:val="0"/>
                <w:highlight w:val="none"/>
              </w:rPr>
              <w:t>类），</w:t>
            </w:r>
            <w:r>
              <w:rPr>
                <w:rFonts w:hint="eastAsia" w:ascii="仿宋" w:hAnsi="仿宋" w:eastAsia="仿宋"/>
                <w:color w:val="auto"/>
                <w:szCs w:val="21"/>
                <w:highlight w:val="none"/>
              </w:rPr>
              <w:t>最终结算金额小于</w:t>
            </w:r>
            <w:r>
              <w:rPr>
                <w:rFonts w:hint="eastAsia" w:ascii="仿宋" w:hAnsi="仿宋" w:eastAsia="仿宋"/>
                <w:color w:val="auto"/>
                <w:szCs w:val="21"/>
                <w:highlight w:val="none"/>
                <w:lang w:val="en-US" w:eastAsia="zh-CN"/>
              </w:rPr>
              <w:t>100</w:t>
            </w:r>
            <w:r>
              <w:rPr>
                <w:rFonts w:hint="eastAsia" w:ascii="仿宋" w:hAnsi="仿宋" w:eastAsia="仿宋"/>
                <w:color w:val="auto"/>
                <w:szCs w:val="21"/>
                <w:highlight w:val="none"/>
              </w:rPr>
              <w:t>万元</w:t>
            </w:r>
            <w:r>
              <w:rPr>
                <w:rFonts w:hint="eastAsia" w:ascii="仿宋" w:hAnsi="仿宋" w:eastAsia="仿宋" w:cs="仿宋"/>
                <w:color w:val="auto"/>
                <w:kern w:val="0"/>
                <w:highlight w:val="none"/>
              </w:rPr>
              <w:t>，投标人应当仔细阅读上述文件并承诺，严格执行招标公告、施工图纸及报价清单等文件的相关约定，充分考虑各种风险，合理竞价。</w:t>
            </w:r>
          </w:p>
          <w:p>
            <w:pPr>
              <w:pStyle w:val="19"/>
              <w:adjustRightInd w:val="0"/>
              <w:snapToGrid w:val="0"/>
              <w:spacing w:line="360" w:lineRule="auto"/>
              <w:ind w:firstLine="480"/>
              <w:rPr>
                <w:rFonts w:ascii="仿宋" w:hAnsi="仿宋" w:eastAsia="仿宋"/>
                <w:b/>
                <w:bCs/>
                <w:color w:val="auto"/>
                <w:szCs w:val="21"/>
                <w:highlight w:val="none"/>
              </w:rPr>
            </w:pPr>
            <w:r>
              <w:rPr>
                <w:rFonts w:hint="eastAsia" w:ascii="仿宋" w:hAnsi="仿宋" w:eastAsia="仿宋" w:cs="仿宋"/>
                <w:b/>
                <w:bCs/>
                <w:color w:val="auto"/>
                <w:kern w:val="0"/>
                <w:highlight w:val="none"/>
              </w:rPr>
              <w:t>5、</w:t>
            </w:r>
            <w:r>
              <w:rPr>
                <w:rFonts w:hint="eastAsia" w:ascii="仿宋" w:hAnsi="仿宋" w:eastAsia="仿宋"/>
                <w:b/>
                <w:bCs/>
                <w:color w:val="auto"/>
                <w:szCs w:val="21"/>
                <w:highlight w:val="none"/>
              </w:rPr>
              <w:t>投标文件否决性条款摘要</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1）</w:t>
            </w:r>
            <w:r>
              <w:rPr>
                <w:rFonts w:hint="eastAsia" w:ascii="仿宋" w:hAnsi="仿宋" w:eastAsia="仿宋"/>
                <w:color w:val="auto"/>
                <w:szCs w:val="21"/>
                <w:highlight w:val="none"/>
              </w:rPr>
              <w:t>招标公告规定的截止时间以后逾期递交的，或者未按招标公告规定方式递交的，该投标文件（或投标文件的组成部分）不予受理。</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2）</w:t>
            </w:r>
            <w:r>
              <w:rPr>
                <w:rFonts w:hint="eastAsia" w:ascii="仿宋" w:hAnsi="仿宋" w:eastAsia="仿宋"/>
                <w:color w:val="auto"/>
                <w:szCs w:val="21"/>
                <w:highlight w:val="none"/>
              </w:rPr>
              <w:t>投标人投标时须提交法人证明书和法人授权委托书。且被授权人需携带本人身份证至截标现场递交投标资料，否则所投标书不予受理。</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3）</w:t>
            </w:r>
            <w:r>
              <w:rPr>
                <w:rFonts w:hint="eastAsia" w:ascii="仿宋" w:hAnsi="仿宋" w:eastAsia="仿宋"/>
                <w:color w:val="auto"/>
                <w:szCs w:val="21"/>
                <w:highlight w:val="none"/>
              </w:rPr>
              <w:t>资格审查被评审为不合格的，投标文件不予受理。</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4）</w:t>
            </w:r>
            <w:r>
              <w:rPr>
                <w:rFonts w:hint="eastAsia" w:ascii="仿宋" w:hAnsi="仿宋" w:eastAsia="仿宋"/>
                <w:color w:val="auto"/>
                <w:szCs w:val="21"/>
                <w:highlight w:val="none"/>
              </w:rPr>
              <w:t>投标报价书中填报的投标价超出投标报价上限的，视为“无效标”</w:t>
            </w:r>
          </w:p>
          <w:p>
            <w:pPr>
              <w:pStyle w:val="19"/>
              <w:adjustRightInd w:val="0"/>
              <w:snapToGrid w:val="0"/>
              <w:spacing w:line="360" w:lineRule="auto"/>
              <w:ind w:firstLine="480"/>
              <w:rPr>
                <w:rFonts w:ascii="仿宋" w:hAnsi="仿宋" w:eastAsia="仿宋"/>
                <w:color w:val="auto"/>
                <w:szCs w:val="21"/>
                <w:highlight w:val="none"/>
              </w:rPr>
            </w:pPr>
            <w:r>
              <w:rPr>
                <w:rFonts w:hint="eastAsia" w:ascii="仿宋" w:hAnsi="仿宋" w:eastAsia="仿宋"/>
                <w:color w:val="auto"/>
                <w:szCs w:val="21"/>
                <w:highlight w:val="none"/>
                <w:lang w:val="en-US" w:eastAsia="zh-CN"/>
              </w:rPr>
              <w:t>5）</w:t>
            </w:r>
            <w:r>
              <w:rPr>
                <w:rFonts w:hint="eastAsia" w:ascii="仿宋" w:hAnsi="仿宋" w:eastAsia="仿宋"/>
                <w:color w:val="auto"/>
                <w:szCs w:val="21"/>
                <w:highlight w:val="none"/>
              </w:rPr>
              <w:t>暂列金额、安全文明施工措施费为不可竞争性费用，如投标人擅自修改上述费用，视为无效标。</w:t>
            </w:r>
          </w:p>
          <w:p>
            <w:pPr>
              <w:pStyle w:val="19"/>
              <w:adjustRightInd w:val="0"/>
              <w:snapToGrid w:val="0"/>
              <w:spacing w:line="360" w:lineRule="auto"/>
              <w:ind w:firstLine="480"/>
              <w:rPr>
                <w:rFonts w:ascii="仿宋" w:hAnsi="仿宋" w:eastAsia="仿宋" w:cs="仿宋"/>
                <w:color w:val="auto"/>
                <w:highlight w:val="none"/>
              </w:rPr>
            </w:pPr>
            <w:r>
              <w:rPr>
                <w:rFonts w:hint="eastAsia" w:ascii="仿宋" w:hAnsi="仿宋" w:eastAsia="仿宋"/>
                <w:color w:val="auto"/>
                <w:szCs w:val="21"/>
                <w:highlight w:val="none"/>
                <w:lang w:val="en-US" w:eastAsia="zh-CN"/>
              </w:rPr>
              <w:t>6）</w:t>
            </w:r>
            <w:r>
              <w:rPr>
                <w:rFonts w:hint="eastAsia" w:ascii="仿宋" w:hAnsi="仿宋" w:eastAsia="仿宋"/>
                <w:color w:val="auto"/>
                <w:szCs w:val="21"/>
                <w:highlight w:val="none"/>
              </w:rPr>
              <w:t>投标承诺函未按招标公告规定填写或更改非投标人填写内容的</w:t>
            </w:r>
            <w:r>
              <w:rPr>
                <w:rFonts w:hint="eastAsia" w:ascii="仿宋" w:hAnsi="仿宋" w:eastAsia="仿宋"/>
                <w:color w:val="auto"/>
                <w:szCs w:val="21"/>
                <w:highlight w:val="none"/>
                <w:lang w:eastAsia="zh-CN"/>
              </w:rPr>
              <w:t>。当投标承诺函与投标报价书报价总金额不一致时，以投标报价书为准。</w:t>
            </w:r>
          </w:p>
          <w:p>
            <w:pPr>
              <w:pStyle w:val="4"/>
              <w:keepNext w:val="0"/>
              <w:keepLines w:val="0"/>
              <w:adjustRightInd w:val="0"/>
              <w:snapToGrid w:val="0"/>
              <w:spacing w:before="0" w:after="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en-US" w:eastAsia="zh-CN"/>
              </w:rPr>
              <w:t>投</w:t>
            </w:r>
            <w:r>
              <w:rPr>
                <w:rFonts w:hint="eastAsia" w:ascii="仿宋" w:hAnsi="仿宋" w:eastAsia="仿宋" w:cs="仿宋"/>
                <w:color w:val="auto"/>
                <w:sz w:val="24"/>
                <w:szCs w:val="24"/>
                <w:highlight w:val="none"/>
              </w:rPr>
              <w:t>标报价规定，详招标公告附件1《工程量清单投标报价规定》以及附件2《工程量清单投标报价规定》的修改及补充条款。</w:t>
            </w:r>
          </w:p>
          <w:p>
            <w:pPr>
              <w:pStyle w:val="4"/>
              <w:keepNext w:val="0"/>
              <w:keepLines w:val="0"/>
              <w:adjustRightInd w:val="0"/>
              <w:snapToGrid w:val="0"/>
              <w:spacing w:before="0" w:after="0" w:line="360" w:lineRule="auto"/>
              <w:ind w:firstLine="480" w:firstLineChars="200"/>
              <w:rPr>
                <w:rFonts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7、发包人并不承诺为中标人提供现场临时办公用地。中标人临时驻地（包括办公、住宿用房、料场、材料加工场等）由中标人人自行解决。</w:t>
            </w:r>
          </w:p>
          <w:p>
            <w:pPr>
              <w:pStyle w:val="4"/>
              <w:keepNext w:val="0"/>
              <w:keepLines w:val="0"/>
              <w:adjustRightInd w:val="0"/>
              <w:snapToGrid w:val="0"/>
              <w:spacing w:before="0" w:after="0" w:line="360" w:lineRule="auto"/>
              <w:ind w:firstLine="480" w:firstLineChars="200"/>
              <w:rPr>
                <w:rFonts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lang w:val="en-US"/>
              </w:rPr>
              <w:t>8、招标公告附件约定的内容。</w:t>
            </w:r>
          </w:p>
        </w:tc>
      </w:tr>
    </w:tbl>
    <w:p>
      <w:pPr>
        <w:rPr>
          <w:rFonts w:ascii="仿宋" w:hAnsi="仿宋"/>
          <w:color w:val="auto"/>
          <w:sz w:val="28"/>
          <w:szCs w:val="28"/>
          <w:highlight w:val="none"/>
        </w:rPr>
      </w:pPr>
      <w:r>
        <w:rPr>
          <w:rFonts w:hint="eastAsia" w:ascii="仿宋" w:hAnsi="仿宋"/>
          <w:color w:val="auto"/>
          <w:sz w:val="28"/>
          <w:szCs w:val="28"/>
          <w:highlight w:val="none"/>
        </w:rPr>
        <w:t>投标人法定代表签名：                   投标单位（署名并盖章）：</w:t>
      </w:r>
    </w:p>
    <w:p>
      <w:pPr>
        <w:spacing w:line="360" w:lineRule="exact"/>
        <w:ind w:right="560" w:firstLine="5320" w:firstLineChars="1900"/>
        <w:rPr>
          <w:rFonts w:ascii="仿宋" w:hAnsi="仿宋"/>
          <w:color w:val="auto"/>
          <w:sz w:val="28"/>
          <w:szCs w:val="28"/>
          <w:highlight w:val="none"/>
        </w:rPr>
      </w:pPr>
      <w:r>
        <w:rPr>
          <w:rFonts w:hint="eastAsia" w:ascii="仿宋" w:hAnsi="仿宋"/>
          <w:color w:val="auto"/>
          <w:sz w:val="28"/>
          <w:szCs w:val="28"/>
          <w:highlight w:val="none"/>
        </w:rPr>
        <w:t>日期：</w:t>
      </w:r>
    </w:p>
    <w:p>
      <w:pPr>
        <w:topLinePunct/>
        <w:spacing w:line="400" w:lineRule="exact"/>
        <w:ind w:firstLine="420" w:firstLineChars="200"/>
        <w:rPr>
          <w:rFonts w:ascii="仿宋" w:hAnsi="仿宋"/>
          <w:color w:val="auto"/>
          <w:szCs w:val="21"/>
          <w:highlight w:val="none"/>
        </w:rPr>
      </w:pPr>
      <w:bookmarkStart w:id="6" w:name="Bookmark44"/>
      <w:bookmarkEnd w:id="6"/>
      <w:bookmarkStart w:id="7" w:name="Bookmark34"/>
      <w:bookmarkEnd w:id="7"/>
      <w:bookmarkStart w:id="8" w:name="Bookmark39"/>
      <w:bookmarkEnd w:id="8"/>
      <w:bookmarkStart w:id="9" w:name="Bookmark38"/>
      <w:bookmarkEnd w:id="9"/>
      <w:bookmarkStart w:id="10" w:name="Bookmark36"/>
      <w:bookmarkEnd w:id="10"/>
      <w:bookmarkStart w:id="11" w:name="Bookmark37"/>
      <w:bookmarkEnd w:id="11"/>
      <w:bookmarkStart w:id="12" w:name="Bookmark35"/>
      <w:bookmarkEnd w:id="12"/>
      <w:bookmarkStart w:id="13" w:name="Bookmark40"/>
      <w:bookmarkEnd w:id="13"/>
    </w:p>
    <w:p>
      <w:pPr>
        <w:adjustRightInd w:val="0"/>
        <w:snapToGrid w:val="0"/>
        <w:spacing w:line="276" w:lineRule="auto"/>
        <w:ind w:firstLine="640" w:firstLineChars="200"/>
        <w:jc w:val="left"/>
        <w:rPr>
          <w:rFonts w:hint="eastAsia" w:ascii="仿宋" w:hAnsi="仿宋"/>
          <w:color w:val="auto"/>
          <w:sz w:val="32"/>
          <w:szCs w:val="32"/>
          <w:highlight w:val="none"/>
        </w:rPr>
      </w:pPr>
    </w:p>
    <w:p>
      <w:pPr>
        <w:adjustRightInd w:val="0"/>
        <w:snapToGrid w:val="0"/>
        <w:spacing w:line="276" w:lineRule="auto"/>
        <w:ind w:firstLine="640" w:firstLineChars="200"/>
        <w:jc w:val="left"/>
        <w:rPr>
          <w:rFonts w:hint="eastAsia" w:ascii="仿宋" w:hAnsi="仿宋"/>
          <w:color w:val="auto"/>
          <w:sz w:val="32"/>
          <w:szCs w:val="32"/>
          <w:highlight w:val="none"/>
        </w:rPr>
      </w:pPr>
    </w:p>
    <w:p>
      <w:pPr>
        <w:jc w:val="left"/>
        <w:rPr>
          <w:rFonts w:hint="eastAsia" w:ascii="仿宋" w:hAnsi="仿宋" w:eastAsia="仿宋" w:cs="仿宋"/>
          <w:color w:val="auto"/>
          <w:sz w:val="31"/>
          <w:szCs w:val="31"/>
          <w:highlight w:val="none"/>
        </w:rPr>
        <w:sectPr>
          <w:pgSz w:w="11906" w:h="16838"/>
          <w:pgMar w:top="1440" w:right="1800" w:bottom="1440" w:left="1800" w:header="851" w:footer="992" w:gutter="0"/>
          <w:cols w:space="425" w:num="1"/>
          <w:docGrid w:type="lines" w:linePitch="312" w:charSpace="0"/>
        </w:sectPr>
      </w:pPr>
    </w:p>
    <w:p>
      <w:pPr>
        <w:jc w:val="left"/>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附件</w:t>
      </w:r>
      <w:r>
        <w:rPr>
          <w:rFonts w:hint="eastAsia" w:ascii="仿宋" w:hAnsi="仿宋" w:eastAsia="仿宋" w:cs="仿宋"/>
          <w:color w:val="auto"/>
          <w:sz w:val="31"/>
          <w:szCs w:val="31"/>
          <w:highlight w:val="none"/>
          <w:lang w:val="en-US" w:eastAsia="zh-CN"/>
        </w:rPr>
        <w:t>四</w:t>
      </w:r>
      <w:r>
        <w:rPr>
          <w:rFonts w:hint="eastAsia" w:ascii="仿宋" w:hAnsi="仿宋" w:eastAsia="仿宋" w:cs="仿宋"/>
          <w:color w:val="auto"/>
          <w:sz w:val="31"/>
          <w:szCs w:val="31"/>
          <w:highlight w:val="none"/>
        </w:rPr>
        <w:t>：</w:t>
      </w:r>
    </w:p>
    <w:p>
      <w:pPr>
        <w:ind w:firstLine="138" w:firstLineChars="49"/>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主要管理人员汇总表</w:t>
      </w:r>
    </w:p>
    <w:tbl>
      <w:tblPr>
        <w:tblStyle w:val="15"/>
        <w:tblW w:w="8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89"/>
        <w:gridCol w:w="1272"/>
        <w:gridCol w:w="1294"/>
        <w:gridCol w:w="738"/>
        <w:gridCol w:w="1186"/>
        <w:gridCol w:w="1039"/>
        <w:gridCol w:w="10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序号</w:t>
            </w: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姓名</w:t>
            </w: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拟在本项目任职</w:t>
            </w: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证书名称、资格等级</w:t>
            </w: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证书号</w:t>
            </w: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身份证号</w:t>
            </w: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手机号</w:t>
            </w: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r>
              <w:rPr>
                <w:rFonts w:hint="eastAsia" w:ascii="仿宋" w:hAnsi="仿宋" w:eastAsia="仿宋" w:cs="仿宋"/>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bookmarkStart w:id="14" w:name="_Toc517531319"/>
            <w:bookmarkEnd w:id="14"/>
            <w:bookmarkStart w:id="15" w:name="_Toc517529081"/>
            <w:bookmarkEnd w:id="15"/>
            <w:bookmarkStart w:id="16" w:name="_Toc517530043"/>
            <w:bookmarkEnd w:id="16"/>
            <w:bookmarkStart w:id="17" w:name="_Toc517527988"/>
            <w:bookmarkEnd w:id="17"/>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3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8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72"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294"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738"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18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vAlign w:val="center"/>
          </w:tcPr>
          <w:p>
            <w:pPr>
              <w:ind w:hanging="3"/>
              <w:jc w:val="center"/>
              <w:rPr>
                <w:rFonts w:ascii="仿宋" w:hAnsi="仿宋" w:eastAsia="仿宋" w:cs="仿宋"/>
                <w:bCs/>
                <w:color w:val="auto"/>
                <w:szCs w:val="21"/>
                <w:highlight w:val="none"/>
              </w:rPr>
            </w:pPr>
          </w:p>
        </w:tc>
      </w:tr>
    </w:tbl>
    <w:p>
      <w:pPr>
        <w:rPr>
          <w:rFonts w:ascii="仿宋" w:hAnsi="仿宋" w:eastAsia="仿宋" w:cs="仿宋"/>
          <w:color w:val="auto"/>
          <w:sz w:val="24"/>
          <w:highlight w:val="none"/>
        </w:rPr>
      </w:pPr>
    </w:p>
    <w:p>
      <w:pPr>
        <w:rPr>
          <w:rFonts w:ascii="仿宋" w:hAnsi="仿宋" w:eastAsia="仿宋" w:cs="仿宋"/>
          <w:color w:val="auto"/>
          <w:sz w:val="24"/>
          <w:highlight w:val="none"/>
        </w:rPr>
      </w:pPr>
      <w:r>
        <w:rPr>
          <w:rFonts w:hint="eastAsia" w:ascii="仿宋" w:hAnsi="仿宋" w:eastAsia="仿宋" w:cs="仿宋"/>
          <w:color w:val="auto"/>
          <w:sz w:val="24"/>
          <w:highlight w:val="none"/>
        </w:rPr>
        <w:t>投标人法定代表签名：                 投标单位（署名并盖章）：</w:t>
      </w:r>
    </w:p>
    <w:p>
      <w:pPr>
        <w:spacing w:line="360" w:lineRule="exact"/>
        <w:ind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日期：</w:t>
      </w:r>
    </w:p>
    <w:p>
      <w:pPr>
        <w:rPr>
          <w:rFonts w:ascii="仿宋" w:hAnsi="仿宋" w:eastAsia="仿宋" w:cs="仿宋"/>
          <w:color w:val="auto"/>
          <w:sz w:val="24"/>
          <w:highlight w:val="none"/>
        </w:rPr>
      </w:pPr>
    </w:p>
    <w:p>
      <w:pPr>
        <w:jc w:val="left"/>
        <w:rPr>
          <w:rFonts w:hint="eastAsia" w:ascii="仿宋" w:hAnsi="仿宋" w:eastAsia="仿宋" w:cs="仿宋"/>
          <w:color w:val="auto"/>
          <w:sz w:val="31"/>
          <w:szCs w:val="31"/>
          <w:highlight w:val="none"/>
        </w:rPr>
        <w:sectPr>
          <w:pgSz w:w="11906" w:h="16838"/>
          <w:pgMar w:top="1440" w:right="1800" w:bottom="1440" w:left="1800" w:header="851" w:footer="992" w:gutter="0"/>
          <w:cols w:space="425" w:num="1"/>
          <w:docGrid w:type="lines" w:linePitch="312" w:charSpace="0"/>
        </w:sectPr>
      </w:pPr>
    </w:p>
    <w:p>
      <w:pPr>
        <w:jc w:val="left"/>
        <w:rPr>
          <w:rFonts w:ascii="仿宋" w:hAnsi="仿宋" w:eastAsia="仿宋" w:cs="仿宋"/>
          <w:color w:val="auto"/>
          <w:sz w:val="31"/>
          <w:szCs w:val="31"/>
          <w:highlight w:val="none"/>
        </w:rPr>
      </w:pPr>
      <w:r>
        <w:rPr>
          <w:rFonts w:hint="eastAsia" w:ascii="仿宋" w:hAnsi="仿宋" w:eastAsia="仿宋" w:cs="仿宋"/>
          <w:color w:val="auto"/>
          <w:sz w:val="31"/>
          <w:szCs w:val="31"/>
          <w:highlight w:val="none"/>
        </w:rPr>
        <w:t>附件</w:t>
      </w:r>
      <w:r>
        <w:rPr>
          <w:rFonts w:hint="eastAsia" w:ascii="仿宋" w:hAnsi="仿宋" w:eastAsia="仿宋" w:cs="仿宋"/>
          <w:color w:val="auto"/>
          <w:sz w:val="31"/>
          <w:szCs w:val="31"/>
          <w:highlight w:val="none"/>
          <w:lang w:val="en-US" w:eastAsia="zh-CN"/>
        </w:rPr>
        <w:t>五</w:t>
      </w:r>
      <w:r>
        <w:rPr>
          <w:rFonts w:hint="eastAsia" w:ascii="仿宋" w:hAnsi="仿宋" w:eastAsia="仿宋" w:cs="仿宋"/>
          <w:color w:val="auto"/>
          <w:sz w:val="31"/>
          <w:szCs w:val="31"/>
          <w:highlight w:val="none"/>
        </w:rPr>
        <w:t>：</w:t>
      </w:r>
    </w:p>
    <w:p>
      <w:pPr>
        <w:pStyle w:val="10"/>
        <w:spacing w:before="120" w:beforeLines="50" w:after="120" w:afterLines="50" w:line="360" w:lineRule="auto"/>
        <w:jc w:val="center"/>
        <w:rPr>
          <w:rFonts w:hAnsi="宋体"/>
          <w:color w:val="auto"/>
          <w:sz w:val="42"/>
          <w:szCs w:val="42"/>
          <w:highlight w:val="none"/>
        </w:rPr>
      </w:pPr>
      <w:r>
        <w:rPr>
          <w:rFonts w:hint="eastAsia" w:hAnsi="宋体"/>
          <w:color w:val="auto"/>
          <w:sz w:val="42"/>
          <w:szCs w:val="42"/>
          <w:highlight w:val="none"/>
        </w:rPr>
        <w:t>投标承诺函</w:t>
      </w:r>
    </w:p>
    <w:p>
      <w:pPr>
        <w:pStyle w:val="10"/>
        <w:adjustRightInd w:val="0"/>
        <w:snapToGrid w:val="0"/>
        <w:spacing w:line="300" w:lineRule="auto"/>
        <w:jc w:val="left"/>
        <w:rPr>
          <w:rFonts w:hAnsi="宋体"/>
          <w:bCs/>
          <w:color w:val="auto"/>
          <w:szCs w:val="20"/>
          <w:highlight w:val="none"/>
          <w:u w:val="single"/>
        </w:rPr>
      </w:pPr>
      <w:r>
        <w:rPr>
          <w:rFonts w:hint="eastAsia" w:hAnsi="宋体"/>
          <w:bCs/>
          <w:color w:val="auto"/>
          <w:szCs w:val="20"/>
          <w:highlight w:val="none"/>
        </w:rPr>
        <w:t>致招标人</w:t>
      </w:r>
      <w:r>
        <w:rPr>
          <w:rFonts w:hAnsi="宋体"/>
          <w:bCs/>
          <w:color w:val="auto"/>
          <w:szCs w:val="20"/>
          <w:highlight w:val="none"/>
        </w:rPr>
        <w:t>:</w:t>
      </w:r>
      <w:r>
        <w:rPr>
          <w:rFonts w:hAnsi="宋体"/>
          <w:bCs/>
          <w:color w:val="auto"/>
          <w:szCs w:val="20"/>
          <w:highlight w:val="none"/>
          <w:u w:val="single"/>
        </w:rPr>
        <w:t xml:space="preserve">  </w:t>
      </w:r>
      <w:r>
        <w:rPr>
          <w:rFonts w:hint="eastAsia" w:ascii="宋体" w:hAnsi="宋体" w:eastAsia="宋体" w:cs="Times New Roman"/>
          <w:color w:val="auto"/>
          <w:sz w:val="20"/>
          <w:szCs w:val="20"/>
          <w:highlight w:val="none"/>
          <w:u w:val="single"/>
        </w:rPr>
        <w:t>深圳市建筑工务署教育工程管理中心</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rPr>
        <w:t>为了确保本工程招标投标工作顺利进行，同时保证优质高效、文明施工，我方将严格执行建设工程管理的法律法规，并完全接受</w:t>
      </w:r>
      <w:r>
        <w:rPr>
          <w:rFonts w:hAnsi="宋体"/>
          <w:bCs/>
          <w:color w:val="auto"/>
          <w:szCs w:val="20"/>
          <w:highlight w:val="none"/>
          <w:u w:val="single"/>
        </w:rPr>
        <w:t xml:space="preserve"> </w:t>
      </w:r>
      <w:r>
        <w:rPr>
          <w:rFonts w:hint="eastAsia" w:hAnsi="宋体"/>
          <w:bCs/>
          <w:color w:val="auto"/>
          <w:szCs w:val="20"/>
          <w:highlight w:val="none"/>
          <w:u w:val="single"/>
        </w:rPr>
        <w:t>深圳职业技术学院北校区一期项目标识采购及安装工程</w:t>
      </w:r>
      <w:r>
        <w:rPr>
          <w:rFonts w:hint="eastAsia" w:hAnsi="宋体"/>
          <w:bCs/>
          <w:color w:val="auto"/>
          <w:szCs w:val="20"/>
          <w:highlight w:val="none"/>
        </w:rPr>
        <w:t>的招标文件所有内容，为此作出如下承诺：</w:t>
      </w:r>
    </w:p>
    <w:p>
      <w:pPr>
        <w:adjustRightInd w:val="0"/>
        <w:snapToGrid w:val="0"/>
        <w:spacing w:line="300" w:lineRule="auto"/>
        <w:ind w:firstLine="400" w:firstLineChars="200"/>
        <w:jc w:val="left"/>
        <w:rPr>
          <w:rFonts w:hint="eastAsia" w:hAnsi="宋体" w:eastAsia="宋体"/>
          <w:b/>
          <w:bCs/>
          <w:color w:val="auto"/>
          <w:sz w:val="20"/>
          <w:szCs w:val="20"/>
          <w:highlight w:val="none"/>
          <w:lang w:eastAsia="zh-CN"/>
        </w:rPr>
      </w:pPr>
      <w:r>
        <w:rPr>
          <w:rFonts w:ascii="宋体" w:hAnsi="宋体"/>
          <w:color w:val="auto"/>
          <w:sz w:val="20"/>
          <w:szCs w:val="20"/>
          <w:highlight w:val="none"/>
        </w:rPr>
        <w:t>1、根据企业自身情况，理性报价，不以低于成本的报价竞标，并愿以</w:t>
      </w:r>
      <w:r>
        <w:rPr>
          <w:rFonts w:ascii="宋体" w:hAnsi="宋体"/>
          <w:color w:val="auto"/>
          <w:sz w:val="20"/>
          <w:szCs w:val="20"/>
          <w:highlight w:val="none"/>
          <w:u w:val="single"/>
        </w:rPr>
        <w:t xml:space="preserve">         </w:t>
      </w:r>
      <w:r>
        <w:rPr>
          <w:rFonts w:hint="eastAsia" w:ascii="宋体" w:hAnsi="宋体"/>
          <w:color w:val="auto"/>
          <w:sz w:val="20"/>
          <w:szCs w:val="20"/>
          <w:highlight w:val="none"/>
        </w:rPr>
        <w:t>元投标总价按招标文件要求承包本工程的施工、竣工并修补其任何缺陷。否则，我方愿意承担</w:t>
      </w:r>
      <w:r>
        <w:rPr>
          <w:rFonts w:hint="eastAsia" w:hAnsi="宋体"/>
          <w:bCs/>
          <w:color w:val="auto"/>
          <w:sz w:val="20"/>
          <w:szCs w:val="20"/>
          <w:highlight w:val="none"/>
        </w:rPr>
        <w:t>任何风险。</w:t>
      </w:r>
    </w:p>
    <w:p>
      <w:pPr>
        <w:pStyle w:val="10"/>
        <w:adjustRightInd w:val="0"/>
        <w:snapToGrid w:val="0"/>
        <w:spacing w:line="300" w:lineRule="auto"/>
        <w:ind w:firstLine="400" w:firstLineChars="200"/>
        <w:jc w:val="left"/>
        <w:rPr>
          <w:rFonts w:hAnsi="宋体"/>
          <w:bCs/>
          <w:color w:val="auto"/>
          <w:szCs w:val="20"/>
          <w:highlight w:val="none"/>
        </w:rPr>
      </w:pPr>
      <w:r>
        <w:rPr>
          <w:rFonts w:hAnsi="宋体"/>
          <w:bCs/>
          <w:color w:val="auto"/>
          <w:szCs w:val="20"/>
          <w:highlight w:val="none"/>
        </w:rPr>
        <w:t>2、我方保证在</w:t>
      </w:r>
      <w:r>
        <w:rPr>
          <w:rFonts w:hAnsi="宋体"/>
          <w:bCs/>
          <w:color w:val="auto"/>
          <w:szCs w:val="20"/>
          <w:highlight w:val="none"/>
          <w:u w:val="single"/>
        </w:rPr>
        <w:t xml:space="preserve">      </w:t>
      </w:r>
      <w:r>
        <w:rPr>
          <w:rFonts w:hAnsi="宋体"/>
          <w:bCs/>
          <w:color w:val="auto"/>
          <w:szCs w:val="20"/>
          <w:highlight w:val="none"/>
        </w:rPr>
        <w:t>日内</w:t>
      </w:r>
      <w:r>
        <w:rPr>
          <w:rFonts w:hint="eastAsia" w:hAnsi="宋体"/>
          <w:bCs/>
          <w:color w:val="auto"/>
          <w:szCs w:val="20"/>
          <w:highlight w:val="none"/>
        </w:rPr>
        <w:t>（或于</w:t>
      </w:r>
      <w:r>
        <w:rPr>
          <w:rFonts w:hAnsi="宋体"/>
          <w:bCs/>
          <w:color w:val="auto"/>
          <w:szCs w:val="20"/>
          <w:highlight w:val="none"/>
          <w:u w:val="single"/>
        </w:rPr>
        <w:t xml:space="preserve"> </w:t>
      </w:r>
      <w:r>
        <w:rPr>
          <w:rFonts w:hint="eastAsia" w:hAnsi="宋体"/>
          <w:bCs/>
          <w:color w:val="auto"/>
          <w:szCs w:val="20"/>
          <w:highlight w:val="none"/>
          <w:u w:val="single"/>
          <w:lang w:val="en-US" w:eastAsia="zh-CN"/>
        </w:rPr>
        <w:t xml:space="preserve"> </w:t>
      </w:r>
      <w:r>
        <w:rPr>
          <w:rFonts w:hAnsi="宋体"/>
          <w:bCs/>
          <w:color w:val="auto"/>
          <w:szCs w:val="20"/>
          <w:highlight w:val="none"/>
          <w:u w:val="single"/>
        </w:rPr>
        <w:t xml:space="preserve"> </w:t>
      </w:r>
      <w:r>
        <w:rPr>
          <w:rFonts w:hint="eastAsia" w:hAnsi="宋体"/>
          <w:bCs/>
          <w:color w:val="auto"/>
          <w:szCs w:val="20"/>
          <w:highlight w:val="none"/>
        </w:rPr>
        <w:t>年</w:t>
      </w:r>
      <w:r>
        <w:rPr>
          <w:rFonts w:hAnsi="宋体"/>
          <w:bCs/>
          <w:color w:val="auto"/>
          <w:szCs w:val="20"/>
          <w:highlight w:val="none"/>
          <w:u w:val="single"/>
        </w:rPr>
        <w:t xml:space="preserve">  </w:t>
      </w:r>
      <w:r>
        <w:rPr>
          <w:rFonts w:hint="eastAsia" w:hAnsi="宋体"/>
          <w:bCs/>
          <w:color w:val="auto"/>
          <w:szCs w:val="20"/>
          <w:highlight w:val="none"/>
        </w:rPr>
        <w:t>月</w:t>
      </w:r>
      <w:r>
        <w:rPr>
          <w:rFonts w:hAnsi="宋体"/>
          <w:bCs/>
          <w:color w:val="auto"/>
          <w:szCs w:val="20"/>
          <w:highlight w:val="none"/>
          <w:u w:val="single"/>
        </w:rPr>
        <w:t xml:space="preserve">  </w:t>
      </w:r>
      <w:r>
        <w:rPr>
          <w:rFonts w:hint="eastAsia" w:hAnsi="宋体"/>
          <w:bCs/>
          <w:color w:val="auto"/>
          <w:szCs w:val="20"/>
          <w:highlight w:val="none"/>
        </w:rPr>
        <w:t>日前）完成工程竣工验收（非我方造成的工期延误除外）。</w:t>
      </w:r>
    </w:p>
    <w:p>
      <w:pPr>
        <w:adjustRightInd w:val="0"/>
        <w:snapToGrid w:val="0"/>
        <w:spacing w:line="300" w:lineRule="auto"/>
        <w:ind w:firstLine="400" w:firstLineChars="200"/>
        <w:jc w:val="left"/>
        <w:rPr>
          <w:rFonts w:ascii="宋体" w:hAnsi="宋体"/>
          <w:color w:val="auto"/>
          <w:sz w:val="20"/>
          <w:szCs w:val="20"/>
          <w:highlight w:val="none"/>
        </w:rPr>
      </w:pPr>
      <w:r>
        <w:rPr>
          <w:rFonts w:hint="eastAsia" w:ascii="宋体" w:hAnsi="宋体"/>
          <w:bCs/>
          <w:color w:val="auto"/>
          <w:kern w:val="0"/>
          <w:sz w:val="20"/>
          <w:szCs w:val="20"/>
          <w:highlight w:val="none"/>
          <w:lang w:val="en-US" w:eastAsia="zh-CN"/>
        </w:rPr>
        <w:t>3</w:t>
      </w:r>
      <w:r>
        <w:rPr>
          <w:rFonts w:hint="eastAsia" w:ascii="宋体" w:hAnsi="宋体"/>
          <w:bCs/>
          <w:color w:val="auto"/>
          <w:sz w:val="20"/>
          <w:szCs w:val="20"/>
          <w:highlight w:val="none"/>
        </w:rPr>
        <w:t>、</w:t>
      </w:r>
      <w:r>
        <w:rPr>
          <w:rFonts w:hint="eastAsia" w:ascii="宋体" w:hAnsi="宋体"/>
          <w:color w:val="auto"/>
          <w:sz w:val="20"/>
          <w:szCs w:val="20"/>
          <w:highlight w:val="none"/>
        </w:rPr>
        <w:t>我方同意所递交的投标文件在投标人须知规定的投标有效期内有效，在此期间内我方的投标有可能中标，我方将受此约束。如果在投标有效期内撤回投标或放弃中标资格，我方的投标担保将全部被没收，给贵方造成的损失超过我方投标担保金额的，贵方还有权要求我方对超过部分进行赔偿。</w:t>
      </w:r>
    </w:p>
    <w:p>
      <w:pPr>
        <w:adjustRightInd w:val="0"/>
        <w:snapToGrid w:val="0"/>
        <w:spacing w:line="360" w:lineRule="auto"/>
        <w:ind w:firstLine="400" w:firstLineChars="200"/>
        <w:rPr>
          <w:rFonts w:hint="eastAsia" w:ascii="宋体" w:hAnsi="宋体" w:eastAsia="宋体" w:cs="Times New Roman"/>
          <w:color w:val="auto"/>
          <w:kern w:val="0"/>
          <w:sz w:val="20"/>
          <w:szCs w:val="20"/>
          <w:highlight w:val="none"/>
          <w:lang w:val="en-US" w:eastAsia="zh-CN" w:bidi="ar-SA"/>
        </w:rPr>
      </w:pPr>
      <w:r>
        <w:rPr>
          <w:rFonts w:hint="eastAsia" w:ascii="宋体" w:hAnsi="宋体" w:eastAsia="宋体" w:cs="Times New Roman"/>
          <w:color w:val="auto"/>
          <w:kern w:val="0"/>
          <w:sz w:val="20"/>
          <w:szCs w:val="20"/>
          <w:highlight w:val="none"/>
          <w:lang w:val="en-US" w:eastAsia="zh-CN" w:bidi="ar-SA"/>
        </w:rPr>
        <w:t>4、我方保证所提交的保证金是从我公司基本账户汇出，银行保函是由我公司基本账户开户银行所在网点或其上级银行机构出具，保证保险的保费是通过我公司基本账户支付。否则，招标人有权取消我公司的中标资格或单方面终止合同，因此造成的责任由我公司承担。</w:t>
      </w:r>
    </w:p>
    <w:p>
      <w:pPr>
        <w:adjustRightInd w:val="0"/>
        <w:snapToGrid w:val="0"/>
        <w:spacing w:line="300" w:lineRule="auto"/>
        <w:ind w:firstLine="400" w:firstLineChars="200"/>
        <w:jc w:val="left"/>
        <w:rPr>
          <w:rFonts w:ascii="宋体" w:hAnsi="宋体" w:cs="Courier New"/>
          <w:bCs/>
          <w:color w:val="auto"/>
          <w:sz w:val="20"/>
          <w:szCs w:val="20"/>
          <w:highlight w:val="none"/>
        </w:rPr>
      </w:pPr>
      <w:r>
        <w:rPr>
          <w:rFonts w:hint="eastAsia" w:ascii="宋体" w:hAnsi="宋体" w:cs="Courier New"/>
          <w:bCs/>
          <w:color w:val="auto"/>
          <w:sz w:val="20"/>
          <w:szCs w:val="20"/>
          <w:highlight w:val="none"/>
          <w:lang w:val="en-US" w:eastAsia="zh-CN"/>
        </w:rPr>
        <w:t>5</w:t>
      </w:r>
      <w:r>
        <w:rPr>
          <w:rFonts w:ascii="宋体" w:hAnsi="宋体" w:cs="Courier New"/>
          <w:bCs/>
          <w:color w:val="auto"/>
          <w:sz w:val="20"/>
          <w:szCs w:val="20"/>
          <w:highlight w:val="none"/>
        </w:rPr>
        <w:t>、一旦我方中标，将保证在收到中标通知书后</w:t>
      </w:r>
      <w:r>
        <w:rPr>
          <w:rFonts w:ascii="宋体" w:hAnsi="宋体" w:cs="Courier New"/>
          <w:bCs/>
          <w:color w:val="auto"/>
          <w:sz w:val="20"/>
          <w:szCs w:val="20"/>
          <w:highlight w:val="none"/>
          <w:u w:val="single"/>
        </w:rPr>
        <w:t>30</w:t>
      </w:r>
      <w:r>
        <w:rPr>
          <w:rFonts w:hint="eastAsia" w:ascii="宋体" w:hAnsi="宋体" w:cs="Courier New"/>
          <w:bCs/>
          <w:color w:val="auto"/>
          <w:sz w:val="20"/>
          <w:szCs w:val="20"/>
          <w:highlight w:val="none"/>
        </w:rPr>
        <w:t>日内，与贵方按招标文件、中标通知书中的内容签订施工合同，否则，视为我方自愿放弃中标资格。</w:t>
      </w:r>
    </w:p>
    <w:p>
      <w:pPr>
        <w:adjustRightInd w:val="0"/>
        <w:snapToGrid w:val="0"/>
        <w:spacing w:line="300" w:lineRule="auto"/>
        <w:ind w:firstLine="400" w:firstLineChars="200"/>
        <w:jc w:val="left"/>
        <w:rPr>
          <w:rFonts w:ascii="宋体" w:hAnsi="宋体" w:cs="Courier New"/>
          <w:bCs/>
          <w:color w:val="auto"/>
          <w:sz w:val="20"/>
          <w:szCs w:val="20"/>
          <w:highlight w:val="none"/>
        </w:rPr>
      </w:pPr>
      <w:r>
        <w:rPr>
          <w:rFonts w:hint="eastAsia" w:ascii="宋体" w:hAnsi="宋体"/>
          <w:color w:val="auto"/>
          <w:sz w:val="20"/>
          <w:szCs w:val="20"/>
          <w:highlight w:val="none"/>
          <w:lang w:val="en-US" w:eastAsia="zh-CN"/>
        </w:rPr>
        <w:t>6</w:t>
      </w:r>
      <w:r>
        <w:rPr>
          <w:rFonts w:ascii="宋体" w:hAnsi="宋体"/>
          <w:color w:val="auto"/>
          <w:sz w:val="20"/>
          <w:szCs w:val="20"/>
          <w:highlight w:val="none"/>
        </w:rPr>
        <w:t>、除非另外达成协议并生效，贵方的中标通知书和本投标文件将成为约束双方的合同文件的组成部分。</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lang w:val="en-US" w:eastAsia="zh-CN"/>
        </w:rPr>
        <w:t>7</w:t>
      </w:r>
      <w:r>
        <w:rPr>
          <w:rFonts w:hAnsi="宋体"/>
          <w:bCs/>
          <w:color w:val="auto"/>
          <w:szCs w:val="20"/>
          <w:highlight w:val="none"/>
        </w:rPr>
        <w:t>、按规定完成招标文件约定承包范围内的施工内容，质量达到</w:t>
      </w:r>
      <w:r>
        <w:rPr>
          <w:rFonts w:hint="eastAsia" w:hAnsi="宋体"/>
          <w:bCs/>
          <w:color w:val="auto"/>
          <w:szCs w:val="20"/>
          <w:highlight w:val="none"/>
          <w:lang w:val="en-US" w:eastAsia="zh-CN"/>
        </w:rPr>
        <w:t>招标文件要求</w:t>
      </w:r>
      <w:r>
        <w:rPr>
          <w:rFonts w:hAnsi="宋体"/>
          <w:bCs/>
          <w:color w:val="auto"/>
          <w:szCs w:val="20"/>
          <w:highlight w:val="none"/>
        </w:rPr>
        <w:t>的标准。</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lang w:val="en-US" w:eastAsia="zh-CN"/>
        </w:rPr>
        <w:t>8</w:t>
      </w:r>
      <w:r>
        <w:rPr>
          <w:rFonts w:hAnsi="宋体"/>
          <w:bCs/>
          <w:color w:val="auto"/>
          <w:szCs w:val="20"/>
          <w:highlight w:val="none"/>
        </w:rPr>
        <w:t>、建立完善的质量安全保证体系，配备与投标文件相一致且满足工程建设规模、技术要求、安全要求的项目管理机构和项目管理人员，并确保常驻现场。撤换上述人员前，必须征得贵方及建设行政主管部门批准同意。否则，招标人有权取消我公司的中标资格或单方面终止合同，由此造成的违约责任由我公司承担。</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lang w:val="en-US" w:eastAsia="zh-CN"/>
        </w:rPr>
        <w:t>9</w:t>
      </w:r>
      <w:r>
        <w:rPr>
          <w:rFonts w:hAnsi="宋体"/>
          <w:bCs/>
          <w:color w:val="auto"/>
          <w:szCs w:val="20"/>
          <w:highlight w:val="none"/>
        </w:rPr>
        <w:t>、全体施工作业人员通过“平安卡”培训，并办理工伤保险、意外伤害保险手续。</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lang w:val="en-US" w:eastAsia="zh-CN"/>
        </w:rPr>
        <w:t>10</w:t>
      </w:r>
      <w:r>
        <w:rPr>
          <w:rFonts w:hAnsi="宋体"/>
          <w:bCs/>
          <w:color w:val="auto"/>
          <w:szCs w:val="20"/>
          <w:highlight w:val="none"/>
        </w:rPr>
        <w:t>、对在工程实施过程中发生的工程变更，严格按照双方合同的有关规定计量和计价并保证接受贵方要求完成变更的工程内容。</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lang w:val="en-US" w:eastAsia="zh-CN"/>
        </w:rPr>
        <w:t>11</w:t>
      </w:r>
      <w:r>
        <w:rPr>
          <w:rFonts w:hAnsi="宋体"/>
          <w:bCs/>
          <w:color w:val="auto"/>
          <w:szCs w:val="20"/>
          <w:highlight w:val="none"/>
        </w:rPr>
        <w:t>、一旦我方中标，将保证工程实施过程中的清洁及现场垃圾清运等工作、工程收尾阶段的未完工作（含清洁及垃圾清运等）和缺陷修复、保修阶段的属于我方保修范围、内容的项目，在接到相关指令或通知之日起在指令或通知要求的时间内派人执行，</w:t>
      </w:r>
      <w:r>
        <w:rPr>
          <w:rFonts w:hint="eastAsia" w:ascii="宋体" w:hAnsi="宋体" w:eastAsia="宋体" w:cs="Times New Roman"/>
          <w:color w:val="auto"/>
          <w:kern w:val="0"/>
          <w:sz w:val="20"/>
          <w:szCs w:val="20"/>
          <w:highlight w:val="none"/>
          <w:lang w:val="en-US" w:eastAsia="zh-CN" w:bidi="ar-SA"/>
        </w:rPr>
        <w:t>直到达到合格的质量标准，</w:t>
      </w:r>
      <w:r>
        <w:rPr>
          <w:rFonts w:hAnsi="宋体"/>
          <w:bCs/>
          <w:color w:val="auto"/>
          <w:szCs w:val="20"/>
          <w:highlight w:val="none"/>
        </w:rPr>
        <w:t>否则我方同意发包人有权直接委托他人执行，相关费用从工程结算款、质量保修金内扣除或向我方索赔，并不对费用提出任何异议。</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lang w:val="en-US" w:eastAsia="zh-CN"/>
        </w:rPr>
        <w:t>12</w:t>
      </w:r>
      <w:r>
        <w:rPr>
          <w:rFonts w:hAnsi="宋体"/>
          <w:bCs/>
          <w:color w:val="auto"/>
          <w:szCs w:val="20"/>
          <w:highlight w:val="none"/>
        </w:rPr>
        <w:t>、我方在本次投标中无弄虚作假行为，且未与其他投标人、招标人及评标专家串通投标等违规行为。否则，将接受取消投标资格、取消中标资格、解除合同、已进场施工的无条件退场、清出预选承包商名录、记录不良行为红色警示、暂停一年至三年在我市参加建设工程投标的资格等处理，涉嫌犯罪的，接受公安机关的查处。</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rPr>
        <w:t>我方在本次投标中不会出现虚假恶意投诉或利用投诉进行不正当竞争，否则，我方愿意被建设行政主管部门及贵方列入招标投标投诉“黑名单”。</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lang w:val="en-US" w:eastAsia="zh-CN"/>
        </w:rPr>
        <w:t>13</w:t>
      </w:r>
      <w:r>
        <w:rPr>
          <w:rFonts w:hAnsi="宋体"/>
          <w:bCs/>
          <w:color w:val="auto"/>
          <w:szCs w:val="20"/>
          <w:highlight w:val="none"/>
        </w:rPr>
        <w:t>、我方承诺在收到贵方发出的中标通知书前任何时间内，若被工务署处以停标处理并且未过停标期限的，我方均自愿放弃中标资格。</w:t>
      </w:r>
    </w:p>
    <w:p>
      <w:pPr>
        <w:tabs>
          <w:tab w:val="left" w:pos="900"/>
        </w:tabs>
        <w:adjustRightInd w:val="0"/>
        <w:snapToGrid w:val="0"/>
        <w:spacing w:line="300" w:lineRule="auto"/>
        <w:ind w:left="29" w:leftChars="14" w:firstLine="372" w:firstLineChars="186"/>
        <w:jc w:val="left"/>
        <w:rPr>
          <w:rFonts w:ascii="宋体" w:hAnsi="宋体" w:cs="Courier New"/>
          <w:bCs/>
          <w:color w:val="auto"/>
          <w:sz w:val="20"/>
          <w:szCs w:val="20"/>
          <w:highlight w:val="none"/>
        </w:rPr>
      </w:pPr>
      <w:r>
        <w:rPr>
          <w:rFonts w:hint="eastAsia" w:ascii="宋体" w:hAnsi="宋体" w:cs="Courier New"/>
          <w:bCs/>
          <w:color w:val="auto"/>
          <w:sz w:val="20"/>
          <w:szCs w:val="20"/>
          <w:highlight w:val="none"/>
          <w:lang w:val="en-US" w:eastAsia="zh-CN"/>
        </w:rPr>
        <w:t>14</w:t>
      </w:r>
      <w:r>
        <w:rPr>
          <w:rFonts w:ascii="宋体" w:hAnsi="宋体" w:cs="Courier New"/>
          <w:bCs/>
          <w:color w:val="auto"/>
          <w:sz w:val="20"/>
          <w:szCs w:val="20"/>
          <w:highlight w:val="none"/>
        </w:rPr>
        <w:t>、我方承诺，贵方在澄清过程中及签订合同后均有权对我方不平衡报价进行调整。</w:t>
      </w:r>
    </w:p>
    <w:p>
      <w:pPr>
        <w:tabs>
          <w:tab w:val="left" w:pos="900"/>
        </w:tabs>
        <w:adjustRightInd w:val="0"/>
        <w:snapToGrid w:val="0"/>
        <w:spacing w:line="300" w:lineRule="auto"/>
        <w:ind w:left="29" w:leftChars="14" w:firstLine="372" w:firstLineChars="186"/>
        <w:jc w:val="left"/>
        <w:rPr>
          <w:rFonts w:ascii="宋体" w:hAnsi="宋体" w:cs="Courier New"/>
          <w:bCs/>
          <w:color w:val="auto"/>
          <w:sz w:val="20"/>
          <w:szCs w:val="20"/>
          <w:highlight w:val="none"/>
        </w:rPr>
      </w:pPr>
      <w:r>
        <w:rPr>
          <w:rFonts w:hint="eastAsia" w:ascii="宋体" w:hAnsi="宋体" w:cs="Courier New"/>
          <w:bCs/>
          <w:color w:val="auto"/>
          <w:sz w:val="20"/>
          <w:szCs w:val="20"/>
          <w:highlight w:val="none"/>
          <w:lang w:val="en-US" w:eastAsia="zh-CN"/>
        </w:rPr>
        <w:t>15</w:t>
      </w:r>
      <w:r>
        <w:rPr>
          <w:rFonts w:ascii="宋体" w:hAnsi="宋体" w:cs="Courier New"/>
          <w:bCs/>
          <w:color w:val="auto"/>
          <w:sz w:val="20"/>
          <w:szCs w:val="20"/>
          <w:highlight w:val="none"/>
        </w:rPr>
        <w:t>、如果违反本承诺书中任何条款，我方愿意接受：</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rPr>
        <w:t>（</w:t>
      </w:r>
      <w:r>
        <w:rPr>
          <w:rFonts w:hAnsi="宋体"/>
          <w:bCs/>
          <w:color w:val="auto"/>
          <w:szCs w:val="20"/>
          <w:highlight w:val="none"/>
        </w:rPr>
        <w:t>1）视作我方单方面违约，并按照合同规定向贵方支付违约金或解除合同；</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rPr>
        <w:t>（</w:t>
      </w:r>
      <w:r>
        <w:rPr>
          <w:rFonts w:hAnsi="宋体"/>
          <w:bCs/>
          <w:color w:val="auto"/>
          <w:szCs w:val="20"/>
          <w:highlight w:val="none"/>
        </w:rPr>
        <w:t>2）履约评价评定为合格及以下；</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rPr>
        <w:t>（</w:t>
      </w:r>
      <w:r>
        <w:rPr>
          <w:rFonts w:hAnsi="宋体"/>
          <w:bCs/>
          <w:color w:val="auto"/>
          <w:szCs w:val="20"/>
          <w:highlight w:val="none"/>
        </w:rPr>
        <w:t>3）本工程招标人今后可拒绝我方参与投标；</w:t>
      </w:r>
    </w:p>
    <w:p>
      <w:pPr>
        <w:pStyle w:val="10"/>
        <w:adjustRightInd w:val="0"/>
        <w:snapToGrid w:val="0"/>
        <w:spacing w:line="300" w:lineRule="auto"/>
        <w:ind w:firstLine="400" w:firstLineChars="200"/>
        <w:jc w:val="left"/>
        <w:rPr>
          <w:rFonts w:hAnsi="宋体"/>
          <w:bCs/>
          <w:color w:val="auto"/>
          <w:szCs w:val="20"/>
          <w:highlight w:val="none"/>
        </w:rPr>
      </w:pPr>
      <w:r>
        <w:rPr>
          <w:rFonts w:hint="eastAsia" w:hAnsi="宋体"/>
          <w:bCs/>
          <w:color w:val="auto"/>
          <w:szCs w:val="20"/>
          <w:highlight w:val="none"/>
        </w:rPr>
        <w:t>（</w:t>
      </w:r>
      <w:r>
        <w:rPr>
          <w:rFonts w:hAnsi="宋体"/>
          <w:bCs/>
          <w:color w:val="auto"/>
          <w:szCs w:val="20"/>
          <w:highlight w:val="none"/>
        </w:rPr>
        <w:t>4）建设行政主管部门或相关主管部门的不良行为记录、行政处罚。</w:t>
      </w:r>
    </w:p>
    <w:p>
      <w:pPr>
        <w:pStyle w:val="10"/>
        <w:adjustRightInd w:val="0"/>
        <w:snapToGrid w:val="0"/>
        <w:spacing w:line="300" w:lineRule="auto"/>
        <w:jc w:val="left"/>
        <w:rPr>
          <w:rFonts w:hAnsi="宋体"/>
          <w:bCs/>
          <w:color w:val="auto"/>
          <w:szCs w:val="20"/>
          <w:highlight w:val="none"/>
        </w:rPr>
      </w:pPr>
    </w:p>
    <w:p>
      <w:pPr>
        <w:pStyle w:val="10"/>
        <w:adjustRightInd w:val="0"/>
        <w:snapToGrid w:val="0"/>
        <w:spacing w:line="300" w:lineRule="auto"/>
        <w:jc w:val="left"/>
        <w:rPr>
          <w:rFonts w:hAnsi="宋体"/>
          <w:bCs/>
          <w:color w:val="auto"/>
          <w:szCs w:val="20"/>
          <w:highlight w:val="none"/>
        </w:rPr>
      </w:pPr>
      <w:r>
        <w:rPr>
          <w:rFonts w:hint="eastAsia" w:hAnsi="宋体"/>
          <w:bCs/>
          <w:color w:val="auto"/>
          <w:szCs w:val="20"/>
          <w:highlight w:val="none"/>
        </w:rPr>
        <w:t>附：投标人不响应招标文件及投标人的保留条款（如有）</w:t>
      </w:r>
    </w:p>
    <w:p>
      <w:pPr>
        <w:pStyle w:val="10"/>
        <w:adjustRightInd w:val="0"/>
        <w:snapToGrid w:val="0"/>
        <w:spacing w:line="300" w:lineRule="auto"/>
        <w:jc w:val="left"/>
        <w:rPr>
          <w:rFonts w:hAnsi="宋体"/>
          <w:bCs/>
          <w:color w:val="auto"/>
          <w:szCs w:val="20"/>
          <w:highlight w:val="none"/>
        </w:rPr>
      </w:pPr>
    </w:p>
    <w:p>
      <w:pPr>
        <w:pStyle w:val="10"/>
        <w:adjustRightInd w:val="0"/>
        <w:snapToGrid w:val="0"/>
        <w:spacing w:line="300" w:lineRule="auto"/>
        <w:jc w:val="left"/>
        <w:rPr>
          <w:rFonts w:hAnsi="宋体"/>
          <w:bCs/>
          <w:color w:val="auto"/>
          <w:szCs w:val="20"/>
          <w:highlight w:val="none"/>
        </w:rPr>
      </w:pPr>
    </w:p>
    <w:p>
      <w:pPr>
        <w:adjustRightInd w:val="0"/>
        <w:snapToGrid w:val="0"/>
        <w:spacing w:line="300" w:lineRule="auto"/>
        <w:ind w:firstLine="400" w:firstLineChars="200"/>
        <w:jc w:val="left"/>
        <w:rPr>
          <w:rFonts w:ascii="宋体" w:hAnsi="宋体"/>
          <w:color w:val="auto"/>
          <w:sz w:val="20"/>
          <w:szCs w:val="20"/>
          <w:highlight w:val="none"/>
          <w:u w:val="single"/>
        </w:rPr>
      </w:pPr>
      <w:r>
        <w:rPr>
          <w:rFonts w:hint="eastAsia" w:ascii="宋体" w:hAnsi="宋体"/>
          <w:color w:val="auto"/>
          <w:sz w:val="20"/>
          <w:szCs w:val="20"/>
          <w:highlight w:val="none"/>
        </w:rPr>
        <w:t>投标人：</w:t>
      </w:r>
      <w:r>
        <w:rPr>
          <w:rFonts w:ascii="宋体" w:hAnsi="宋体"/>
          <w:color w:val="auto"/>
          <w:sz w:val="20"/>
          <w:szCs w:val="20"/>
          <w:highlight w:val="none"/>
          <w:u w:val="single"/>
        </w:rPr>
        <w:t xml:space="preserve">                                                  </w:t>
      </w:r>
    </w:p>
    <w:p>
      <w:pPr>
        <w:adjustRightInd w:val="0"/>
        <w:snapToGrid w:val="0"/>
        <w:spacing w:line="300" w:lineRule="auto"/>
        <w:ind w:firstLine="400" w:firstLineChars="200"/>
        <w:jc w:val="left"/>
        <w:rPr>
          <w:rFonts w:ascii="宋体" w:hAnsi="宋体"/>
          <w:bCs/>
          <w:color w:val="auto"/>
          <w:sz w:val="20"/>
          <w:szCs w:val="20"/>
          <w:highlight w:val="none"/>
          <w:u w:val="single"/>
        </w:rPr>
      </w:pPr>
      <w:r>
        <w:rPr>
          <w:rFonts w:hint="eastAsia" w:ascii="宋体" w:hAnsi="宋体"/>
          <w:color w:val="auto"/>
          <w:sz w:val="20"/>
          <w:szCs w:val="20"/>
          <w:highlight w:val="none"/>
        </w:rPr>
        <w:t>法定代表人：</w:t>
      </w:r>
      <w:r>
        <w:rPr>
          <w:rFonts w:ascii="宋体" w:hAnsi="宋体"/>
          <w:color w:val="auto"/>
          <w:sz w:val="20"/>
          <w:szCs w:val="20"/>
          <w:highlight w:val="none"/>
          <w:u w:val="single"/>
        </w:rPr>
        <w:t xml:space="preserve">                                              </w:t>
      </w:r>
    </w:p>
    <w:p>
      <w:pPr>
        <w:adjustRightInd w:val="0"/>
        <w:snapToGrid w:val="0"/>
        <w:spacing w:line="300" w:lineRule="auto"/>
        <w:ind w:firstLine="400" w:firstLineChars="200"/>
        <w:jc w:val="left"/>
        <w:rPr>
          <w:rFonts w:ascii="宋体" w:hAnsi="宋体"/>
          <w:color w:val="auto"/>
          <w:sz w:val="20"/>
          <w:szCs w:val="20"/>
          <w:highlight w:val="none"/>
          <w:u w:val="single"/>
        </w:rPr>
      </w:pPr>
      <w:r>
        <w:rPr>
          <w:rFonts w:hint="eastAsia" w:ascii="宋体" w:hAnsi="宋体"/>
          <w:color w:val="auto"/>
          <w:sz w:val="20"/>
          <w:szCs w:val="20"/>
          <w:highlight w:val="none"/>
        </w:rPr>
        <w:t>单位地址：</w:t>
      </w:r>
      <w:r>
        <w:rPr>
          <w:rFonts w:ascii="宋体" w:hAnsi="宋体"/>
          <w:color w:val="auto"/>
          <w:sz w:val="20"/>
          <w:szCs w:val="20"/>
          <w:highlight w:val="none"/>
          <w:u w:val="single"/>
        </w:rPr>
        <w:t xml:space="preserve">                                                </w:t>
      </w:r>
    </w:p>
    <w:p>
      <w:pPr>
        <w:adjustRightInd w:val="0"/>
        <w:snapToGrid w:val="0"/>
        <w:spacing w:line="300" w:lineRule="auto"/>
        <w:ind w:firstLine="400" w:firstLineChars="200"/>
        <w:jc w:val="left"/>
        <w:rPr>
          <w:rFonts w:ascii="宋体" w:hAnsi="宋体"/>
          <w:bCs/>
          <w:color w:val="auto"/>
          <w:sz w:val="20"/>
          <w:szCs w:val="20"/>
          <w:highlight w:val="none"/>
          <w:u w:val="single"/>
        </w:rPr>
      </w:pPr>
      <w:r>
        <w:rPr>
          <w:rFonts w:hint="eastAsia" w:ascii="宋体" w:hAnsi="宋体"/>
          <w:color w:val="auto"/>
          <w:sz w:val="20"/>
          <w:szCs w:val="20"/>
          <w:highlight w:val="none"/>
        </w:rPr>
        <w:t>邮政编码：</w:t>
      </w:r>
      <w:r>
        <w:rPr>
          <w:rFonts w:ascii="宋体" w:hAnsi="宋体"/>
          <w:color w:val="auto"/>
          <w:sz w:val="20"/>
          <w:szCs w:val="20"/>
          <w:highlight w:val="none"/>
          <w:u w:val="single"/>
        </w:rPr>
        <w:t xml:space="preserve">            </w:t>
      </w:r>
      <w:r>
        <w:rPr>
          <w:rFonts w:hint="eastAsia" w:ascii="宋体" w:hAnsi="宋体"/>
          <w:color w:val="auto"/>
          <w:sz w:val="20"/>
          <w:szCs w:val="20"/>
          <w:highlight w:val="none"/>
        </w:rPr>
        <w:t>电话：</w:t>
      </w:r>
      <w:r>
        <w:rPr>
          <w:rFonts w:ascii="宋体" w:hAnsi="宋体"/>
          <w:color w:val="auto"/>
          <w:sz w:val="20"/>
          <w:szCs w:val="20"/>
          <w:highlight w:val="none"/>
          <w:u w:val="single"/>
        </w:rPr>
        <w:t xml:space="preserve">           </w:t>
      </w:r>
      <w:r>
        <w:rPr>
          <w:rFonts w:hint="eastAsia" w:ascii="宋体" w:hAnsi="宋体"/>
          <w:color w:val="auto"/>
          <w:sz w:val="20"/>
          <w:szCs w:val="20"/>
          <w:highlight w:val="none"/>
        </w:rPr>
        <w:t>传真：</w:t>
      </w:r>
      <w:r>
        <w:rPr>
          <w:rFonts w:ascii="宋体" w:hAnsi="宋体"/>
          <w:color w:val="auto"/>
          <w:sz w:val="20"/>
          <w:szCs w:val="20"/>
          <w:highlight w:val="none"/>
          <w:u w:val="single"/>
        </w:rPr>
        <w:t xml:space="preserve">             </w:t>
      </w:r>
    </w:p>
    <w:p>
      <w:pPr>
        <w:adjustRightInd w:val="0"/>
        <w:snapToGrid w:val="0"/>
        <w:spacing w:line="300" w:lineRule="auto"/>
        <w:ind w:firstLine="400" w:firstLineChars="200"/>
        <w:jc w:val="left"/>
        <w:rPr>
          <w:rFonts w:ascii="宋体" w:hAnsi="宋体"/>
          <w:color w:val="auto"/>
          <w:sz w:val="20"/>
          <w:szCs w:val="20"/>
          <w:highlight w:val="none"/>
        </w:rPr>
      </w:pPr>
    </w:p>
    <w:p>
      <w:pPr>
        <w:pStyle w:val="10"/>
        <w:adjustRightInd w:val="0"/>
        <w:snapToGrid w:val="0"/>
        <w:spacing w:line="300" w:lineRule="auto"/>
        <w:jc w:val="right"/>
        <w:rPr>
          <w:rFonts w:hAnsi="宋体"/>
          <w:bCs/>
          <w:color w:val="auto"/>
          <w:szCs w:val="20"/>
          <w:highlight w:val="none"/>
        </w:rPr>
      </w:pPr>
      <w:r>
        <w:rPr>
          <w:rFonts w:hint="eastAsia" w:hAnsi="宋体"/>
          <w:bCs/>
          <w:color w:val="auto"/>
          <w:szCs w:val="20"/>
          <w:highlight w:val="none"/>
        </w:rPr>
        <w:t>年</w:t>
      </w:r>
      <w:r>
        <w:rPr>
          <w:rFonts w:hAnsi="宋体"/>
          <w:bCs/>
          <w:color w:val="auto"/>
          <w:szCs w:val="20"/>
          <w:highlight w:val="none"/>
        </w:rPr>
        <w:t xml:space="preserve">   </w:t>
      </w:r>
      <w:r>
        <w:rPr>
          <w:rFonts w:hint="eastAsia" w:hAnsi="宋体"/>
          <w:bCs/>
          <w:color w:val="auto"/>
          <w:szCs w:val="20"/>
          <w:highlight w:val="none"/>
        </w:rPr>
        <w:t>月</w:t>
      </w:r>
      <w:r>
        <w:rPr>
          <w:rFonts w:hAnsi="宋体"/>
          <w:bCs/>
          <w:color w:val="auto"/>
          <w:szCs w:val="20"/>
          <w:highlight w:val="none"/>
        </w:rPr>
        <w:t xml:space="preserve">   </w:t>
      </w:r>
      <w:r>
        <w:rPr>
          <w:rFonts w:hint="eastAsia" w:hAnsi="宋体"/>
          <w:bCs/>
          <w:color w:val="auto"/>
          <w:szCs w:val="20"/>
          <w:highlight w:val="none"/>
        </w:rPr>
        <w:t>日</w:t>
      </w:r>
    </w:p>
    <w:p>
      <w:pPr>
        <w:rPr>
          <w:color w:val="auto"/>
          <w:highlight w:val="none"/>
        </w:rPr>
        <w:sectPr>
          <w:pgSz w:w="11906" w:h="16838"/>
          <w:pgMar w:top="1440" w:right="1800" w:bottom="1440" w:left="1800" w:header="851" w:footer="992" w:gutter="0"/>
          <w:cols w:space="425" w:num="1"/>
          <w:docGrid w:type="lines" w:linePitch="312" w:charSpace="0"/>
        </w:sectPr>
      </w:pPr>
    </w:p>
    <w:p>
      <w:pPr>
        <w:jc w:val="left"/>
        <w:rPr>
          <w:rFonts w:ascii="宋体" w:hAnsi="宋体"/>
          <w:b/>
          <w:bCs/>
          <w:color w:val="auto"/>
          <w:sz w:val="44"/>
          <w:szCs w:val="44"/>
          <w:highlight w:val="none"/>
        </w:rPr>
      </w:pPr>
      <w:r>
        <w:rPr>
          <w:rFonts w:hint="eastAsia" w:ascii="仿宋" w:hAnsi="仿宋" w:eastAsia="仿宋" w:cs="仿宋"/>
          <w:color w:val="auto"/>
          <w:sz w:val="31"/>
          <w:szCs w:val="31"/>
          <w:highlight w:val="none"/>
        </w:rPr>
        <w:t>附件</w:t>
      </w:r>
      <w:r>
        <w:rPr>
          <w:rFonts w:hint="eastAsia" w:ascii="仿宋" w:hAnsi="仿宋" w:eastAsia="仿宋" w:cs="仿宋"/>
          <w:color w:val="auto"/>
          <w:sz w:val="31"/>
          <w:szCs w:val="31"/>
          <w:highlight w:val="none"/>
          <w:lang w:val="en-US" w:eastAsia="zh-CN"/>
        </w:rPr>
        <w:t>六</w:t>
      </w:r>
      <w:r>
        <w:rPr>
          <w:rFonts w:hint="eastAsia" w:ascii="仿宋" w:hAnsi="仿宋" w:eastAsia="仿宋" w:cs="仿宋"/>
          <w:color w:val="auto"/>
          <w:sz w:val="31"/>
          <w:szCs w:val="31"/>
          <w:highlight w:val="none"/>
        </w:rPr>
        <w:t>：</w:t>
      </w:r>
      <w:r>
        <w:rPr>
          <w:rFonts w:hint="eastAsia" w:ascii="仿宋" w:hAnsi="仿宋" w:eastAsia="仿宋" w:cs="仿宋"/>
          <w:b/>
          <w:color w:val="auto"/>
          <w:sz w:val="24"/>
          <w:highlight w:val="none"/>
        </w:rPr>
        <w:t>技术规范说明</w:t>
      </w:r>
    </w:p>
    <w:p>
      <w:pPr>
        <w:jc w:val="left"/>
        <w:rPr>
          <w:rFonts w:ascii="仿宋_GB2312" w:hAnsi="仿宋_GB2312" w:eastAsia="仿宋_GB2312" w:cs="仿宋_GB2312"/>
          <w:color w:val="auto"/>
          <w:sz w:val="24"/>
          <w:highlight w:val="none"/>
        </w:rPr>
      </w:pPr>
    </w:p>
    <w:p>
      <w:pPr>
        <w:numPr>
          <w:ilvl w:val="0"/>
          <w:numId w:val="6"/>
        </w:numPr>
        <w:jc w:val="center"/>
        <w:rPr>
          <w:color w:val="auto"/>
          <w:sz w:val="32"/>
          <w:szCs w:val="32"/>
          <w:highlight w:val="none"/>
        </w:rPr>
      </w:pPr>
      <w:r>
        <w:rPr>
          <w:rFonts w:hint="eastAsia"/>
          <w:color w:val="auto"/>
          <w:sz w:val="32"/>
          <w:szCs w:val="32"/>
          <w:highlight w:val="none"/>
        </w:rPr>
        <w:t>材料规范(通用要求)</w:t>
      </w:r>
    </w:p>
    <w:p>
      <w:pPr>
        <w:rPr>
          <w:color w:val="auto"/>
          <w:sz w:val="32"/>
          <w:szCs w:val="32"/>
          <w:highlight w:val="none"/>
        </w:rPr>
      </w:pPr>
    </w:p>
    <w:p>
      <w:pPr>
        <w:spacing w:line="360" w:lineRule="auto"/>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1、本项目所采用的标识制造及安装材料包括但不限于钢材、铝板、亚克力、玻璃等，标识施工方必须按照工艺图纸的要求准备相关材料必须提交全部的产品资料及说明文件，包括产品合格证;</w:t>
      </w:r>
    </w:p>
    <w:p>
      <w:pPr>
        <w:spacing w:line="360" w:lineRule="auto"/>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2、检验报告、说明书、数据、产品性能和使用产品的安装指南等;所有的材料加工工艺必须符合相关规范。例如钢材的防腐除锈、玻璃钢化等工艺，必须保证使用材料的安全性及可靠性;</w:t>
      </w:r>
    </w:p>
    <w:p>
      <w:pPr>
        <w:spacing w:line="360" w:lineRule="auto"/>
        <w:ind w:firstLine="600" w:firstLineChars="200"/>
        <w:jc w:val="left"/>
        <w:rPr>
          <w:rFonts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3、所有材料必须具有足够的强度，能承受一定程度的风压、 碰撞及冲击;所有设备材料均应符合中国国家的有关环保标准，标识施工方应提交相关的环保检验报告。</w:t>
      </w:r>
    </w:p>
    <w:p>
      <w:pPr>
        <w:jc w:val="left"/>
        <w:rPr>
          <w:color w:val="auto"/>
          <w:highlight w:val="none"/>
        </w:rPr>
      </w:pPr>
    </w:p>
    <w:p>
      <w:pPr>
        <w:jc w:val="left"/>
        <w:rPr>
          <w:color w:val="auto"/>
          <w:highlight w:val="none"/>
        </w:rPr>
      </w:pPr>
    </w:p>
    <w:p>
      <w:pPr>
        <w:jc w:val="left"/>
        <w:rPr>
          <w:rFonts w:ascii="仿宋_GB2312" w:hAnsi="仿宋_GB2312" w:eastAsia="仿宋_GB2312" w:cs="仿宋_GB2312"/>
          <w:color w:val="auto"/>
          <w:sz w:val="24"/>
          <w:highlight w:val="none"/>
        </w:rPr>
      </w:pPr>
    </w:p>
    <w:p>
      <w:pPr>
        <w:numPr>
          <w:ilvl w:val="0"/>
          <w:numId w:val="6"/>
        </w:numPr>
        <w:jc w:val="center"/>
        <w:rPr>
          <w:color w:val="auto"/>
          <w:sz w:val="32"/>
          <w:szCs w:val="32"/>
          <w:highlight w:val="none"/>
        </w:rPr>
      </w:pPr>
      <w:r>
        <w:rPr>
          <w:rFonts w:hint="eastAsia"/>
          <w:color w:val="auto"/>
          <w:sz w:val="32"/>
          <w:szCs w:val="32"/>
          <w:highlight w:val="none"/>
        </w:rPr>
        <w:t>技术规范</w:t>
      </w:r>
    </w:p>
    <w:p>
      <w:pPr>
        <w:rPr>
          <w:color w:val="auto"/>
          <w:sz w:val="32"/>
          <w:szCs w:val="32"/>
          <w:highlight w:val="none"/>
        </w:rPr>
      </w:pPr>
    </w:p>
    <w:p>
      <w:pPr>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1、金属结构：</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1)根据工艺设计及相关规范进行制造，弯曲处不允许裂缝或压弯式印迹。从后面切割模板外角，以降低外露半径;</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2)结构切割边缘必须打磨并抛光光滑，不容许工具痕迹;</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3)结构焊接应有足够的强度和耐久性，结点应紧凑、齐平、光滑而整洁。所有外露表面应经过打磨，而且饰面齐平，无焊接痕迹。饰面焊接应与原物料处理饰面一致。任何对镀锌造成的损坏都必须修补;</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4)应提供准确地切割标志、字体和数字，角落切割准确，角度完全对齐，从实心板和钢筋材料喷水切割字体和标志，厚度如图所示四方切割，光滑边缘。修饰所有株连并与表面一致;</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5)公差:牌体尺寸公差:尺寸≤500毫米为土1毫米，尺寸&gt;500毫米为 +2毫米水平、垂直公差允许土1度平整度公差:≤2.6毫米。</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6)必须在完成的金属结构内进行完全的除锈及防锈喷涂处理。</w:t>
      </w:r>
    </w:p>
    <w:p>
      <w:pPr>
        <w:jc w:val="left"/>
        <w:rPr>
          <w:rFonts w:ascii="仿宋_GB2312" w:hAnsi="仿宋_GB2312" w:eastAsia="仿宋_GB2312" w:cs="仿宋_GB2312"/>
          <w:color w:val="auto"/>
          <w:sz w:val="28"/>
          <w:szCs w:val="28"/>
          <w:highlight w:val="none"/>
        </w:rPr>
      </w:pPr>
    </w:p>
    <w:p>
      <w:pPr>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2、面板加工：</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1)必须提供准确干净的机械加工，保证面板的精确及平整;根据精确开关进行折弯加工，无凹痕，有笔直的角和边缘。锯割或机切割，成笔直的平面和转角;</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2)整个折弯过程中，保证工件没有扭曲折断和其它使外露表面变形的损坏;</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3)雕刻及镂空部分的内沿必须打磨抛光，去除毛刺瑕疵;在粘贴字芯时，如“固“的“古”字，必须按照设计文件将其上下左右对齐粘正，不允许错位和用其他材料代替制作字芯;</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4)保证面板安装部件的隐蔽与牢固;所有面板及配件必须在工厂装配，井在施工现场进行组装;</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5)户外标识必须保证防水性能。</w:t>
      </w:r>
    </w:p>
    <w:p>
      <w:pPr>
        <w:jc w:val="left"/>
        <w:rPr>
          <w:rFonts w:ascii="仿宋_GB2312" w:hAnsi="仿宋_GB2312" w:eastAsia="仿宋_GB2312" w:cs="仿宋_GB2312"/>
          <w:color w:val="auto"/>
          <w:sz w:val="28"/>
          <w:szCs w:val="28"/>
          <w:highlight w:val="none"/>
        </w:rPr>
      </w:pPr>
    </w:p>
    <w:p>
      <w:pPr>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3、亚克力部件及面板的加工：</w:t>
      </w:r>
    </w:p>
    <w:p>
      <w:pPr>
        <w:spacing w:line="360" w:lineRule="auto"/>
        <w:ind w:firstLine="480" w:firstLineChars="200"/>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除特殊要求外，亚克力加工一律采用激光切割方式，以保证边缘光滑，否则必须抛光边角;必须采用厂商推荐的粘接剂进行粘接，保证牢固。 尤其较小的文字及图形必须保证牢固粘接。</w:t>
      </w:r>
    </w:p>
    <w:p>
      <w:pPr>
        <w:jc w:val="left"/>
        <w:rPr>
          <w:rFonts w:ascii="仿宋_GB2312" w:hAnsi="仿宋_GB2312" w:eastAsia="仿宋_GB2312" w:cs="仿宋_GB2312"/>
          <w:color w:val="auto"/>
          <w:sz w:val="28"/>
          <w:szCs w:val="28"/>
          <w:highlight w:val="none"/>
        </w:rPr>
      </w:pPr>
    </w:p>
    <w:p>
      <w:pPr>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4、丝网印刷：</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1)以被甲方、设计确认的电子文件进行制版，保证色彩准确， 误差允差士2%;</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2)油墨的选用需根据使用条件(户外、室内、使用年限)等因素确定;</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3)丝印成品要求图文字体边缘清晰，无毛边，画面整体无瑕疵，保证字体和图形器具边缘和角落准确而整齐。不允许凸凹圆角，边缘增厚，漏油墨等其它缺陷;</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4)必须保证在玻璃、金属等光滑表面上的印刷强度，保证在正常清洗维护条件下的使用寿命</w:t>
      </w:r>
      <w:r>
        <w:rPr>
          <w:rFonts w:hint="eastAsia" w:ascii="仿宋_GB2312" w:hAnsi="仿宋_GB2312" w:eastAsia="仿宋_GB2312" w:cs="仿宋_GB2312"/>
          <w:color w:val="auto"/>
          <w:sz w:val="24"/>
          <w:highlight w:val="none"/>
        </w:rPr>
        <w:t>。</w:t>
      </w:r>
    </w:p>
    <w:p>
      <w:pPr>
        <w:jc w:val="left"/>
        <w:rPr>
          <w:rFonts w:ascii="仿宋_GB2312" w:hAnsi="仿宋_GB2312" w:eastAsia="仿宋_GB2312" w:cs="仿宋_GB2312"/>
          <w:color w:val="auto"/>
          <w:sz w:val="28"/>
          <w:szCs w:val="28"/>
          <w:highlight w:val="none"/>
        </w:rPr>
      </w:pPr>
    </w:p>
    <w:p>
      <w:pPr>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w:t>
      </w:r>
      <w:r>
        <w:rPr>
          <w:rFonts w:ascii="仿宋_GB2312" w:hAnsi="仿宋_GB2312" w:eastAsia="仿宋_GB2312" w:cs="仿宋_GB2312"/>
          <w:color w:val="auto"/>
          <w:sz w:val="28"/>
          <w:szCs w:val="28"/>
          <w:highlight w:val="none"/>
        </w:rPr>
        <w:t>饰面</w:t>
      </w:r>
      <w:r>
        <w:rPr>
          <w:rFonts w:hint="eastAsia" w:ascii="仿宋_GB2312" w:hAnsi="仿宋_GB2312" w:eastAsia="仿宋_GB2312" w:cs="仿宋_GB2312"/>
          <w:color w:val="auto"/>
          <w:sz w:val="28"/>
          <w:szCs w:val="28"/>
          <w:highlight w:val="none"/>
        </w:rPr>
        <w:t>：</w:t>
      </w:r>
    </w:p>
    <w:p>
      <w:pPr>
        <w:adjustRightInd w:val="0"/>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根据工艺设计要求采用标准流程的烤漆和氟碳喷涂，保证所有喷涂表面颜色均匀，漆膜厚度一致、无流挂、无褶皱;除特别说明外，饰面油漆表面为半哑光</w:t>
      </w:r>
      <w:r>
        <w:rPr>
          <w:rFonts w:hint="eastAsia" w:ascii="仿宋_GB2312" w:hAnsi="仿宋_GB2312" w:eastAsia="仿宋_GB2312" w:cs="仿宋_GB2312"/>
          <w:color w:val="auto"/>
          <w:sz w:val="24"/>
          <w:highlight w:val="none"/>
        </w:rPr>
        <w:t>。</w:t>
      </w:r>
    </w:p>
    <w:p>
      <w:pPr>
        <w:jc w:val="left"/>
        <w:rPr>
          <w:rFonts w:ascii="仿宋_GB2312" w:hAnsi="仿宋_GB2312" w:eastAsia="仿宋_GB2312" w:cs="仿宋_GB2312"/>
          <w:color w:val="auto"/>
          <w:sz w:val="28"/>
          <w:szCs w:val="28"/>
          <w:highlight w:val="none"/>
        </w:rPr>
      </w:pPr>
    </w:p>
    <w:p>
      <w:pPr>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6、</w:t>
      </w:r>
      <w:r>
        <w:rPr>
          <w:rFonts w:ascii="仿宋_GB2312" w:hAnsi="仿宋_GB2312" w:eastAsia="仿宋_GB2312" w:cs="仿宋_GB2312"/>
          <w:color w:val="auto"/>
          <w:sz w:val="28"/>
          <w:szCs w:val="28"/>
          <w:highlight w:val="none"/>
        </w:rPr>
        <w:t>发光</w:t>
      </w:r>
      <w:r>
        <w:rPr>
          <w:rFonts w:hint="eastAsia" w:ascii="仿宋_GB2312" w:hAnsi="仿宋_GB2312" w:eastAsia="仿宋_GB2312" w:cs="仿宋_GB2312"/>
          <w:color w:val="auto"/>
          <w:sz w:val="28"/>
          <w:szCs w:val="28"/>
          <w:highlight w:val="none"/>
        </w:rPr>
        <w:t>：</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1)必须保证标识的发光效果，除特殊要求为，以设计方案效果图为发光效果的验收标识，标识施工方以效果图为标准进行工艺深化设计;</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2)发光标识内部布线内部走线要横平竖直、美观，不得随意布线;</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3)必须保证面板与标识牌体接缝处不漏光，棉布平整，安装牢固，内支撑件不会在发光表面产生阴影。</w:t>
      </w:r>
    </w:p>
    <w:p>
      <w:pPr>
        <w:jc w:val="left"/>
        <w:rPr>
          <w:rFonts w:ascii="仿宋_GB2312" w:hAnsi="仿宋_GB2312" w:eastAsia="仿宋_GB2312" w:cs="仿宋_GB2312"/>
          <w:color w:val="auto"/>
          <w:sz w:val="28"/>
          <w:szCs w:val="28"/>
          <w:highlight w:val="none"/>
        </w:rPr>
      </w:pPr>
    </w:p>
    <w:p>
      <w:pPr>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7、</w:t>
      </w:r>
      <w:r>
        <w:rPr>
          <w:rFonts w:ascii="仿宋_GB2312" w:hAnsi="仿宋_GB2312" w:eastAsia="仿宋_GB2312" w:cs="仿宋_GB2312"/>
          <w:color w:val="auto"/>
          <w:sz w:val="28"/>
          <w:szCs w:val="28"/>
          <w:highlight w:val="none"/>
        </w:rPr>
        <w:t>电气部分</w:t>
      </w:r>
      <w:r>
        <w:rPr>
          <w:rFonts w:hint="eastAsia" w:ascii="仿宋_GB2312" w:hAnsi="仿宋_GB2312" w:eastAsia="仿宋_GB2312" w:cs="仿宋_GB2312"/>
          <w:color w:val="auto"/>
          <w:sz w:val="28"/>
          <w:szCs w:val="28"/>
          <w:highlight w:val="none"/>
        </w:rPr>
        <w:t>：</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1</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所有标识所选用的光源、电线及电气部件须符合安全要求;应能达到防水、阻燃要求等，电线必须有护套线保护及绝缘层</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2</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标识牌配电箱与照明配电箱合用;供电采用交流220V,用电设备講子处电压偏差土5%，距离过远时不能偏离士5%至10%。配电采用TN-S系统，接地与系统中的PE线连接，所有设备的金属外壳及金属结构件等均应可靠接地。</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3</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每个标识设置单独的接线系统和旁置接线盒。接线导管从接线盒中伸出到标识处停止，注:接线盒等应全隐装。</w:t>
      </w:r>
    </w:p>
    <w:p>
      <w:pPr>
        <w:spacing w:line="360" w:lineRule="auto"/>
        <w:ind w:firstLine="480" w:firstLineChars="200"/>
        <w:jc w:val="left"/>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4</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所有立地式用电标识必须做接地线保护。吊装、侧装标识必须安装漏电保护器等，保证标识外壳不带电;确保标识正常安全使用。</w:t>
      </w:r>
    </w:p>
    <w:p>
      <w:pPr>
        <w:pStyle w:val="6"/>
        <w:rPr>
          <w:rFonts w:ascii="仿宋_GB2312" w:hAnsi="仿宋_GB2312" w:eastAsia="仿宋_GB2312" w:cs="仿宋_GB2312"/>
          <w:color w:val="auto"/>
          <w:sz w:val="24"/>
          <w:highlight w:val="none"/>
        </w:rPr>
      </w:pPr>
      <w:r>
        <w:rPr>
          <w:rFonts w:ascii="仿宋_GB2312" w:hAnsi="仿宋_GB2312" w:eastAsia="仿宋_GB2312" w:cs="仿宋_GB2312"/>
          <w:color w:val="auto"/>
          <w:sz w:val="24"/>
          <w:highlight w:val="none"/>
        </w:rPr>
        <w:t>5</w:t>
      </w:r>
      <w:r>
        <w:rPr>
          <w:rFonts w:hint="eastAsia" w:ascii="仿宋_GB2312" w:hAnsi="仿宋_GB2312" w:eastAsia="仿宋_GB2312" w:cs="仿宋_GB2312"/>
          <w:color w:val="auto"/>
          <w:sz w:val="24"/>
          <w:highlight w:val="none"/>
        </w:rPr>
        <w:t>）</w:t>
      </w:r>
      <w:r>
        <w:rPr>
          <w:rFonts w:ascii="仿宋_GB2312" w:hAnsi="仿宋_GB2312" w:eastAsia="仿宋_GB2312" w:cs="仿宋_GB2312"/>
          <w:color w:val="auto"/>
          <w:sz w:val="24"/>
          <w:highlight w:val="none"/>
        </w:rPr>
        <w:t>所有用电标识均须在标识内部设立单独的电源开关，避免维修时带电做业。</w:t>
      </w:r>
    </w:p>
    <w:p>
      <w:pPr>
        <w:pStyle w:val="6"/>
        <w:rPr>
          <w:rFonts w:ascii="仿宋_GB2312" w:hAnsi="仿宋_GB2312" w:eastAsia="仿宋_GB2312" w:cs="仿宋_GB2312"/>
          <w:color w:val="auto"/>
          <w:sz w:val="24"/>
          <w:highlight w:val="none"/>
        </w:rPr>
        <w:sectPr>
          <w:pgSz w:w="11906" w:h="16838"/>
          <w:pgMar w:top="1440" w:right="1800" w:bottom="1440" w:left="1800" w:header="851" w:footer="992" w:gutter="0"/>
          <w:cols w:space="425" w:num="1"/>
          <w:docGrid w:type="lines" w:linePitch="312" w:charSpace="0"/>
        </w:sectPr>
      </w:pPr>
    </w:p>
    <w:p>
      <w:pPr>
        <w:pStyle w:val="3"/>
        <w:numPr>
          <w:ilvl w:val="0"/>
          <w:numId w:val="0"/>
        </w:numPr>
        <w:jc w:val="both"/>
        <w:rPr>
          <w:rFonts w:hint="default" w:ascii="宋体" w:hAnsi="宋体" w:eastAsia="宋体" w:cs="宋体"/>
          <w:color w:val="auto"/>
          <w:szCs w:val="32"/>
          <w:highlight w:val="none"/>
          <w:lang w:val="en-US" w:eastAsia="zh-CN"/>
        </w:rPr>
      </w:pPr>
      <w:r>
        <w:rPr>
          <w:rFonts w:hint="eastAsia" w:ascii="宋体" w:hAnsi="宋体" w:eastAsia="宋体" w:cs="宋体"/>
          <w:color w:val="auto"/>
          <w:szCs w:val="32"/>
          <w:highlight w:val="none"/>
          <w:lang w:val="en-US" w:eastAsia="zh-CN"/>
        </w:rPr>
        <w:t>附件七：合同条件</w:t>
      </w:r>
    </w:p>
    <w:p>
      <w:pPr>
        <w:keepNext/>
        <w:keepLines/>
        <w:spacing w:line="360" w:lineRule="auto"/>
        <w:jc w:val="center"/>
        <w:outlineLvl w:val="0"/>
        <w:rPr>
          <w:rFonts w:hint="eastAsia" w:ascii="宋体" w:hAnsi="宋体" w:cs="宋体"/>
          <w:b/>
          <w:bCs/>
          <w:color w:val="auto"/>
          <w:kern w:val="44"/>
          <w:sz w:val="32"/>
          <w:szCs w:val="32"/>
          <w:highlight w:val="none"/>
        </w:rPr>
      </w:pPr>
      <w:bookmarkStart w:id="18" w:name="_Toc517531934"/>
      <w:bookmarkStart w:id="19" w:name="_Toc517530658"/>
      <w:bookmarkStart w:id="20" w:name="_Toc517529696"/>
      <w:bookmarkStart w:id="21" w:name="_Toc517528603"/>
      <w:r>
        <w:rPr>
          <w:rFonts w:hint="eastAsia" w:ascii="宋体" w:hAnsi="宋体" w:cs="宋体"/>
          <w:b/>
          <w:bCs/>
          <w:color w:val="auto"/>
          <w:kern w:val="44"/>
          <w:sz w:val="32"/>
          <w:szCs w:val="32"/>
          <w:highlight w:val="none"/>
        </w:rPr>
        <w:t>合同协议书</w:t>
      </w:r>
      <w:bookmarkEnd w:id="18"/>
      <w:bookmarkEnd w:id="19"/>
      <w:bookmarkEnd w:id="20"/>
      <w:bookmarkEnd w:id="21"/>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rPr>
        <w:t>发包人（全称）：</w:t>
      </w:r>
      <w:r>
        <w:rPr>
          <w:rFonts w:hint="eastAsia" w:ascii="宋体" w:hAnsi="宋体"/>
          <w:color w:val="auto"/>
          <w:szCs w:val="21"/>
          <w:highlight w:val="none"/>
          <w:u w:val="single"/>
        </w:rPr>
        <w:t xml:space="preserve">                                           </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rPr>
        <w:t>承包人（全称）：</w:t>
      </w:r>
      <w:r>
        <w:rPr>
          <w:rFonts w:hint="eastAsia" w:ascii="宋体" w:hAnsi="宋体"/>
          <w:color w:val="auto"/>
          <w:szCs w:val="21"/>
          <w:highlight w:val="none"/>
          <w:u w:val="single"/>
        </w:rPr>
        <w:t xml:space="preserve">                                           </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项目经理姓名：</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资格等级：</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证书号码：</w:t>
      </w:r>
      <w:r>
        <w:rPr>
          <w:rFonts w:hint="eastAsia" w:ascii="宋体" w:hAnsi="宋体"/>
          <w:color w:val="auto"/>
          <w:szCs w:val="21"/>
          <w:highlight w:val="none"/>
          <w:u w:val="single"/>
        </w:rPr>
        <w:t xml:space="preserve">           </w:t>
      </w:r>
    </w:p>
    <w:p>
      <w:pPr>
        <w:spacing w:line="360" w:lineRule="auto"/>
        <w:ind w:firstLine="480"/>
        <w:rPr>
          <w:rFonts w:hint="eastAsia" w:ascii="宋体" w:hAnsi="宋体"/>
          <w:color w:val="auto"/>
          <w:szCs w:val="21"/>
          <w:highlight w:val="none"/>
        </w:rPr>
      </w:pP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本工程于</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r>
        <w:rPr>
          <w:rFonts w:hint="eastAsia" w:ascii="宋体" w:hAnsi="宋体"/>
          <w:color w:val="auto"/>
          <w:szCs w:val="21"/>
          <w:highlight w:val="none"/>
          <w:lang w:val="en-US" w:eastAsia="zh-CN"/>
        </w:rPr>
        <w:t>简易</w:t>
      </w:r>
      <w:r>
        <w:rPr>
          <w:rFonts w:hint="eastAsia" w:ascii="宋体" w:hAnsi="宋体"/>
          <w:color w:val="auto"/>
          <w:szCs w:val="21"/>
          <w:highlight w:val="none"/>
        </w:rPr>
        <w:t>招标，确定由承包人承建。</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依照《中华人民共和国</w:t>
      </w:r>
      <w:r>
        <w:rPr>
          <w:rFonts w:hint="eastAsia" w:ascii="宋体" w:hAnsi="宋体"/>
          <w:color w:val="auto"/>
          <w:szCs w:val="21"/>
          <w:highlight w:val="none"/>
          <w:lang w:eastAsia="zh-CN"/>
        </w:rPr>
        <w:t>民法典</w:t>
      </w:r>
      <w:r>
        <w:rPr>
          <w:rFonts w:hint="eastAsia" w:ascii="宋体" w:hAnsi="宋体"/>
          <w:color w:val="auto"/>
          <w:szCs w:val="21"/>
          <w:highlight w:val="none"/>
        </w:rPr>
        <w:t>》《中华人民共和国建筑法》及其他有关法律、法规、规章，并结合深圳市有关规定及本工程的招标文件要求，遵循平等、自愿、公平和诚实信用的原则，双方就本工程建设施工事项协调一致，订立本协议。</w:t>
      </w:r>
    </w:p>
    <w:p>
      <w:pPr>
        <w:spacing w:line="360" w:lineRule="auto"/>
        <w:ind w:firstLine="480"/>
        <w:rPr>
          <w:rFonts w:hint="eastAsia" w:ascii="宋体" w:hAnsi="宋体"/>
          <w:color w:val="auto"/>
          <w:szCs w:val="21"/>
          <w:highlight w:val="none"/>
        </w:rPr>
      </w:pPr>
    </w:p>
    <w:p>
      <w:pPr>
        <w:spacing w:before="156" w:beforeLines="50" w:after="156" w:afterLines="50" w:line="360" w:lineRule="auto"/>
        <w:ind w:left="482"/>
        <w:outlineLvl w:val="1"/>
        <w:rPr>
          <w:rFonts w:hint="eastAsia" w:ascii="宋体" w:hAnsi="宋体"/>
          <w:b/>
          <w:color w:val="auto"/>
          <w:sz w:val="30"/>
          <w:szCs w:val="30"/>
          <w:highlight w:val="none"/>
        </w:rPr>
      </w:pPr>
      <w:bookmarkStart w:id="22" w:name="_Toc517531935"/>
      <w:bookmarkStart w:id="23" w:name="_Toc20871"/>
      <w:bookmarkStart w:id="24" w:name="_Toc19203"/>
      <w:bookmarkStart w:id="25" w:name="_Toc517529697"/>
      <w:bookmarkStart w:id="26" w:name="_Toc5287"/>
      <w:bookmarkStart w:id="27" w:name="_Toc5806"/>
      <w:bookmarkStart w:id="28" w:name="_Toc29182"/>
      <w:bookmarkStart w:id="29" w:name="_Toc22125"/>
      <w:bookmarkStart w:id="30" w:name="_Toc28011"/>
      <w:bookmarkStart w:id="31" w:name="_Toc14329"/>
      <w:bookmarkStart w:id="32" w:name="_Toc517528604"/>
      <w:bookmarkStart w:id="33" w:name="_Toc517530659"/>
      <w:bookmarkStart w:id="34" w:name="_Toc30864"/>
      <w:r>
        <w:rPr>
          <w:rFonts w:hint="eastAsia" w:ascii="宋体" w:hAnsi="宋体"/>
          <w:b/>
          <w:color w:val="auto"/>
          <w:sz w:val="30"/>
          <w:szCs w:val="30"/>
          <w:highlight w:val="none"/>
        </w:rPr>
        <w:t>一、工程概况</w:t>
      </w:r>
      <w:bookmarkEnd w:id="22"/>
      <w:bookmarkEnd w:id="23"/>
      <w:bookmarkEnd w:id="24"/>
      <w:bookmarkEnd w:id="25"/>
      <w:bookmarkEnd w:id="26"/>
      <w:bookmarkEnd w:id="27"/>
      <w:bookmarkEnd w:id="28"/>
      <w:bookmarkEnd w:id="29"/>
      <w:bookmarkEnd w:id="30"/>
      <w:bookmarkEnd w:id="31"/>
      <w:bookmarkEnd w:id="32"/>
      <w:bookmarkEnd w:id="33"/>
      <w:bookmarkEnd w:id="34"/>
    </w:p>
    <w:p>
      <w:pPr>
        <w:spacing w:line="360" w:lineRule="auto"/>
        <w:ind w:left="480"/>
        <w:rPr>
          <w:rFonts w:hint="eastAsia" w:ascii="宋体" w:hAnsi="宋体"/>
          <w:color w:val="auto"/>
          <w:szCs w:val="21"/>
          <w:highlight w:val="none"/>
          <w:u w:val="single"/>
        </w:rPr>
      </w:pPr>
      <w:r>
        <w:rPr>
          <w:rFonts w:hint="eastAsia" w:ascii="宋体" w:hAnsi="宋体"/>
          <w:color w:val="auto"/>
          <w:szCs w:val="21"/>
          <w:highlight w:val="none"/>
        </w:rPr>
        <w:t>工程名称：</w:t>
      </w:r>
      <w:r>
        <w:rPr>
          <w:rFonts w:hint="eastAsia" w:ascii="宋体" w:hAnsi="宋体"/>
          <w:color w:val="auto"/>
          <w:szCs w:val="21"/>
          <w:highlight w:val="none"/>
          <w:u w:val="single"/>
        </w:rPr>
        <w:t xml:space="preserve">                                                  </w:t>
      </w:r>
    </w:p>
    <w:p>
      <w:pPr>
        <w:spacing w:line="360" w:lineRule="auto"/>
        <w:ind w:left="480"/>
        <w:rPr>
          <w:rFonts w:hint="eastAsia" w:ascii="宋体" w:hAnsi="宋体"/>
          <w:color w:val="auto"/>
          <w:szCs w:val="21"/>
          <w:highlight w:val="none"/>
        </w:rPr>
      </w:pPr>
      <w:r>
        <w:rPr>
          <w:rFonts w:hint="eastAsia" w:ascii="宋体" w:hAnsi="宋体"/>
          <w:color w:val="auto"/>
          <w:szCs w:val="21"/>
          <w:highlight w:val="none"/>
        </w:rPr>
        <w:t>工程地点：</w:t>
      </w:r>
      <w:r>
        <w:rPr>
          <w:rFonts w:hint="eastAsia" w:ascii="宋体" w:hAnsi="宋体"/>
          <w:color w:val="auto"/>
          <w:szCs w:val="21"/>
          <w:highlight w:val="none"/>
          <w:u w:val="single"/>
        </w:rPr>
        <w:t xml:space="preserve">                                                  </w:t>
      </w:r>
    </w:p>
    <w:p>
      <w:pPr>
        <w:spacing w:line="360" w:lineRule="auto"/>
        <w:ind w:left="480"/>
        <w:rPr>
          <w:rFonts w:hint="eastAsia" w:ascii="宋体" w:hAnsi="宋体"/>
          <w:color w:val="auto"/>
          <w:szCs w:val="21"/>
          <w:highlight w:val="none"/>
        </w:rPr>
      </w:pPr>
      <w:r>
        <w:rPr>
          <w:rFonts w:hint="eastAsia" w:ascii="宋体" w:hAnsi="宋体"/>
          <w:color w:val="auto"/>
          <w:szCs w:val="21"/>
          <w:highlight w:val="none"/>
        </w:rPr>
        <w:t>工程内容：</w:t>
      </w:r>
      <w:r>
        <w:rPr>
          <w:rFonts w:hint="eastAsia" w:ascii="宋体" w:hAnsi="宋体"/>
          <w:color w:val="auto"/>
          <w:szCs w:val="21"/>
          <w:highlight w:val="none"/>
          <w:u w:val="single"/>
        </w:rPr>
        <w:t xml:space="preserve">                                                  </w:t>
      </w:r>
    </w:p>
    <w:p>
      <w:pPr>
        <w:spacing w:line="360" w:lineRule="auto"/>
        <w:ind w:left="480"/>
        <w:rPr>
          <w:rFonts w:hint="eastAsia" w:ascii="宋体" w:hAnsi="宋体"/>
          <w:color w:val="auto"/>
          <w:szCs w:val="21"/>
          <w:highlight w:val="none"/>
        </w:rPr>
      </w:pPr>
      <w:r>
        <w:rPr>
          <w:rFonts w:hint="eastAsia" w:ascii="宋体" w:hAnsi="宋体"/>
          <w:color w:val="auto"/>
          <w:szCs w:val="21"/>
          <w:highlight w:val="none"/>
        </w:rPr>
        <w:t>结构形式：</w:t>
      </w:r>
      <w:r>
        <w:rPr>
          <w:rFonts w:hint="eastAsia" w:ascii="宋体" w:hAnsi="宋体"/>
          <w:color w:val="auto"/>
          <w:szCs w:val="21"/>
          <w:highlight w:val="none"/>
          <w:u w:val="single"/>
        </w:rPr>
        <w:t xml:space="preserve">                                                  </w:t>
      </w:r>
    </w:p>
    <w:p>
      <w:pPr>
        <w:spacing w:line="360" w:lineRule="auto"/>
        <w:ind w:left="480"/>
        <w:rPr>
          <w:rFonts w:hint="eastAsia" w:ascii="宋体" w:hAnsi="宋体"/>
          <w:color w:val="auto"/>
          <w:szCs w:val="21"/>
          <w:highlight w:val="none"/>
        </w:rPr>
      </w:pPr>
      <w:r>
        <w:rPr>
          <w:rFonts w:hint="eastAsia" w:ascii="宋体" w:hAnsi="宋体"/>
          <w:color w:val="auto"/>
          <w:szCs w:val="21"/>
          <w:highlight w:val="none"/>
        </w:rPr>
        <w:t>层／幢：</w:t>
      </w:r>
      <w:r>
        <w:rPr>
          <w:rFonts w:hint="eastAsia" w:ascii="宋体" w:hAnsi="宋体"/>
          <w:color w:val="auto"/>
          <w:szCs w:val="21"/>
          <w:highlight w:val="none"/>
          <w:u w:val="single"/>
        </w:rPr>
        <w:t xml:space="preserve">                                                    </w:t>
      </w:r>
    </w:p>
    <w:p>
      <w:pPr>
        <w:spacing w:line="360" w:lineRule="auto"/>
        <w:ind w:left="480"/>
        <w:rPr>
          <w:rFonts w:hint="eastAsia" w:ascii="宋体" w:hAnsi="宋体"/>
          <w:color w:val="auto"/>
          <w:szCs w:val="21"/>
          <w:highlight w:val="none"/>
        </w:rPr>
      </w:pPr>
      <w:r>
        <w:rPr>
          <w:rFonts w:hint="eastAsia" w:ascii="宋体" w:hAnsi="宋体"/>
          <w:color w:val="auto"/>
          <w:szCs w:val="21"/>
          <w:highlight w:val="none"/>
        </w:rPr>
        <w:t>建筑面积：</w:t>
      </w:r>
      <w:r>
        <w:rPr>
          <w:rFonts w:hint="eastAsia" w:ascii="宋体" w:hAnsi="宋体"/>
          <w:color w:val="auto"/>
          <w:szCs w:val="21"/>
          <w:highlight w:val="none"/>
          <w:u w:val="single"/>
        </w:rPr>
        <w:t xml:space="preserve">              </w:t>
      </w:r>
      <w:r>
        <w:rPr>
          <w:rFonts w:hint="eastAsia" w:ascii="宋体" w:hAnsi="宋体"/>
          <w:color w:val="auto"/>
          <w:szCs w:val="21"/>
          <w:highlight w:val="none"/>
        </w:rPr>
        <w:t>平方米；</w:t>
      </w:r>
    </w:p>
    <w:p>
      <w:pPr>
        <w:spacing w:line="360" w:lineRule="auto"/>
        <w:ind w:left="480"/>
        <w:rPr>
          <w:rFonts w:hint="eastAsia" w:ascii="宋体" w:hAnsi="宋体"/>
          <w:color w:val="auto"/>
          <w:szCs w:val="21"/>
          <w:highlight w:val="none"/>
          <w:u w:val="single"/>
        </w:rPr>
      </w:pPr>
      <w:r>
        <w:rPr>
          <w:rFonts w:hint="eastAsia" w:ascii="宋体" w:hAnsi="宋体"/>
          <w:color w:val="auto"/>
          <w:szCs w:val="21"/>
          <w:highlight w:val="none"/>
        </w:rPr>
        <w:t>工程立项批准文号：</w:t>
      </w:r>
      <w:r>
        <w:rPr>
          <w:rFonts w:hint="eastAsia" w:ascii="宋体" w:hAnsi="宋体"/>
          <w:color w:val="auto"/>
          <w:szCs w:val="21"/>
          <w:highlight w:val="none"/>
          <w:u w:val="single"/>
        </w:rPr>
        <w:t xml:space="preserve">                                          </w:t>
      </w:r>
    </w:p>
    <w:p>
      <w:pPr>
        <w:spacing w:line="360" w:lineRule="auto"/>
        <w:ind w:left="480"/>
        <w:rPr>
          <w:rFonts w:hint="eastAsia" w:ascii="宋体" w:hAnsi="宋体"/>
          <w:color w:val="auto"/>
          <w:szCs w:val="21"/>
          <w:highlight w:val="none"/>
          <w:u w:val="single"/>
        </w:rPr>
      </w:pPr>
      <w:r>
        <w:rPr>
          <w:rFonts w:hint="eastAsia" w:ascii="宋体" w:hAnsi="宋体"/>
          <w:color w:val="auto"/>
          <w:szCs w:val="21"/>
          <w:highlight w:val="none"/>
        </w:rPr>
        <w:t>资金来源：</w:t>
      </w:r>
      <w:r>
        <w:rPr>
          <w:rFonts w:hint="eastAsia" w:ascii="宋体" w:hAnsi="宋体"/>
          <w:color w:val="auto"/>
          <w:szCs w:val="21"/>
          <w:highlight w:val="none"/>
          <w:u w:val="single"/>
        </w:rPr>
        <w:t xml:space="preserve">                                                  </w:t>
      </w:r>
    </w:p>
    <w:p>
      <w:pPr>
        <w:spacing w:before="156" w:beforeLines="50" w:after="156" w:afterLines="50" w:line="360" w:lineRule="auto"/>
        <w:ind w:left="482"/>
        <w:outlineLvl w:val="1"/>
        <w:rPr>
          <w:rFonts w:hint="eastAsia" w:ascii="宋体" w:hAnsi="宋体"/>
          <w:b/>
          <w:color w:val="auto"/>
          <w:sz w:val="30"/>
          <w:szCs w:val="30"/>
          <w:highlight w:val="none"/>
        </w:rPr>
      </w:pPr>
      <w:bookmarkStart w:id="35" w:name="_Toc547"/>
      <w:bookmarkStart w:id="36" w:name="_Toc26224"/>
      <w:bookmarkStart w:id="37" w:name="_Toc517528605"/>
      <w:bookmarkStart w:id="38" w:name="_Toc517529698"/>
      <w:bookmarkStart w:id="39" w:name="_Toc19564"/>
      <w:bookmarkStart w:id="40" w:name="_Toc4187"/>
      <w:bookmarkStart w:id="41" w:name="_Toc11255"/>
      <w:bookmarkStart w:id="42" w:name="_Toc28282"/>
      <w:bookmarkStart w:id="43" w:name="_Toc17056"/>
      <w:bookmarkStart w:id="44" w:name="_Toc517531936"/>
      <w:bookmarkStart w:id="45" w:name="_Toc2478"/>
      <w:bookmarkStart w:id="46" w:name="_Toc517530660"/>
      <w:bookmarkStart w:id="47" w:name="_Toc10630"/>
      <w:r>
        <w:rPr>
          <w:rFonts w:hint="eastAsia" w:ascii="宋体" w:hAnsi="宋体"/>
          <w:b/>
          <w:color w:val="auto"/>
          <w:sz w:val="30"/>
          <w:szCs w:val="30"/>
          <w:highlight w:val="none"/>
        </w:rPr>
        <w:t>二、工程承包范围</w:t>
      </w:r>
      <w:bookmarkEnd w:id="35"/>
      <w:bookmarkEnd w:id="36"/>
      <w:bookmarkEnd w:id="37"/>
      <w:bookmarkEnd w:id="38"/>
      <w:bookmarkEnd w:id="39"/>
      <w:bookmarkEnd w:id="40"/>
      <w:bookmarkEnd w:id="41"/>
      <w:bookmarkEnd w:id="42"/>
      <w:bookmarkEnd w:id="43"/>
      <w:bookmarkEnd w:id="44"/>
      <w:bookmarkEnd w:id="45"/>
      <w:bookmarkEnd w:id="46"/>
      <w:bookmarkEnd w:id="47"/>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u w:val="single"/>
        </w:rPr>
        <w:t xml:space="preserve">                                                                   </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u w:val="single"/>
        </w:rPr>
        <w:t xml:space="preserve">                                                                   </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u w:val="single"/>
        </w:rPr>
        <w:t xml:space="preserve">                                                                   </w:t>
      </w:r>
    </w:p>
    <w:p>
      <w:pPr>
        <w:spacing w:line="360" w:lineRule="auto"/>
        <w:ind w:firstLine="480"/>
        <w:rPr>
          <w:rFonts w:ascii="宋体" w:hAnsi="宋体"/>
          <w:color w:val="auto"/>
          <w:szCs w:val="21"/>
          <w:highlight w:val="none"/>
          <w:u w:val="single"/>
        </w:rPr>
      </w:pPr>
      <w:r>
        <w:rPr>
          <w:rFonts w:hint="eastAsia" w:ascii="宋体" w:hAnsi="宋体"/>
          <w:color w:val="auto"/>
          <w:szCs w:val="21"/>
          <w:highlight w:val="none"/>
          <w:u w:val="single"/>
        </w:rPr>
        <w:t xml:space="preserve">                                                                   </w:t>
      </w:r>
    </w:p>
    <w:p>
      <w:pPr>
        <w:spacing w:before="156" w:beforeLines="50" w:after="156" w:afterLines="50" w:line="360" w:lineRule="auto"/>
        <w:ind w:left="482"/>
        <w:outlineLvl w:val="1"/>
        <w:rPr>
          <w:rFonts w:hint="eastAsia" w:ascii="宋体" w:hAnsi="宋体"/>
          <w:b/>
          <w:color w:val="auto"/>
          <w:sz w:val="30"/>
          <w:szCs w:val="30"/>
          <w:highlight w:val="none"/>
        </w:rPr>
      </w:pPr>
      <w:bookmarkStart w:id="48" w:name="_Toc6192"/>
      <w:bookmarkStart w:id="49" w:name="_Toc517531937"/>
      <w:bookmarkStart w:id="50" w:name="_Toc517529699"/>
      <w:bookmarkStart w:id="51" w:name="_Toc24839"/>
      <w:bookmarkStart w:id="52" w:name="_Toc16034"/>
      <w:bookmarkStart w:id="53" w:name="_Toc19724"/>
      <w:bookmarkStart w:id="54" w:name="_Toc10411"/>
      <w:bookmarkStart w:id="55" w:name="_Toc517530661"/>
      <w:bookmarkStart w:id="56" w:name="_Toc13087"/>
      <w:bookmarkStart w:id="57" w:name="_Toc16455"/>
      <w:bookmarkStart w:id="58" w:name="_Toc9436"/>
      <w:bookmarkStart w:id="59" w:name="_Toc31250"/>
      <w:bookmarkStart w:id="60" w:name="_Toc517528606"/>
      <w:r>
        <w:rPr>
          <w:rFonts w:hint="eastAsia" w:ascii="宋体" w:hAnsi="宋体"/>
          <w:b/>
          <w:color w:val="auto"/>
          <w:sz w:val="30"/>
          <w:szCs w:val="30"/>
          <w:highlight w:val="none"/>
        </w:rPr>
        <w:t>三、合同工期</w:t>
      </w:r>
      <w:bookmarkEnd w:id="48"/>
      <w:bookmarkEnd w:id="49"/>
      <w:bookmarkEnd w:id="50"/>
      <w:bookmarkEnd w:id="51"/>
      <w:bookmarkEnd w:id="52"/>
      <w:bookmarkEnd w:id="53"/>
      <w:bookmarkEnd w:id="54"/>
      <w:bookmarkEnd w:id="55"/>
      <w:bookmarkEnd w:id="56"/>
      <w:bookmarkEnd w:id="57"/>
      <w:bookmarkEnd w:id="58"/>
      <w:bookmarkEnd w:id="59"/>
      <w:bookmarkEnd w:id="60"/>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开工日期：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日（以监理人签发的开工令日期为准）</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竣工日期：</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rPr>
        <w:t>合同工期总日历天数：</w:t>
      </w:r>
      <w:r>
        <w:rPr>
          <w:rFonts w:hint="eastAsia" w:ascii="宋体" w:hAnsi="宋体"/>
          <w:color w:val="auto"/>
          <w:szCs w:val="21"/>
          <w:highlight w:val="none"/>
          <w:u w:val="single"/>
        </w:rPr>
        <w:t xml:space="preserve">             </w:t>
      </w:r>
    </w:p>
    <w:p>
      <w:pPr>
        <w:spacing w:before="156" w:beforeLines="50" w:after="156" w:afterLines="50" w:line="360" w:lineRule="auto"/>
        <w:ind w:left="482"/>
        <w:outlineLvl w:val="1"/>
        <w:rPr>
          <w:rFonts w:hint="eastAsia" w:ascii="宋体" w:hAnsi="宋体"/>
          <w:b/>
          <w:color w:val="auto"/>
          <w:sz w:val="30"/>
          <w:szCs w:val="30"/>
          <w:highlight w:val="none"/>
        </w:rPr>
      </w:pPr>
      <w:bookmarkStart w:id="61" w:name="_Toc517528607"/>
      <w:bookmarkStart w:id="62" w:name="_Toc23937"/>
      <w:bookmarkStart w:id="63" w:name="_Toc9445"/>
      <w:bookmarkStart w:id="64" w:name="_Toc19167"/>
      <w:bookmarkStart w:id="65" w:name="_Toc517529700"/>
      <w:bookmarkStart w:id="66" w:name="_Toc517530662"/>
      <w:bookmarkStart w:id="67" w:name="_Toc32014"/>
      <w:bookmarkStart w:id="68" w:name="_Toc31976"/>
      <w:bookmarkStart w:id="69" w:name="_Toc32763"/>
      <w:bookmarkStart w:id="70" w:name="_Toc517531938"/>
      <w:bookmarkStart w:id="71" w:name="_Toc2072"/>
      <w:bookmarkStart w:id="72" w:name="_Toc11937"/>
      <w:bookmarkStart w:id="73" w:name="_Toc32402"/>
      <w:r>
        <w:rPr>
          <w:rFonts w:hint="eastAsia" w:ascii="宋体" w:hAnsi="宋体"/>
          <w:b/>
          <w:color w:val="auto"/>
          <w:sz w:val="30"/>
          <w:szCs w:val="30"/>
          <w:highlight w:val="none"/>
        </w:rPr>
        <w:t>四、工程质量标准</w:t>
      </w:r>
      <w:bookmarkEnd w:id="61"/>
      <w:bookmarkEnd w:id="62"/>
      <w:bookmarkEnd w:id="63"/>
      <w:bookmarkEnd w:id="64"/>
      <w:bookmarkEnd w:id="65"/>
      <w:bookmarkEnd w:id="66"/>
      <w:bookmarkEnd w:id="67"/>
      <w:bookmarkEnd w:id="68"/>
      <w:bookmarkEnd w:id="69"/>
      <w:bookmarkEnd w:id="70"/>
      <w:bookmarkEnd w:id="71"/>
      <w:bookmarkEnd w:id="72"/>
      <w:bookmarkEnd w:id="73"/>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工程质量标准目标：</w:t>
      </w:r>
    </w:p>
    <w:p>
      <w:pPr>
        <w:spacing w:before="156" w:beforeLines="50" w:after="156" w:afterLines="50" w:line="360" w:lineRule="auto"/>
        <w:ind w:left="482"/>
        <w:outlineLvl w:val="1"/>
        <w:rPr>
          <w:rFonts w:hint="eastAsia" w:ascii="宋体" w:hAnsi="宋体"/>
          <w:b/>
          <w:color w:val="auto"/>
          <w:sz w:val="30"/>
          <w:szCs w:val="30"/>
          <w:highlight w:val="none"/>
        </w:rPr>
      </w:pPr>
      <w:bookmarkStart w:id="74" w:name="_Toc22923"/>
      <w:bookmarkStart w:id="75" w:name="_Toc517530663"/>
      <w:bookmarkStart w:id="76" w:name="_Toc517529701"/>
      <w:bookmarkStart w:id="77" w:name="_Toc27173"/>
      <w:bookmarkStart w:id="78" w:name="_Toc31475"/>
      <w:bookmarkStart w:id="79" w:name="_Toc893"/>
      <w:bookmarkStart w:id="80" w:name="_Toc517528608"/>
      <w:bookmarkStart w:id="81" w:name="_Toc20614"/>
      <w:bookmarkStart w:id="82" w:name="_Toc7633"/>
      <w:bookmarkStart w:id="83" w:name="_Toc1614"/>
      <w:bookmarkStart w:id="84" w:name="_Toc24349"/>
      <w:bookmarkStart w:id="85" w:name="_Toc1580"/>
      <w:bookmarkStart w:id="86" w:name="_Toc517531939"/>
      <w:r>
        <w:rPr>
          <w:rFonts w:hint="eastAsia" w:ascii="宋体" w:hAnsi="宋体"/>
          <w:b/>
          <w:color w:val="auto"/>
          <w:sz w:val="30"/>
          <w:szCs w:val="30"/>
          <w:highlight w:val="none"/>
        </w:rPr>
        <w:t>五、合同价款及支付方式</w:t>
      </w:r>
      <w:bookmarkEnd w:id="74"/>
      <w:bookmarkEnd w:id="75"/>
      <w:bookmarkEnd w:id="76"/>
      <w:bookmarkEnd w:id="77"/>
      <w:bookmarkEnd w:id="78"/>
      <w:bookmarkEnd w:id="79"/>
      <w:bookmarkEnd w:id="80"/>
      <w:bookmarkEnd w:id="81"/>
      <w:bookmarkEnd w:id="82"/>
      <w:bookmarkEnd w:id="83"/>
      <w:bookmarkEnd w:id="84"/>
      <w:bookmarkEnd w:id="85"/>
      <w:bookmarkEnd w:id="86"/>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人民币（大写）                              (¥                 元)；</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其中：</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（1）安全文明施工费：</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人民币（大写）                              (¥                 元)；</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（2）材料和工程设备暂估价金额：</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人民币（大写）                              (¥                 元)；</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（3）专业工程暂估价金额：</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人民币（大写）                              (¥                 元)；</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（4）暂列金额：</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人民币（大写）                              (¥                 元)；</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（5）奖励金：</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人民币（大写）                              (¥                 元)。</w:t>
      </w:r>
    </w:p>
    <w:p>
      <w:pPr>
        <w:spacing w:line="360" w:lineRule="auto"/>
        <w:rPr>
          <w:rFonts w:hint="eastAsia" w:ascii="宋体" w:hAnsi="宋体"/>
          <w:color w:val="auto"/>
          <w:szCs w:val="21"/>
          <w:highlight w:val="none"/>
        </w:rPr>
      </w:pPr>
      <w:r>
        <w:rPr>
          <w:rFonts w:hint="eastAsia" w:ascii="宋体" w:hAnsi="宋体"/>
          <w:color w:val="auto"/>
          <w:szCs w:val="21"/>
          <w:highlight w:val="none"/>
        </w:rPr>
        <w:t xml:space="preserve">    最终结算价格以《深圳市财政投资评审中心评审报告》的评审结论或发包人指定的第三方机构的审定（审核）结论为准。</w:t>
      </w:r>
    </w:p>
    <w:p>
      <w:pPr>
        <w:spacing w:line="360" w:lineRule="auto"/>
        <w:ind w:firstLine="480"/>
        <w:rPr>
          <w:rFonts w:hint="eastAsia" w:ascii="宋体" w:hAnsi="宋体"/>
          <w:b/>
          <w:color w:val="auto"/>
          <w:szCs w:val="21"/>
          <w:highlight w:val="none"/>
        </w:rPr>
      </w:pPr>
      <w:r>
        <w:rPr>
          <w:rFonts w:hint="eastAsia" w:ascii="宋体" w:hAnsi="宋体"/>
          <w:b/>
          <w:color w:val="auto"/>
          <w:szCs w:val="21"/>
          <w:highlight w:val="none"/>
        </w:rPr>
        <w:t>支付方式</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u w:val="single"/>
        </w:rPr>
        <w:t>1、本工程不设预付款。</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u w:val="single"/>
        </w:rPr>
        <w:t>2、工程进度款的支付</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u w:val="single"/>
        </w:rPr>
        <w:t>进度款的支付需依据监理人签发的期中支付证书办理支付手续并提交相关付款部门，累计月支付金额达到合同价(不含暂列金额和奖励金）85%时暂停支付。工程竣工验收后，且承包人按照合同要求提供竣工结算资料后，付至合同价(不含暂列金额和奖励金）的90%。经发包人确认的工程变更实施后的支付比例为70%。</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u w:val="single"/>
        </w:rPr>
        <w:t>3、工程结算款的支付</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u w:val="single"/>
        </w:rPr>
        <w:t>工程竣工结算后，支付到审定工程结算总额的97%。最终结算价格以《深圳市财政投资评审中心评审报告》的评审结论或发包人指定的第三方机构的审定（审核）结论为准。</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u w:val="single"/>
        </w:rPr>
        <w:t>4、质量保证金</w:t>
      </w:r>
    </w:p>
    <w:p>
      <w:pPr>
        <w:spacing w:line="360" w:lineRule="auto"/>
        <w:ind w:firstLine="480"/>
        <w:rPr>
          <w:rFonts w:hint="eastAsia" w:ascii="宋体" w:hAnsi="宋体"/>
          <w:color w:val="auto"/>
          <w:szCs w:val="21"/>
          <w:highlight w:val="none"/>
          <w:u w:val="single"/>
        </w:rPr>
      </w:pPr>
      <w:r>
        <w:rPr>
          <w:rFonts w:hint="eastAsia" w:ascii="宋体" w:hAnsi="宋体"/>
          <w:color w:val="auto"/>
          <w:szCs w:val="21"/>
          <w:highlight w:val="none"/>
          <w:u w:val="single"/>
        </w:rPr>
        <w:t>预留结算审定总额的3%为质量保证金，待保修期结束后予以支付。（注：保修期2年，自本工程竣工验收之日起算）</w:t>
      </w:r>
    </w:p>
    <w:p>
      <w:pPr>
        <w:spacing w:line="360" w:lineRule="auto"/>
        <w:ind w:firstLine="480"/>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val="en-US" w:eastAsia="zh-CN"/>
        </w:rPr>
        <w:t>4、工人工资专用账户信息</w:t>
      </w:r>
    </w:p>
    <w:p>
      <w:pPr>
        <w:spacing w:line="360" w:lineRule="auto"/>
        <w:ind w:firstLine="480"/>
        <w:rPr>
          <w:rFonts w:hint="default"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val="en-US" w:eastAsia="zh-CN"/>
        </w:rPr>
        <w:t>工人工资款支付专用账户名称：             </w:t>
      </w:r>
    </w:p>
    <w:p>
      <w:pPr>
        <w:spacing w:line="360" w:lineRule="auto"/>
        <w:ind w:firstLine="480"/>
        <w:rPr>
          <w:rFonts w:hint="default"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lang w:val="en-US" w:eastAsia="zh-CN"/>
        </w:rPr>
        <w:t>工人工资款支付专用账户开户银行：          </w:t>
      </w:r>
    </w:p>
    <w:p>
      <w:pPr>
        <w:spacing w:before="156" w:beforeLines="50" w:after="156" w:afterLines="50" w:line="360" w:lineRule="auto"/>
        <w:ind w:left="482"/>
        <w:outlineLvl w:val="1"/>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lang w:val="en-US" w:eastAsia="zh-CN"/>
        </w:rPr>
        <w:t>工人工资款支付专用账户号：                  </w:t>
      </w:r>
      <w:bookmarkStart w:id="87" w:name="_Toc16675"/>
      <w:bookmarkStart w:id="88" w:name="_Toc517528609"/>
      <w:bookmarkStart w:id="89" w:name="_Toc517530664"/>
      <w:bookmarkStart w:id="90" w:name="_Toc517529702"/>
      <w:bookmarkStart w:id="91" w:name="_Toc517531940"/>
      <w:bookmarkStart w:id="92" w:name="_Toc15257"/>
      <w:bookmarkStart w:id="93" w:name="_Toc11342"/>
      <w:bookmarkStart w:id="94" w:name="_Toc26529"/>
      <w:bookmarkStart w:id="95" w:name="_Toc27271"/>
      <w:bookmarkStart w:id="96" w:name="_Toc9066"/>
      <w:bookmarkStart w:id="97" w:name="_Toc27439"/>
      <w:bookmarkStart w:id="98" w:name="_Toc3202"/>
      <w:bookmarkStart w:id="99" w:name="_Toc29329"/>
    </w:p>
    <w:p>
      <w:pPr>
        <w:spacing w:before="156" w:beforeLines="50" w:after="156" w:afterLines="50" w:line="360" w:lineRule="auto"/>
        <w:ind w:left="482"/>
        <w:outlineLvl w:val="1"/>
        <w:rPr>
          <w:rFonts w:hint="eastAsia" w:ascii="宋体" w:hAnsi="宋体"/>
          <w:b/>
          <w:color w:val="auto"/>
          <w:sz w:val="30"/>
          <w:szCs w:val="30"/>
          <w:highlight w:val="none"/>
        </w:rPr>
      </w:pPr>
      <w:r>
        <w:rPr>
          <w:rFonts w:hint="eastAsia" w:ascii="宋体" w:hAnsi="宋体"/>
          <w:b/>
          <w:color w:val="auto"/>
          <w:sz w:val="30"/>
          <w:szCs w:val="30"/>
          <w:highlight w:val="none"/>
        </w:rPr>
        <w:t>六、组成合同的文件</w:t>
      </w:r>
      <w:bookmarkEnd w:id="87"/>
      <w:bookmarkEnd w:id="88"/>
      <w:bookmarkEnd w:id="89"/>
      <w:bookmarkEnd w:id="90"/>
      <w:bookmarkEnd w:id="91"/>
      <w:bookmarkEnd w:id="92"/>
      <w:bookmarkEnd w:id="93"/>
      <w:bookmarkEnd w:id="94"/>
      <w:bookmarkEnd w:id="95"/>
      <w:bookmarkEnd w:id="96"/>
      <w:bookmarkEnd w:id="97"/>
      <w:bookmarkEnd w:id="98"/>
      <w:bookmarkEnd w:id="99"/>
    </w:p>
    <w:p>
      <w:pPr>
        <w:spacing w:line="360" w:lineRule="auto"/>
        <w:ind w:firstLine="638" w:firstLineChars="304"/>
        <w:rPr>
          <w:rFonts w:hint="eastAsia" w:ascii="宋体" w:hAnsi="宋体"/>
          <w:color w:val="auto"/>
          <w:szCs w:val="21"/>
          <w:highlight w:val="none"/>
        </w:rPr>
      </w:pPr>
      <w:r>
        <w:rPr>
          <w:rFonts w:hint="eastAsia" w:ascii="宋体" w:hAnsi="宋体"/>
          <w:color w:val="auto"/>
          <w:szCs w:val="21"/>
          <w:highlight w:val="none"/>
        </w:rPr>
        <w:t>组成本合同的文件包括：</w:t>
      </w:r>
    </w:p>
    <w:p>
      <w:pPr>
        <w:spacing w:line="360" w:lineRule="auto"/>
        <w:ind w:left="420" w:leftChars="200"/>
        <w:jc w:val="left"/>
        <w:rPr>
          <w:rFonts w:hint="eastAsia" w:ascii="宋体" w:hAnsi="宋体" w:cs="宋体"/>
          <w:color w:val="auto"/>
          <w:szCs w:val="21"/>
          <w:highlight w:val="none"/>
        </w:rPr>
      </w:pPr>
      <w:r>
        <w:rPr>
          <w:rFonts w:hint="eastAsia" w:ascii="宋体" w:hAnsi="宋体" w:cs="宋体"/>
          <w:color w:val="auto"/>
          <w:szCs w:val="21"/>
          <w:highlight w:val="none"/>
        </w:rPr>
        <w:t>1.合同协议书及双方签认的补充协议；</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2.中标通知书（详见附件1）；</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3.投标函及其附件（含承包人在评标期间和合同谈判过程中递交和确认并经发包人同意的对有关问题的补充资料和澄清文件等，如果有）；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4.招标文件中的投标报价规定；</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5.专用合同条款（含招标文件补遗书中与此有关的部分，如果有）；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6.通用合同条款；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7.技术标准和规范（含招标文件补遗书中与此有关的部分，如果有）；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8.图纸（含招标文件补遗书中与此有关的部分，如果有）；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9.标价的工程量清单；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10.工程质量保修书（详见附件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11.双方认为应作为合同构成的其它文件。</w:t>
      </w:r>
    </w:p>
    <w:p>
      <w:pPr>
        <w:spacing w:before="156" w:beforeLines="50" w:after="156" w:afterLines="50" w:line="360" w:lineRule="auto"/>
        <w:ind w:left="482"/>
        <w:outlineLvl w:val="1"/>
        <w:rPr>
          <w:rFonts w:hint="eastAsia" w:ascii="宋体" w:hAnsi="宋体"/>
          <w:b/>
          <w:color w:val="auto"/>
          <w:sz w:val="30"/>
          <w:szCs w:val="30"/>
          <w:highlight w:val="none"/>
        </w:rPr>
      </w:pPr>
      <w:bookmarkStart w:id="100" w:name="_Toc517530665"/>
      <w:bookmarkStart w:id="101" w:name="_Toc5435"/>
      <w:bookmarkStart w:id="102" w:name="_Toc2121"/>
      <w:bookmarkStart w:id="103" w:name="_Toc16920"/>
      <w:bookmarkStart w:id="104" w:name="_Toc21958"/>
      <w:bookmarkStart w:id="105" w:name="_Toc517529703"/>
      <w:bookmarkStart w:id="106" w:name="_Toc20138"/>
      <w:bookmarkStart w:id="107" w:name="_Toc21276"/>
      <w:bookmarkStart w:id="108" w:name="_Toc6612"/>
      <w:bookmarkStart w:id="109" w:name="_Toc22445"/>
      <w:bookmarkStart w:id="110" w:name="_Toc517528610"/>
      <w:bookmarkStart w:id="111" w:name="_Toc517531941"/>
      <w:bookmarkStart w:id="112" w:name="_Toc8203"/>
      <w:r>
        <w:rPr>
          <w:rFonts w:hint="eastAsia" w:ascii="宋体" w:hAnsi="宋体"/>
          <w:b/>
          <w:color w:val="auto"/>
          <w:sz w:val="30"/>
          <w:szCs w:val="30"/>
          <w:highlight w:val="none"/>
        </w:rPr>
        <w:t>七、词语含义</w:t>
      </w:r>
      <w:bookmarkEnd w:id="100"/>
      <w:bookmarkEnd w:id="101"/>
      <w:bookmarkEnd w:id="102"/>
      <w:bookmarkEnd w:id="103"/>
      <w:bookmarkEnd w:id="104"/>
      <w:bookmarkEnd w:id="105"/>
      <w:bookmarkEnd w:id="106"/>
      <w:bookmarkEnd w:id="107"/>
      <w:bookmarkEnd w:id="108"/>
      <w:bookmarkEnd w:id="109"/>
      <w:bookmarkEnd w:id="110"/>
      <w:bookmarkEnd w:id="111"/>
      <w:bookmarkEnd w:id="112"/>
    </w:p>
    <w:p>
      <w:pPr>
        <w:spacing w:line="360" w:lineRule="auto"/>
        <w:ind w:firstLine="638" w:firstLineChars="304"/>
        <w:rPr>
          <w:rFonts w:hint="eastAsia" w:ascii="宋体" w:hAnsi="宋体"/>
          <w:bCs/>
          <w:color w:val="auto"/>
          <w:szCs w:val="21"/>
          <w:highlight w:val="none"/>
        </w:rPr>
      </w:pPr>
      <w:r>
        <w:rPr>
          <w:rFonts w:hint="eastAsia" w:ascii="宋体" w:hAnsi="宋体"/>
          <w:bCs/>
          <w:color w:val="auto"/>
          <w:szCs w:val="21"/>
          <w:highlight w:val="none"/>
        </w:rPr>
        <w:t>本协议中有关词语含义与招标文件第二卷《通用合同条款》《专用合同条款》定义相同。</w:t>
      </w:r>
    </w:p>
    <w:p>
      <w:pPr>
        <w:spacing w:before="156" w:beforeLines="50" w:after="156" w:afterLines="50" w:line="360" w:lineRule="auto"/>
        <w:ind w:left="482"/>
        <w:outlineLvl w:val="1"/>
        <w:rPr>
          <w:rFonts w:hint="eastAsia" w:ascii="宋体" w:hAnsi="宋体"/>
          <w:b/>
          <w:color w:val="auto"/>
          <w:sz w:val="30"/>
          <w:szCs w:val="30"/>
          <w:highlight w:val="none"/>
        </w:rPr>
      </w:pPr>
      <w:bookmarkStart w:id="113" w:name="_Toc517530666"/>
      <w:bookmarkStart w:id="114" w:name="_Toc19946"/>
      <w:bookmarkStart w:id="115" w:name="_Toc26736"/>
      <w:bookmarkStart w:id="116" w:name="_Toc20146"/>
      <w:bookmarkStart w:id="117" w:name="_Toc517528611"/>
      <w:bookmarkStart w:id="118" w:name="_Toc1683"/>
      <w:bookmarkStart w:id="119" w:name="_Toc517529704"/>
      <w:bookmarkStart w:id="120" w:name="_Toc26635"/>
      <w:bookmarkStart w:id="121" w:name="_Toc31334"/>
      <w:bookmarkStart w:id="122" w:name="_Toc14828"/>
      <w:bookmarkStart w:id="123" w:name="_Toc26761"/>
      <w:bookmarkStart w:id="124" w:name="_Toc517531942"/>
      <w:bookmarkStart w:id="125" w:name="_Toc16804"/>
      <w:r>
        <w:rPr>
          <w:rFonts w:hint="eastAsia" w:ascii="宋体" w:hAnsi="宋体"/>
          <w:b/>
          <w:color w:val="auto"/>
          <w:sz w:val="30"/>
          <w:szCs w:val="30"/>
          <w:highlight w:val="none"/>
        </w:rPr>
        <w:t>八、双方承诺</w:t>
      </w:r>
      <w:bookmarkEnd w:id="113"/>
      <w:bookmarkEnd w:id="114"/>
      <w:bookmarkEnd w:id="115"/>
      <w:bookmarkEnd w:id="116"/>
      <w:bookmarkEnd w:id="117"/>
      <w:bookmarkEnd w:id="118"/>
      <w:bookmarkEnd w:id="119"/>
      <w:bookmarkEnd w:id="120"/>
      <w:bookmarkEnd w:id="121"/>
      <w:bookmarkEnd w:id="122"/>
      <w:bookmarkEnd w:id="123"/>
      <w:bookmarkEnd w:id="124"/>
      <w:bookmarkEnd w:id="125"/>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1、承包人向发包人承诺，按照合同约定进行施工、竣工，并在质量保修期内承担工程质量保修责任，并履行本合同所约定的全部义务。</w:t>
      </w:r>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2、发包人向承包人承诺，按照合同约定的期限和方式支付合同价款及其他应当支付的款项，并履行本合同所约定的全部义务。</w:t>
      </w:r>
    </w:p>
    <w:p>
      <w:pPr>
        <w:spacing w:before="156" w:beforeLines="50" w:after="156" w:afterLines="50" w:line="360" w:lineRule="auto"/>
        <w:ind w:left="482"/>
        <w:outlineLvl w:val="1"/>
        <w:rPr>
          <w:rFonts w:hint="eastAsia" w:ascii="宋体" w:hAnsi="宋体"/>
          <w:b/>
          <w:color w:val="auto"/>
          <w:sz w:val="30"/>
          <w:szCs w:val="30"/>
          <w:highlight w:val="none"/>
        </w:rPr>
      </w:pPr>
      <w:bookmarkStart w:id="126" w:name="_Toc13312"/>
      <w:bookmarkStart w:id="127" w:name="_Toc4480"/>
      <w:bookmarkStart w:id="128" w:name="_Toc31258"/>
      <w:bookmarkStart w:id="129" w:name="_Toc23902"/>
      <w:bookmarkStart w:id="130" w:name="_Toc18116"/>
      <w:bookmarkStart w:id="131" w:name="_Toc517529705"/>
      <w:bookmarkStart w:id="132" w:name="_Toc12745"/>
      <w:bookmarkStart w:id="133" w:name="_Toc15014"/>
      <w:bookmarkStart w:id="134" w:name="_Toc31832"/>
      <w:bookmarkStart w:id="135" w:name="_Toc6181"/>
      <w:bookmarkStart w:id="136" w:name="_Toc517531943"/>
      <w:bookmarkStart w:id="137" w:name="_Toc517530667"/>
      <w:bookmarkStart w:id="138" w:name="_Toc517528612"/>
      <w:r>
        <w:rPr>
          <w:rFonts w:hint="eastAsia" w:ascii="宋体" w:hAnsi="宋体"/>
          <w:b/>
          <w:color w:val="auto"/>
          <w:sz w:val="30"/>
          <w:szCs w:val="30"/>
          <w:highlight w:val="none"/>
        </w:rPr>
        <w:t>九、合同份数</w:t>
      </w:r>
      <w:bookmarkEnd w:id="126"/>
      <w:bookmarkEnd w:id="127"/>
      <w:bookmarkEnd w:id="128"/>
      <w:bookmarkEnd w:id="129"/>
      <w:bookmarkEnd w:id="130"/>
      <w:bookmarkEnd w:id="131"/>
      <w:bookmarkEnd w:id="132"/>
      <w:bookmarkEnd w:id="133"/>
      <w:bookmarkEnd w:id="134"/>
      <w:bookmarkEnd w:id="135"/>
      <w:bookmarkEnd w:id="136"/>
      <w:bookmarkEnd w:id="137"/>
      <w:bookmarkEnd w:id="138"/>
    </w:p>
    <w:p>
      <w:pPr>
        <w:spacing w:line="360" w:lineRule="auto"/>
        <w:ind w:firstLine="480"/>
        <w:rPr>
          <w:rFonts w:hint="eastAsia" w:ascii="宋体" w:hAnsi="宋体"/>
          <w:color w:val="auto"/>
          <w:szCs w:val="21"/>
          <w:highlight w:val="none"/>
        </w:rPr>
      </w:pPr>
      <w:r>
        <w:rPr>
          <w:rFonts w:hint="eastAsia" w:ascii="宋体" w:hAnsi="宋体"/>
          <w:color w:val="auto"/>
          <w:szCs w:val="21"/>
          <w:highlight w:val="none"/>
        </w:rPr>
        <w:t>本合同一式</w:t>
      </w:r>
      <w:r>
        <w:rPr>
          <w:rFonts w:hint="eastAsia" w:ascii="宋体" w:hAnsi="宋体"/>
          <w:color w:val="auto"/>
          <w:szCs w:val="21"/>
          <w:highlight w:val="none"/>
          <w:u w:val="single"/>
        </w:rPr>
        <w:t xml:space="preserve">    </w:t>
      </w:r>
      <w:r>
        <w:rPr>
          <w:rFonts w:hint="eastAsia" w:ascii="宋体" w:hAnsi="宋体"/>
          <w:color w:val="auto"/>
          <w:szCs w:val="21"/>
          <w:highlight w:val="none"/>
        </w:rPr>
        <w:t>份，正本</w:t>
      </w:r>
      <w:r>
        <w:rPr>
          <w:rFonts w:hint="eastAsia" w:ascii="宋体" w:hAnsi="宋体"/>
          <w:color w:val="auto"/>
          <w:szCs w:val="21"/>
          <w:highlight w:val="none"/>
          <w:u w:val="single"/>
        </w:rPr>
        <w:t xml:space="preserve">    </w:t>
      </w:r>
      <w:r>
        <w:rPr>
          <w:rFonts w:hint="eastAsia" w:ascii="宋体" w:hAnsi="宋体"/>
          <w:color w:val="auto"/>
          <w:szCs w:val="21"/>
          <w:highlight w:val="none"/>
        </w:rPr>
        <w:t>份，发包人</w:t>
      </w:r>
      <w:r>
        <w:rPr>
          <w:rFonts w:hint="eastAsia" w:ascii="宋体" w:hAnsi="宋体"/>
          <w:color w:val="auto"/>
          <w:szCs w:val="21"/>
          <w:highlight w:val="none"/>
          <w:u w:val="single"/>
        </w:rPr>
        <w:t xml:space="preserve">    </w:t>
      </w:r>
      <w:r>
        <w:rPr>
          <w:rFonts w:hint="eastAsia" w:ascii="宋体" w:hAnsi="宋体"/>
          <w:color w:val="auto"/>
          <w:szCs w:val="21"/>
          <w:highlight w:val="none"/>
        </w:rPr>
        <w:t>份，承包人</w:t>
      </w:r>
      <w:r>
        <w:rPr>
          <w:rFonts w:hint="eastAsia" w:ascii="宋体" w:hAnsi="宋体"/>
          <w:color w:val="auto"/>
          <w:szCs w:val="21"/>
          <w:highlight w:val="none"/>
          <w:u w:val="single"/>
        </w:rPr>
        <w:t xml:space="preserve">    </w:t>
      </w:r>
      <w:r>
        <w:rPr>
          <w:rFonts w:hint="eastAsia" w:ascii="宋体" w:hAnsi="宋体"/>
          <w:color w:val="auto"/>
          <w:szCs w:val="21"/>
          <w:highlight w:val="none"/>
        </w:rPr>
        <w:t>份，副本</w:t>
      </w:r>
      <w:r>
        <w:rPr>
          <w:rFonts w:hint="eastAsia" w:ascii="宋体" w:hAnsi="宋体"/>
          <w:color w:val="auto"/>
          <w:szCs w:val="21"/>
          <w:highlight w:val="none"/>
          <w:u w:val="single"/>
        </w:rPr>
        <w:t xml:space="preserve">                </w:t>
      </w:r>
      <w:r>
        <w:rPr>
          <w:rFonts w:hint="eastAsia" w:ascii="宋体" w:hAnsi="宋体"/>
          <w:color w:val="auto"/>
          <w:szCs w:val="21"/>
          <w:highlight w:val="none"/>
        </w:rPr>
        <w:t>份，发包人</w:t>
      </w:r>
      <w:r>
        <w:rPr>
          <w:rFonts w:hint="eastAsia" w:ascii="宋体" w:hAnsi="宋体"/>
          <w:color w:val="auto"/>
          <w:szCs w:val="21"/>
          <w:highlight w:val="none"/>
          <w:u w:val="single"/>
        </w:rPr>
        <w:t xml:space="preserve">    </w:t>
      </w:r>
      <w:r>
        <w:rPr>
          <w:rFonts w:hint="eastAsia" w:ascii="宋体" w:hAnsi="宋体"/>
          <w:color w:val="auto"/>
          <w:szCs w:val="21"/>
          <w:highlight w:val="none"/>
        </w:rPr>
        <w:t>份，承包人</w:t>
      </w:r>
      <w:r>
        <w:rPr>
          <w:rFonts w:hint="eastAsia" w:ascii="宋体" w:hAnsi="宋体"/>
          <w:color w:val="auto"/>
          <w:szCs w:val="21"/>
          <w:highlight w:val="none"/>
          <w:u w:val="single"/>
        </w:rPr>
        <w:t xml:space="preserve">    </w:t>
      </w:r>
      <w:r>
        <w:rPr>
          <w:rFonts w:hint="eastAsia" w:ascii="宋体" w:hAnsi="宋体"/>
          <w:color w:val="auto"/>
          <w:szCs w:val="21"/>
          <w:highlight w:val="none"/>
        </w:rPr>
        <w:t>份。</w:t>
      </w:r>
    </w:p>
    <w:p>
      <w:pPr>
        <w:spacing w:before="156" w:beforeLines="50" w:after="156" w:afterLines="50" w:line="360" w:lineRule="auto"/>
        <w:ind w:left="482"/>
        <w:outlineLvl w:val="1"/>
        <w:rPr>
          <w:rFonts w:hint="eastAsia" w:ascii="宋体" w:hAnsi="宋体"/>
          <w:b/>
          <w:color w:val="auto"/>
          <w:sz w:val="30"/>
          <w:szCs w:val="30"/>
          <w:highlight w:val="none"/>
        </w:rPr>
      </w:pPr>
      <w:bookmarkStart w:id="139" w:name="_Toc23161"/>
      <w:bookmarkStart w:id="140" w:name="_Toc29683"/>
      <w:bookmarkStart w:id="141" w:name="_Toc9479"/>
      <w:bookmarkStart w:id="142" w:name="_Toc3560"/>
      <w:bookmarkStart w:id="143" w:name="_Toc517530668"/>
      <w:bookmarkStart w:id="144" w:name="_Toc22029"/>
      <w:bookmarkStart w:id="145" w:name="_Toc517528613"/>
      <w:bookmarkStart w:id="146" w:name="_Toc517531944"/>
      <w:bookmarkStart w:id="147" w:name="_Toc9526"/>
      <w:bookmarkStart w:id="148" w:name="_Toc20562"/>
      <w:bookmarkStart w:id="149" w:name="_Toc7987"/>
      <w:bookmarkStart w:id="150" w:name="_Toc4678"/>
      <w:bookmarkStart w:id="151" w:name="_Toc517529706"/>
      <w:r>
        <w:rPr>
          <w:rFonts w:hint="eastAsia" w:ascii="宋体" w:hAnsi="宋体"/>
          <w:b/>
          <w:color w:val="auto"/>
          <w:sz w:val="30"/>
          <w:szCs w:val="30"/>
          <w:highlight w:val="none"/>
        </w:rPr>
        <w:t>十、合同生效</w:t>
      </w:r>
      <w:bookmarkEnd w:id="139"/>
      <w:bookmarkEnd w:id="140"/>
      <w:bookmarkEnd w:id="141"/>
      <w:bookmarkEnd w:id="142"/>
      <w:bookmarkEnd w:id="143"/>
      <w:bookmarkEnd w:id="144"/>
      <w:bookmarkEnd w:id="145"/>
      <w:bookmarkEnd w:id="146"/>
      <w:bookmarkEnd w:id="147"/>
      <w:bookmarkEnd w:id="148"/>
      <w:bookmarkEnd w:id="149"/>
      <w:bookmarkEnd w:id="150"/>
      <w:bookmarkEnd w:id="151"/>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合同订立时间：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合同订立地点：</w:t>
      </w: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本合同经双方法定代表人或其委托代理人签署并加盖公章后生效。</w:t>
      </w:r>
    </w:p>
    <w:p>
      <w:pPr>
        <w:spacing w:line="360" w:lineRule="auto"/>
        <w:ind w:firstLine="420" w:firstLineChars="200"/>
        <w:rPr>
          <w:rFonts w:hint="eastAsia" w:ascii="宋体" w:hAnsi="宋体"/>
          <w:color w:val="auto"/>
          <w:szCs w:val="21"/>
          <w:highlight w:val="none"/>
        </w:rPr>
      </w:pP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发  包  人：（公章）                    承  包  人：（公章）</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住      所：                           住      所：</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法定代表人：                           法定代表人：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委托代理人：                           委托代理人：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电      话：                           电      话：</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传      真：                           传      真：</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 户 银 行：                          开 户 银 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账      号：                           账      号：</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邮 政 编 码：                          邮 政 编 码：</w:t>
      </w:r>
    </w:p>
    <w:p>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备案意见：</w:t>
      </w:r>
    </w:p>
    <w:p>
      <w:pPr>
        <w:spacing w:line="360"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 xml:space="preserve">                                           经 办 人：</w:t>
      </w:r>
    </w:p>
    <w:p>
      <w:pPr>
        <w:spacing w:line="360" w:lineRule="auto"/>
        <w:ind w:firstLine="420" w:firstLineChars="200"/>
        <w:jc w:val="right"/>
        <w:rPr>
          <w:rFonts w:hint="eastAsia" w:ascii="宋体" w:hAnsi="宋体"/>
          <w:color w:val="auto"/>
          <w:szCs w:val="21"/>
          <w:highlight w:val="none"/>
        </w:rPr>
      </w:pPr>
      <w:r>
        <w:rPr>
          <w:rFonts w:hint="eastAsia" w:ascii="宋体" w:hAnsi="宋体"/>
          <w:color w:val="auto"/>
          <w:szCs w:val="21"/>
          <w:highlight w:val="none"/>
        </w:rPr>
        <w:t>备案机构（公章）</w:t>
      </w:r>
    </w:p>
    <w:p>
      <w:pPr>
        <w:pStyle w:val="5"/>
        <w:spacing w:before="156" w:beforeLines="50" w:line="360" w:lineRule="auto"/>
        <w:jc w:val="left"/>
        <w:rPr>
          <w:rFonts w:hint="eastAsia" w:ascii="宋体" w:hAnsi="宋体"/>
          <w:color w:val="auto"/>
          <w:szCs w:val="21"/>
          <w:highlight w:val="none"/>
        </w:rPr>
      </w:pPr>
      <w:r>
        <w:rPr>
          <w:rFonts w:hint="eastAsia" w:ascii="宋体" w:hAnsi="宋体"/>
          <w:color w:val="auto"/>
          <w:szCs w:val="21"/>
          <w:highlight w:val="none"/>
        </w:rPr>
        <w:t xml:space="preserve">年    月    日 </w:t>
      </w:r>
      <w:bookmarkStart w:id="152" w:name="_Toc303538975"/>
      <w:bookmarkEnd w:id="152"/>
      <w:bookmarkStart w:id="153" w:name="_Toc303538973"/>
      <w:bookmarkEnd w:id="153"/>
      <w:bookmarkStart w:id="154" w:name="_Toc303538974"/>
      <w:bookmarkEnd w:id="154"/>
      <w:bookmarkStart w:id="155" w:name="_Toc303538972"/>
      <w:bookmarkEnd w:id="155"/>
      <w:bookmarkStart w:id="156" w:name="_Toc303538976"/>
      <w:bookmarkEnd w:id="156"/>
    </w:p>
    <w:p>
      <w:pPr>
        <w:pStyle w:val="5"/>
        <w:spacing w:before="156" w:beforeLines="50" w:line="360" w:lineRule="auto"/>
        <w:jc w:val="left"/>
        <w:rPr>
          <w:rFonts w:hint="eastAsia" w:ascii="宋体" w:hAnsi="宋体"/>
          <w:color w:val="auto"/>
          <w:szCs w:val="21"/>
          <w:highlight w:val="none"/>
        </w:rPr>
      </w:pPr>
    </w:p>
    <w:p>
      <w:pPr>
        <w:pStyle w:val="5"/>
        <w:spacing w:before="156" w:beforeLines="50" w:line="360" w:lineRule="auto"/>
        <w:jc w:val="left"/>
        <w:rPr>
          <w:rFonts w:hint="eastAsia" w:ascii="宋体" w:hAnsi="宋体"/>
          <w:color w:val="auto"/>
          <w:szCs w:val="21"/>
          <w:highlight w:val="none"/>
        </w:rPr>
      </w:pPr>
    </w:p>
    <w:p>
      <w:pPr>
        <w:jc w:val="left"/>
        <w:rPr>
          <w:rFonts w:hint="eastAsia" w:ascii="宋体"/>
          <w:b/>
          <w:color w:val="auto"/>
          <w:sz w:val="30"/>
          <w:szCs w:val="30"/>
          <w:highlight w:val="none"/>
        </w:rPr>
      </w:pPr>
      <w:bookmarkStart w:id="157" w:name="_Toc517530669"/>
      <w:bookmarkStart w:id="158" w:name="_Toc517528614"/>
      <w:bookmarkStart w:id="159" w:name="_Toc517531945"/>
      <w:bookmarkStart w:id="160" w:name="_Toc517529707"/>
      <w:r>
        <w:rPr>
          <w:rFonts w:hint="eastAsia" w:ascii="宋体"/>
          <w:b/>
          <w:color w:val="auto"/>
          <w:sz w:val="30"/>
          <w:szCs w:val="30"/>
          <w:highlight w:val="none"/>
        </w:rPr>
        <w:t>附件</w:t>
      </w:r>
      <w:bookmarkEnd w:id="157"/>
      <w:bookmarkEnd w:id="158"/>
      <w:bookmarkEnd w:id="159"/>
      <w:bookmarkEnd w:id="160"/>
    </w:p>
    <w:p>
      <w:pPr>
        <w:jc w:val="left"/>
        <w:rPr>
          <w:rFonts w:hint="eastAsia" w:ascii="宋体"/>
          <w:bCs/>
          <w:color w:val="auto"/>
          <w:sz w:val="28"/>
          <w:szCs w:val="28"/>
          <w:highlight w:val="none"/>
        </w:rPr>
      </w:pPr>
      <w:r>
        <w:rPr>
          <w:rFonts w:hint="eastAsia" w:ascii="宋体"/>
          <w:bCs/>
          <w:color w:val="auto"/>
          <w:sz w:val="28"/>
          <w:szCs w:val="28"/>
          <w:highlight w:val="none"/>
        </w:rPr>
        <w:t>附件1：</w:t>
      </w:r>
    </w:p>
    <w:p>
      <w:pPr>
        <w:jc w:val="both"/>
        <w:rPr>
          <w:rFonts w:hint="eastAsia" w:ascii="宋体" w:hAnsi="宋体"/>
          <w:b/>
          <w:color w:val="auto"/>
          <w:sz w:val="44"/>
          <w:szCs w:val="44"/>
          <w:highlight w:val="none"/>
        </w:rPr>
      </w:pPr>
    </w:p>
    <w:p>
      <w:pPr>
        <w:jc w:val="both"/>
        <w:rPr>
          <w:rFonts w:hint="eastAsia" w:ascii="宋体" w:hAnsi="宋体"/>
          <w:b/>
          <w:color w:val="auto"/>
          <w:sz w:val="44"/>
          <w:szCs w:val="44"/>
          <w:highlight w:val="none"/>
        </w:rPr>
      </w:pPr>
    </w:p>
    <w:p>
      <w:pPr>
        <w:jc w:val="center"/>
        <w:rPr>
          <w:rFonts w:hint="eastAsia" w:ascii="宋体" w:hAnsi="宋体"/>
          <w:b/>
          <w:color w:val="auto"/>
          <w:sz w:val="36"/>
          <w:szCs w:val="36"/>
          <w:highlight w:val="none"/>
        </w:rPr>
      </w:pPr>
      <w:r>
        <w:rPr>
          <w:rFonts w:hint="eastAsia" w:ascii="宋体" w:hAnsi="宋体"/>
          <w:b/>
          <w:color w:val="auto"/>
          <w:sz w:val="44"/>
          <w:szCs w:val="44"/>
          <w:highlight w:val="none"/>
        </w:rPr>
        <w:t xml:space="preserve">中标通知书 </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olor w:val="auto"/>
          <w:sz w:val="34"/>
          <w:szCs w:val="34"/>
          <w:highlight w:val="none"/>
        </w:rPr>
      </w:pP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仿宋_GB2312" w:hAnsi="仿宋_GB2312" w:eastAsia="仿宋_GB2312" w:cs="仿宋_GB2312"/>
          <w:color w:val="auto"/>
          <w:sz w:val="34"/>
          <w:szCs w:val="34"/>
          <w:highlight w:val="none"/>
        </w:rPr>
      </w:pPr>
      <w:r>
        <w:rPr>
          <w:rFonts w:hint="eastAsia" w:ascii="仿宋_GB2312" w:hAnsi="宋体" w:eastAsia="仿宋_GB2312"/>
          <w:color w:val="auto"/>
          <w:sz w:val="34"/>
          <w:szCs w:val="34"/>
          <w:highlight w:val="none"/>
        </w:rPr>
        <w:t xml:space="preserve">                          </w:t>
      </w:r>
      <w:r>
        <w:rPr>
          <w:rFonts w:hint="eastAsia" w:ascii="仿宋_GB2312" w:hAnsi="仿宋_GB2312" w:eastAsia="仿宋_GB2312" w:cs="仿宋_GB2312"/>
          <w:color w:val="auto"/>
          <w:sz w:val="34"/>
          <w:szCs w:val="34"/>
          <w:highlight w:val="none"/>
        </w:rPr>
        <w:t>日期：</w:t>
      </w:r>
      <w:r>
        <w:rPr>
          <w:rFonts w:hint="eastAsia" w:ascii="仿宋_GB2312" w:hAnsi="仿宋_GB2312" w:eastAsia="仿宋_GB2312" w:cs="仿宋_GB2312"/>
          <w:color w:val="auto"/>
          <w:sz w:val="34"/>
          <w:szCs w:val="34"/>
          <w:highlight w:val="none"/>
          <w:lang w:val="en-US" w:eastAsia="zh-CN"/>
        </w:rPr>
        <w:t>2022</w:t>
      </w:r>
      <w:r>
        <w:rPr>
          <w:rFonts w:hint="eastAsia" w:ascii="仿宋_GB2312" w:hAnsi="仿宋_GB2312" w:eastAsia="仿宋_GB2312" w:cs="仿宋_GB2312"/>
          <w:color w:val="auto"/>
          <w:sz w:val="34"/>
          <w:szCs w:val="34"/>
          <w:highlight w:val="none"/>
        </w:rPr>
        <w:t>年</w:t>
      </w:r>
      <w:r>
        <w:rPr>
          <w:rFonts w:hint="eastAsia" w:ascii="仿宋_GB2312" w:hAnsi="仿宋_GB2312" w:eastAsia="仿宋_GB2312" w:cs="仿宋_GB2312"/>
          <w:color w:val="auto"/>
          <w:sz w:val="34"/>
          <w:szCs w:val="34"/>
          <w:highlight w:val="none"/>
          <w:lang w:val="en-US" w:eastAsia="zh-CN"/>
        </w:rPr>
        <w:t xml:space="preserve"> </w:t>
      </w:r>
      <w:r>
        <w:rPr>
          <w:rFonts w:hint="eastAsia" w:ascii="仿宋_GB2312" w:hAnsi="仿宋_GB2312" w:eastAsia="仿宋_GB2312" w:cs="仿宋_GB2312"/>
          <w:color w:val="auto"/>
          <w:sz w:val="34"/>
          <w:szCs w:val="34"/>
          <w:highlight w:val="none"/>
        </w:rPr>
        <w:t>月</w:t>
      </w:r>
      <w:r>
        <w:rPr>
          <w:rFonts w:hint="eastAsia" w:ascii="仿宋_GB2312" w:hAnsi="仿宋_GB2312" w:eastAsia="仿宋_GB2312" w:cs="仿宋_GB2312"/>
          <w:color w:val="auto"/>
          <w:sz w:val="34"/>
          <w:szCs w:val="34"/>
          <w:highlight w:val="none"/>
          <w:lang w:val="en-US" w:eastAsia="zh-CN"/>
        </w:rPr>
        <w:t xml:space="preserve">  </w:t>
      </w:r>
      <w:r>
        <w:rPr>
          <w:rFonts w:hint="eastAsia" w:ascii="仿宋_GB2312" w:hAnsi="仿宋_GB2312" w:eastAsia="仿宋_GB2312" w:cs="仿宋_GB2312"/>
          <w:color w:val="auto"/>
          <w:sz w:val="34"/>
          <w:szCs w:val="34"/>
          <w:highlight w:val="none"/>
        </w:rPr>
        <w:t>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致：</w:t>
      </w:r>
      <w:r>
        <w:rPr>
          <w:rFonts w:hint="eastAsia" w:ascii="宋体" w:hAnsi="宋体" w:eastAsia="宋体" w:cs="宋体"/>
          <w:color w:val="auto"/>
          <w:sz w:val="28"/>
          <w:szCs w:val="28"/>
          <w:highlight w:val="none"/>
          <w:u w:val="single"/>
        </w:rPr>
        <w:t xml:space="preserve">                 </w:t>
      </w:r>
    </w:p>
    <w:p>
      <w:pPr>
        <w:spacing w:line="360" w:lineRule="auto"/>
        <w:ind w:firstLine="720"/>
        <w:jc w:val="left"/>
        <w:rPr>
          <w:rFonts w:hint="eastAsia" w:ascii="宋体" w:hAnsi="宋体" w:eastAsia="宋体" w:cs="宋体"/>
          <w:color w:val="auto"/>
          <w:sz w:val="28"/>
          <w:szCs w:val="28"/>
          <w:highlight w:val="none"/>
        </w:rPr>
      </w:pPr>
      <w:r>
        <w:rPr>
          <w:rFonts w:hint="eastAsia" w:ascii="宋体" w:hAnsi="宋体" w:eastAsia="宋体" w:cs="宋体"/>
          <w:b w:val="0"/>
          <w:bCs w:val="0"/>
          <w:color w:val="auto"/>
          <w:sz w:val="28"/>
          <w:szCs w:val="28"/>
          <w:highlight w:val="none"/>
        </w:rPr>
        <w:t>贵单位于</w:t>
      </w:r>
      <w:r>
        <w:rPr>
          <w:rFonts w:hint="eastAsia" w:ascii="宋体" w:hAnsi="宋体" w:eastAsia="宋体" w:cs="宋体"/>
          <w:b w:val="0"/>
          <w:bCs w:val="0"/>
          <w:color w:val="auto"/>
          <w:sz w:val="28"/>
          <w:szCs w:val="28"/>
          <w:highlight w:val="none"/>
          <w:u w:val="single"/>
          <w:lang w:val="en-US" w:eastAsia="zh-CN"/>
        </w:rPr>
        <w:t>2022</w:t>
      </w:r>
      <w:r>
        <w:rPr>
          <w:rFonts w:hint="eastAsia" w:ascii="宋体" w:hAnsi="宋体" w:eastAsia="宋体" w:cs="宋体"/>
          <w:b w:val="0"/>
          <w:bCs w:val="0"/>
          <w:color w:val="auto"/>
          <w:sz w:val="28"/>
          <w:szCs w:val="28"/>
          <w:highlight w:val="none"/>
          <w:u w:val="single"/>
        </w:rPr>
        <w:t>年    月    日</w:t>
      </w:r>
      <w:r>
        <w:rPr>
          <w:rFonts w:hint="eastAsia" w:ascii="宋体" w:hAnsi="宋体" w:eastAsia="宋体" w:cs="宋体"/>
          <w:b w:val="0"/>
          <w:bCs w:val="0"/>
          <w:color w:val="auto"/>
          <w:sz w:val="28"/>
          <w:szCs w:val="28"/>
          <w:highlight w:val="none"/>
        </w:rPr>
        <w:t>为</w:t>
      </w:r>
      <w:r>
        <w:rPr>
          <w:rFonts w:hint="eastAsia" w:ascii="宋体" w:hAnsi="宋体" w:eastAsia="宋体" w:cs="宋体"/>
          <w:b w:val="0"/>
          <w:bCs w:val="0"/>
          <w:color w:val="auto"/>
          <w:sz w:val="28"/>
          <w:szCs w:val="28"/>
          <w:highlight w:val="none"/>
          <w:u w:val="single"/>
        </w:rPr>
        <w:t xml:space="preserve">             </w:t>
      </w:r>
      <w:r>
        <w:rPr>
          <w:rFonts w:hint="eastAsia" w:ascii="宋体" w:hAnsi="宋体" w:eastAsia="宋体" w:cs="宋体"/>
          <w:b w:val="0"/>
          <w:bCs w:val="0"/>
          <w:color w:val="auto"/>
          <w:sz w:val="28"/>
          <w:szCs w:val="28"/>
          <w:highlight w:val="none"/>
        </w:rPr>
        <w:t>以人民币（大写）：</w:t>
      </w:r>
      <w:r>
        <w:rPr>
          <w:rFonts w:hint="eastAsia" w:ascii="宋体" w:hAnsi="宋体" w:eastAsia="宋体" w:cs="宋体"/>
          <w:b w:val="0"/>
          <w:bCs w:val="0"/>
          <w:color w:val="auto"/>
          <w:sz w:val="28"/>
          <w:szCs w:val="28"/>
          <w:highlight w:val="none"/>
          <w:u w:val="single"/>
        </w:rPr>
        <w:t xml:space="preserve">     元（</w:t>
      </w:r>
      <w:r>
        <w:rPr>
          <w:rFonts w:hint="eastAsia" w:ascii="宋体" w:hAnsi="宋体" w:eastAsia="宋体" w:cs="宋体"/>
          <w:b w:val="0"/>
          <w:bCs w:val="0"/>
          <w:color w:val="auto"/>
          <w:sz w:val="28"/>
          <w:szCs w:val="28"/>
          <w:highlight w:val="none"/>
          <w:u w:val="single"/>
          <w:lang w:val="en-US" w:eastAsia="zh-CN"/>
        </w:rPr>
        <w:t>小写</w:t>
      </w:r>
      <w:r>
        <w:rPr>
          <w:rFonts w:hint="eastAsia" w:ascii="宋体" w:hAnsi="宋体" w:eastAsia="宋体" w:cs="宋体"/>
          <w:b w:val="0"/>
          <w:bCs w:val="0"/>
          <w:color w:val="auto"/>
          <w:sz w:val="28"/>
          <w:szCs w:val="28"/>
          <w:highlight w:val="none"/>
          <w:u w:val="single"/>
        </w:rPr>
        <w:t>：RMB       万元）</w:t>
      </w:r>
      <w:r>
        <w:rPr>
          <w:rFonts w:hint="eastAsia" w:ascii="宋体" w:hAnsi="宋体" w:eastAsia="宋体" w:cs="宋体"/>
          <w:b w:val="0"/>
          <w:bCs w:val="0"/>
          <w:color w:val="auto"/>
          <w:sz w:val="28"/>
          <w:szCs w:val="28"/>
          <w:highlight w:val="none"/>
        </w:rPr>
        <w:t>所提交的投标书已被我方接受。</w:t>
      </w:r>
    </w:p>
    <w:p>
      <w:pPr>
        <w:keepNext w:val="0"/>
        <w:keepLines w:val="0"/>
        <w:pageBreakBefore w:val="0"/>
        <w:widowControl w:val="0"/>
        <w:kinsoku/>
        <w:wordWrap/>
        <w:overflowPunct/>
        <w:topLinePunct w:val="0"/>
        <w:autoSpaceDE/>
        <w:autoSpaceDN/>
        <w:bidi w:val="0"/>
        <w:adjustRightInd/>
        <w:snapToGrid/>
        <w:spacing w:line="620" w:lineRule="exact"/>
        <w:ind w:firstLine="6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请做好签署合同的准备。</w:t>
      </w:r>
    </w:p>
    <w:p>
      <w:pPr>
        <w:keepNext w:val="0"/>
        <w:keepLines w:val="0"/>
        <w:pageBreakBefore w:val="0"/>
        <w:widowControl w:val="0"/>
        <w:kinsoku/>
        <w:wordWrap/>
        <w:overflowPunct/>
        <w:topLinePunct w:val="0"/>
        <w:autoSpaceDE/>
        <w:autoSpaceDN/>
        <w:bidi w:val="0"/>
        <w:adjustRightInd/>
        <w:snapToGrid/>
        <w:spacing w:line="620" w:lineRule="exact"/>
        <w:ind w:firstLine="6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谨致。</w:t>
      </w:r>
    </w:p>
    <w:p>
      <w:pPr>
        <w:ind w:firstLine="600"/>
        <w:jc w:val="left"/>
        <w:rPr>
          <w:rFonts w:hint="eastAsia" w:ascii="宋体" w:hAnsi="宋体" w:eastAsia="宋体" w:cs="宋体"/>
          <w:color w:val="auto"/>
          <w:sz w:val="28"/>
          <w:szCs w:val="28"/>
          <w:highlight w:val="none"/>
        </w:rPr>
      </w:pPr>
    </w:p>
    <w:p>
      <w:pPr>
        <w:ind w:firstLine="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ind w:firstLine="600"/>
        <w:jc w:val="right"/>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 xml:space="preserve">  招标人：</w:t>
      </w:r>
      <w:r>
        <w:rPr>
          <w:rFonts w:hint="eastAsia" w:ascii="宋体" w:hAnsi="宋体" w:eastAsia="宋体" w:cs="宋体"/>
          <w:color w:val="auto"/>
          <w:sz w:val="28"/>
          <w:szCs w:val="28"/>
          <w:highlight w:val="none"/>
          <w:u w:val="single"/>
          <w:lang w:val="en-US" w:eastAsia="zh-CN"/>
        </w:rPr>
        <w:t>深圳市建筑工务署教育工程管理中心</w:t>
      </w:r>
    </w:p>
    <w:p>
      <w:pPr>
        <w:ind w:firstLine="6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ind w:firstLine="6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u w:val="single"/>
        </w:rPr>
        <w:t xml:space="preserve">             </w:t>
      </w:r>
    </w:p>
    <w:p>
      <w:pPr>
        <w:ind w:firstLine="6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（或委托代理人）：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rPr>
          <w:rFonts w:hint="eastAsia" w:ascii="宋体" w:hAnsi="宋体"/>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仿宋_GB2312" w:hAnsi="仿宋_GB2312" w:eastAsia="仿宋_GB2312" w:cs="仿宋_GB2312"/>
          <w:color w:val="auto"/>
          <w:sz w:val="28"/>
          <w:szCs w:val="28"/>
          <w:highlight w:val="none"/>
          <w:lang w:eastAsia="zh-CN"/>
        </w:rPr>
      </w:pPr>
    </w:p>
    <w:p>
      <w:pPr>
        <w:jc w:val="left"/>
        <w:rPr>
          <w:rFonts w:hint="eastAsia" w:ascii="宋体"/>
          <w:bCs/>
          <w:color w:val="auto"/>
          <w:sz w:val="28"/>
          <w:szCs w:val="28"/>
          <w:highlight w:val="none"/>
        </w:rPr>
      </w:pPr>
      <w:r>
        <w:rPr>
          <w:rFonts w:hint="eastAsia" w:ascii="宋体"/>
          <w:bCs/>
          <w:color w:val="auto"/>
          <w:sz w:val="28"/>
          <w:szCs w:val="28"/>
          <w:highlight w:val="none"/>
        </w:rPr>
        <w:t>附件</w:t>
      </w:r>
      <w:r>
        <w:rPr>
          <w:rFonts w:hint="eastAsia" w:ascii="宋体"/>
          <w:bCs/>
          <w:color w:val="auto"/>
          <w:sz w:val="28"/>
          <w:szCs w:val="28"/>
          <w:highlight w:val="none"/>
          <w:lang w:val="en-US" w:eastAsia="zh-CN"/>
        </w:rPr>
        <w:t>2</w:t>
      </w:r>
      <w:r>
        <w:rPr>
          <w:rFonts w:hint="eastAsia" w:ascii="宋体"/>
          <w:bCs/>
          <w:color w:val="auto"/>
          <w:sz w:val="28"/>
          <w:szCs w:val="28"/>
          <w:highlight w:val="none"/>
        </w:rPr>
        <w:t>：</w:t>
      </w:r>
    </w:p>
    <w:p>
      <w:pPr>
        <w:spacing w:line="360" w:lineRule="auto"/>
        <w:jc w:val="center"/>
        <w:rPr>
          <w:rFonts w:ascii="黑体" w:eastAsia="黑体"/>
          <w:b/>
          <w:bCs/>
          <w:color w:val="auto"/>
          <w:sz w:val="44"/>
          <w:highlight w:val="none"/>
        </w:rPr>
      </w:pPr>
      <w:r>
        <w:rPr>
          <w:rFonts w:hint="eastAsia" w:ascii="黑体" w:eastAsia="黑体"/>
          <w:b/>
          <w:bCs/>
          <w:color w:val="auto"/>
          <w:sz w:val="44"/>
          <w:highlight w:val="none"/>
        </w:rPr>
        <w:t>工程质量保修书</w:t>
      </w:r>
    </w:p>
    <w:p>
      <w:pPr>
        <w:pStyle w:val="10"/>
        <w:snapToGrid w:val="0"/>
        <w:spacing w:line="345" w:lineRule="auto"/>
        <w:jc w:val="center"/>
        <w:rPr>
          <w:rFonts w:ascii="黑体" w:eastAsia="黑体"/>
          <w:b/>
          <w:bCs/>
          <w:color w:val="auto"/>
          <w:sz w:val="44"/>
          <w:highlight w:val="none"/>
        </w:rPr>
      </w:pPr>
      <w:r>
        <w:rPr>
          <w:rFonts w:hint="eastAsia" w:ascii="黑体" w:eastAsia="黑体"/>
          <w:b/>
          <w:bCs/>
          <w:color w:val="auto"/>
          <w:sz w:val="44"/>
          <w:highlight w:val="none"/>
        </w:rPr>
        <w:t>（格式）</w:t>
      </w:r>
    </w:p>
    <w:p>
      <w:pPr>
        <w:pStyle w:val="10"/>
        <w:spacing w:line="360" w:lineRule="auto"/>
        <w:ind w:firstLine="400" w:firstLineChars="200"/>
        <w:jc w:val="left"/>
        <w:rPr>
          <w:color w:val="auto"/>
          <w:highlight w:val="none"/>
        </w:rPr>
      </w:pPr>
      <w:r>
        <w:rPr>
          <w:rFonts w:hint="eastAsia"/>
          <w:color w:val="auto"/>
          <w:highlight w:val="none"/>
        </w:rPr>
        <w:t>发包人（全称）：</w:t>
      </w:r>
    </w:p>
    <w:p>
      <w:pPr>
        <w:pStyle w:val="10"/>
        <w:spacing w:line="360" w:lineRule="auto"/>
        <w:ind w:firstLine="400" w:firstLineChars="200"/>
        <w:jc w:val="left"/>
        <w:rPr>
          <w:color w:val="auto"/>
          <w:highlight w:val="none"/>
        </w:rPr>
      </w:pPr>
      <w:r>
        <w:rPr>
          <w:rFonts w:hint="eastAsia"/>
          <w:color w:val="auto"/>
          <w:highlight w:val="none"/>
        </w:rPr>
        <w:t>承包人（全称）：</w:t>
      </w:r>
    </w:p>
    <w:p>
      <w:pPr>
        <w:pStyle w:val="10"/>
        <w:spacing w:before="240" w:line="360" w:lineRule="auto"/>
        <w:ind w:firstLine="400" w:firstLineChars="200"/>
        <w:jc w:val="left"/>
        <w:rPr>
          <w:rFonts w:hint="eastAsia"/>
          <w:color w:val="auto"/>
          <w:highlight w:val="none"/>
        </w:rPr>
      </w:pPr>
      <w:r>
        <w:rPr>
          <w:rFonts w:hint="eastAsia"/>
          <w:color w:val="auto"/>
          <w:highlight w:val="none"/>
        </w:rPr>
        <w:t>为保证（工程名称）在合理使用期限内正常使用，发包人、承包人根据《中华人民共和国建筑法》和《建设工程质量管理条例》经协商一致，对</w:t>
      </w:r>
      <w:r>
        <w:rPr>
          <w:rFonts w:hAnsi="宋体"/>
          <w:color w:val="auto"/>
          <w:highlight w:val="none"/>
        </w:rPr>
        <w:t>（工程名称）</w:t>
      </w:r>
      <w:r>
        <w:rPr>
          <w:rFonts w:hint="eastAsia"/>
          <w:color w:val="auto"/>
          <w:highlight w:val="none"/>
        </w:rPr>
        <w:t>签订工程质量保修责任书。</w:t>
      </w:r>
    </w:p>
    <w:p>
      <w:pPr>
        <w:pStyle w:val="10"/>
        <w:spacing w:before="240" w:line="360" w:lineRule="auto"/>
        <w:ind w:firstLine="400" w:firstLineChars="200"/>
        <w:jc w:val="left"/>
        <w:rPr>
          <w:rFonts w:hint="eastAsia"/>
          <w:color w:val="auto"/>
          <w:highlight w:val="none"/>
        </w:rPr>
      </w:pPr>
    </w:p>
    <w:p>
      <w:pPr>
        <w:pStyle w:val="10"/>
        <w:spacing w:line="360" w:lineRule="auto"/>
        <w:ind w:firstLine="402" w:firstLineChars="200"/>
        <w:jc w:val="left"/>
        <w:rPr>
          <w:b/>
          <w:bCs/>
          <w:color w:val="auto"/>
          <w:highlight w:val="none"/>
        </w:rPr>
      </w:pPr>
      <w:r>
        <w:rPr>
          <w:rFonts w:hint="eastAsia"/>
          <w:b/>
          <w:bCs/>
          <w:color w:val="auto"/>
          <w:highlight w:val="none"/>
        </w:rPr>
        <w:t>一、工程质量保修范围和内容</w:t>
      </w:r>
    </w:p>
    <w:p>
      <w:pPr>
        <w:pStyle w:val="10"/>
        <w:spacing w:line="360" w:lineRule="auto"/>
        <w:ind w:firstLine="400" w:firstLineChars="200"/>
        <w:jc w:val="left"/>
        <w:rPr>
          <w:color w:val="auto"/>
          <w:highlight w:val="none"/>
        </w:rPr>
      </w:pPr>
      <w:r>
        <w:rPr>
          <w:rFonts w:hint="eastAsia"/>
          <w:color w:val="auto"/>
          <w:highlight w:val="none"/>
        </w:rPr>
        <w:t>承包人在质量保修期内，按照有关法律、法规、规章的管理规定和双方约定，承担本工程质量保修责任。</w:t>
      </w:r>
    </w:p>
    <w:p>
      <w:pPr>
        <w:pStyle w:val="10"/>
        <w:spacing w:line="360" w:lineRule="auto"/>
        <w:ind w:firstLine="400" w:firstLineChars="200"/>
        <w:jc w:val="left"/>
        <w:rPr>
          <w:color w:val="auto"/>
          <w:highlight w:val="none"/>
        </w:rPr>
      </w:pPr>
      <w:r>
        <w:rPr>
          <w:rFonts w:hint="eastAsia"/>
          <w:color w:val="auto"/>
          <w:highlight w:val="none"/>
        </w:rPr>
        <w:t>质量保修范围包括地基基础工程、主体结构工程，屋面防水工程、有防水要求的卫生间、房间和外墙面的防渗漏，电气管线、给排水管道、设备安装、空调及制冷系统工程、桥梁、市政道路路基、路面以及双方约定的其他项目。具体保修的内容，双方约定如下：</w:t>
      </w:r>
    </w:p>
    <w:p>
      <w:pPr>
        <w:pStyle w:val="10"/>
        <w:spacing w:line="360" w:lineRule="auto"/>
        <w:ind w:firstLine="480"/>
        <w:jc w:val="left"/>
        <w:rPr>
          <w:rFonts w:hint="eastAsia" w:hAnsi="宋体"/>
          <w:color w:val="auto"/>
          <w:highlight w:val="none"/>
          <w:u w:val="single"/>
        </w:rPr>
      </w:pPr>
      <w:r>
        <w:rPr>
          <w:rFonts w:hint="eastAsia" w:hAnsi="宋体"/>
          <w:color w:val="auto"/>
          <w:highlight w:val="none"/>
          <w:u w:val="single"/>
        </w:rPr>
        <w:t>承包范围内的工作内容。</w:t>
      </w:r>
    </w:p>
    <w:p>
      <w:pPr>
        <w:pStyle w:val="10"/>
        <w:spacing w:line="360" w:lineRule="auto"/>
        <w:ind w:firstLine="480"/>
        <w:jc w:val="left"/>
        <w:rPr>
          <w:rFonts w:hint="eastAsia" w:hAnsi="宋体"/>
          <w:color w:val="auto"/>
          <w:highlight w:val="none"/>
        </w:rPr>
      </w:pPr>
    </w:p>
    <w:p>
      <w:pPr>
        <w:pStyle w:val="10"/>
        <w:spacing w:line="360" w:lineRule="auto"/>
        <w:ind w:firstLine="402" w:firstLineChars="200"/>
        <w:jc w:val="left"/>
        <w:rPr>
          <w:b/>
          <w:bCs/>
          <w:color w:val="auto"/>
          <w:highlight w:val="none"/>
        </w:rPr>
      </w:pPr>
      <w:r>
        <w:rPr>
          <w:rFonts w:hint="eastAsia"/>
          <w:b/>
          <w:bCs/>
          <w:color w:val="auto"/>
          <w:highlight w:val="none"/>
        </w:rPr>
        <w:t>二、质量保修期</w:t>
      </w:r>
    </w:p>
    <w:p>
      <w:pPr>
        <w:pStyle w:val="10"/>
        <w:spacing w:line="360" w:lineRule="auto"/>
        <w:ind w:firstLine="400" w:firstLineChars="200"/>
        <w:jc w:val="left"/>
        <w:rPr>
          <w:color w:val="auto"/>
          <w:highlight w:val="none"/>
        </w:rPr>
      </w:pPr>
      <w:r>
        <w:rPr>
          <w:rFonts w:hint="eastAsia"/>
          <w:color w:val="auto"/>
          <w:highlight w:val="none"/>
        </w:rPr>
        <w:t>质量保修期从工程竣工验收合格之日算起。分单项竣工验收的工程，按单项工程分别计算质量保修期。</w:t>
      </w:r>
    </w:p>
    <w:p>
      <w:pPr>
        <w:pStyle w:val="10"/>
        <w:spacing w:line="360" w:lineRule="auto"/>
        <w:ind w:firstLine="400" w:firstLineChars="200"/>
        <w:jc w:val="left"/>
        <w:rPr>
          <w:color w:val="auto"/>
          <w:highlight w:val="none"/>
        </w:rPr>
      </w:pPr>
      <w:r>
        <w:rPr>
          <w:rFonts w:hint="eastAsia"/>
          <w:color w:val="auto"/>
          <w:highlight w:val="none"/>
        </w:rPr>
        <w:t>双方根据《建设工程质量管理条例》规定，结合该工程约定质量保修期如下：</w:t>
      </w:r>
    </w:p>
    <w:p>
      <w:pPr>
        <w:pStyle w:val="10"/>
        <w:spacing w:line="360" w:lineRule="auto"/>
        <w:ind w:firstLine="400" w:firstLineChars="200"/>
        <w:jc w:val="left"/>
        <w:rPr>
          <w:color w:val="auto"/>
          <w:highlight w:val="none"/>
        </w:rPr>
      </w:pPr>
      <w:r>
        <w:rPr>
          <w:rFonts w:hint="eastAsia"/>
          <w:color w:val="auto"/>
          <w:highlight w:val="none"/>
        </w:rPr>
        <w:t>1、基础设施工程、房屋建筑的地基基础工程和主体结构工程为设计文件规定的（50年、70年、100年）合理使用年限，屋面防水工程、有防水要求的卫生间、房间和外墙面的防渗漏为5年；</w:t>
      </w:r>
    </w:p>
    <w:p>
      <w:pPr>
        <w:pStyle w:val="10"/>
        <w:spacing w:line="360" w:lineRule="auto"/>
        <w:ind w:firstLine="400" w:firstLineChars="200"/>
        <w:jc w:val="left"/>
        <w:rPr>
          <w:color w:val="auto"/>
          <w:highlight w:val="none"/>
        </w:rPr>
      </w:pPr>
      <w:r>
        <w:rPr>
          <w:rFonts w:hint="eastAsia"/>
          <w:color w:val="auto"/>
          <w:highlight w:val="none"/>
        </w:rPr>
        <w:t>2、电气管线、给排水管道、设备安装工程为2年；</w:t>
      </w:r>
    </w:p>
    <w:p>
      <w:pPr>
        <w:pStyle w:val="10"/>
        <w:spacing w:line="360" w:lineRule="auto"/>
        <w:ind w:firstLine="400" w:firstLineChars="200"/>
        <w:jc w:val="left"/>
        <w:rPr>
          <w:color w:val="auto"/>
          <w:highlight w:val="none"/>
        </w:rPr>
      </w:pPr>
      <w:r>
        <w:rPr>
          <w:rFonts w:hint="eastAsia"/>
          <w:color w:val="auto"/>
          <w:highlight w:val="none"/>
        </w:rPr>
        <w:t>3、空调及制冷为2个供冷期；</w:t>
      </w:r>
    </w:p>
    <w:p>
      <w:pPr>
        <w:pStyle w:val="10"/>
        <w:spacing w:line="360" w:lineRule="auto"/>
        <w:ind w:firstLine="400" w:firstLineChars="200"/>
        <w:jc w:val="left"/>
        <w:rPr>
          <w:color w:val="auto"/>
          <w:highlight w:val="none"/>
        </w:rPr>
      </w:pPr>
      <w:r>
        <w:rPr>
          <w:rFonts w:hint="eastAsia"/>
          <w:color w:val="auto"/>
          <w:highlight w:val="none"/>
        </w:rPr>
        <w:t>4、室外的给排水和小区道路等配套工程为2年；</w:t>
      </w:r>
    </w:p>
    <w:p>
      <w:pPr>
        <w:pStyle w:val="10"/>
        <w:spacing w:line="360" w:lineRule="auto"/>
        <w:ind w:firstLine="400" w:firstLineChars="200"/>
        <w:jc w:val="left"/>
        <w:rPr>
          <w:color w:val="auto"/>
          <w:highlight w:val="none"/>
        </w:rPr>
      </w:pPr>
      <w:r>
        <w:rPr>
          <w:rFonts w:hint="eastAsia"/>
          <w:color w:val="auto"/>
          <w:highlight w:val="none"/>
        </w:rPr>
        <w:t>5、市政桥梁工程为年；</w:t>
      </w:r>
    </w:p>
    <w:p>
      <w:pPr>
        <w:pStyle w:val="10"/>
        <w:spacing w:line="360" w:lineRule="auto"/>
        <w:ind w:firstLine="400" w:firstLineChars="200"/>
        <w:jc w:val="left"/>
        <w:rPr>
          <w:color w:val="auto"/>
          <w:highlight w:val="none"/>
        </w:rPr>
      </w:pPr>
      <w:r>
        <w:rPr>
          <w:rFonts w:hint="eastAsia"/>
          <w:color w:val="auto"/>
          <w:highlight w:val="none"/>
        </w:rPr>
        <w:t>6、市政道路路基为年；</w:t>
      </w:r>
    </w:p>
    <w:p>
      <w:pPr>
        <w:pStyle w:val="10"/>
        <w:spacing w:line="360" w:lineRule="auto"/>
        <w:ind w:firstLine="400" w:firstLineChars="200"/>
        <w:jc w:val="left"/>
        <w:rPr>
          <w:color w:val="auto"/>
          <w:highlight w:val="none"/>
        </w:rPr>
      </w:pPr>
      <w:r>
        <w:rPr>
          <w:rFonts w:hint="eastAsia"/>
          <w:color w:val="auto"/>
          <w:highlight w:val="none"/>
        </w:rPr>
        <w:t>7、市政道路路面为年；</w:t>
      </w:r>
    </w:p>
    <w:p>
      <w:pPr>
        <w:pStyle w:val="10"/>
        <w:spacing w:line="360" w:lineRule="auto"/>
        <w:ind w:firstLine="400" w:firstLineChars="200"/>
        <w:jc w:val="left"/>
        <w:rPr>
          <w:color w:val="auto"/>
          <w:highlight w:val="none"/>
        </w:rPr>
      </w:pPr>
      <w:r>
        <w:rPr>
          <w:rFonts w:hint="eastAsia"/>
          <w:color w:val="auto"/>
          <w:highlight w:val="none"/>
        </w:rPr>
        <w:t>8、其他项目保修期限约定如下：</w:t>
      </w:r>
      <w:r>
        <w:rPr>
          <w:rFonts w:hint="eastAsia"/>
          <w:color w:val="auto"/>
          <w:highlight w:val="none"/>
          <w:u w:val="single"/>
        </w:rPr>
        <w:t>2年。</w:t>
      </w:r>
    </w:p>
    <w:p>
      <w:pPr>
        <w:pStyle w:val="10"/>
        <w:spacing w:line="360" w:lineRule="auto"/>
        <w:jc w:val="left"/>
        <w:rPr>
          <w:rFonts w:hint="eastAsia" w:hAnsi="宋体"/>
          <w:color w:val="auto"/>
          <w:highlight w:val="none"/>
        </w:rPr>
      </w:pPr>
    </w:p>
    <w:p>
      <w:pPr>
        <w:pStyle w:val="10"/>
        <w:pBdr>
          <w:bottom w:val="single" w:color="auto" w:sz="12" w:space="9"/>
        </w:pBdr>
        <w:spacing w:line="360" w:lineRule="auto"/>
        <w:ind w:firstLine="480"/>
        <w:jc w:val="left"/>
        <w:rPr>
          <w:b/>
          <w:bCs/>
          <w:color w:val="auto"/>
          <w:highlight w:val="none"/>
        </w:rPr>
      </w:pPr>
      <w:r>
        <w:rPr>
          <w:rFonts w:hint="eastAsia"/>
          <w:b/>
          <w:bCs/>
          <w:color w:val="auto"/>
          <w:highlight w:val="none"/>
        </w:rPr>
        <w:t>三、质量保修责任</w:t>
      </w:r>
    </w:p>
    <w:p>
      <w:pPr>
        <w:pStyle w:val="10"/>
        <w:pBdr>
          <w:bottom w:val="single" w:color="auto" w:sz="12" w:space="9"/>
        </w:pBdr>
        <w:spacing w:line="360" w:lineRule="auto"/>
        <w:ind w:firstLine="480"/>
        <w:jc w:val="left"/>
        <w:rPr>
          <w:color w:val="auto"/>
          <w:spacing w:val="-4"/>
          <w:highlight w:val="none"/>
        </w:rPr>
      </w:pPr>
      <w:r>
        <w:rPr>
          <w:rFonts w:hint="eastAsia"/>
          <w:color w:val="auto"/>
          <w:highlight w:val="none"/>
        </w:rPr>
        <w:t>1、属于</w:t>
      </w:r>
      <w:r>
        <w:rPr>
          <w:rFonts w:hint="eastAsia"/>
          <w:color w:val="auto"/>
          <w:spacing w:val="-4"/>
          <w:highlight w:val="none"/>
        </w:rPr>
        <w:t>保修范围、内容的项目，承包人应当在接到保修通知之日起7天内派人保修。承包人不在约定期限内派人保修的，发包人可以委托他人修理,保修费用从质量保修金内扣除。</w:t>
      </w:r>
    </w:p>
    <w:p>
      <w:pPr>
        <w:pStyle w:val="10"/>
        <w:pBdr>
          <w:bottom w:val="single" w:color="auto" w:sz="12" w:space="9"/>
        </w:pBdr>
        <w:spacing w:line="360" w:lineRule="auto"/>
        <w:ind w:firstLine="480"/>
        <w:jc w:val="left"/>
        <w:rPr>
          <w:color w:val="auto"/>
          <w:highlight w:val="none"/>
        </w:rPr>
      </w:pPr>
      <w:r>
        <w:rPr>
          <w:rFonts w:hint="eastAsia"/>
          <w:color w:val="auto"/>
          <w:highlight w:val="none"/>
        </w:rPr>
        <w:t>2、发生紧急抢修事故的（如给排水跑水、燃气漏气等），承包人接到事故通知后，应立即到达事故现场抢修。非承包人施工质量引起的事故，抢修费用由发包人承担。</w:t>
      </w:r>
    </w:p>
    <w:p>
      <w:pPr>
        <w:pStyle w:val="10"/>
        <w:pBdr>
          <w:bottom w:val="single" w:color="auto" w:sz="12" w:space="9"/>
        </w:pBdr>
        <w:spacing w:line="360" w:lineRule="auto"/>
        <w:ind w:firstLine="480"/>
        <w:jc w:val="left"/>
        <w:rPr>
          <w:color w:val="auto"/>
          <w:highlight w:val="none"/>
        </w:rPr>
      </w:pPr>
      <w:r>
        <w:rPr>
          <w:rFonts w:hint="eastAsia"/>
          <w:color w:val="auto"/>
          <w:highlight w:val="none"/>
        </w:rPr>
        <w:t>3、对于涉及结构安全的质量问题，应当按照《房屋建筑工程质量保修办法》的规定，立即向所属建设行政主管部门报告，采取安全防范措施；由原设计单位或者具有相应资质等级的设计单位提出保修方案，承包人实施保修。</w:t>
      </w:r>
    </w:p>
    <w:p>
      <w:pPr>
        <w:pStyle w:val="10"/>
        <w:pBdr>
          <w:bottom w:val="single" w:color="auto" w:sz="12" w:space="9"/>
        </w:pBdr>
        <w:spacing w:line="360" w:lineRule="auto"/>
        <w:ind w:firstLine="480"/>
        <w:jc w:val="left"/>
        <w:rPr>
          <w:color w:val="auto"/>
          <w:highlight w:val="none"/>
        </w:rPr>
      </w:pPr>
      <w:r>
        <w:rPr>
          <w:rFonts w:hint="eastAsia"/>
          <w:color w:val="auto"/>
          <w:highlight w:val="none"/>
        </w:rPr>
        <w:t>4、质量保修完成后，由发包人组织验收。</w:t>
      </w:r>
    </w:p>
    <w:p>
      <w:pPr>
        <w:pStyle w:val="10"/>
        <w:pBdr>
          <w:bottom w:val="single" w:color="auto" w:sz="12" w:space="9"/>
        </w:pBdr>
        <w:spacing w:line="360" w:lineRule="auto"/>
        <w:ind w:firstLine="480"/>
        <w:jc w:val="left"/>
        <w:rPr>
          <w:color w:val="auto"/>
          <w:highlight w:val="none"/>
        </w:rPr>
      </w:pPr>
    </w:p>
    <w:p>
      <w:pPr>
        <w:pStyle w:val="10"/>
        <w:pBdr>
          <w:bottom w:val="single" w:color="auto" w:sz="12" w:space="9"/>
        </w:pBdr>
        <w:spacing w:line="360" w:lineRule="auto"/>
        <w:ind w:firstLine="480"/>
        <w:jc w:val="left"/>
        <w:rPr>
          <w:b/>
          <w:bCs/>
          <w:color w:val="auto"/>
          <w:highlight w:val="none"/>
        </w:rPr>
      </w:pPr>
      <w:r>
        <w:rPr>
          <w:rFonts w:hint="eastAsia"/>
          <w:b/>
          <w:bCs/>
          <w:color w:val="auto"/>
          <w:highlight w:val="none"/>
        </w:rPr>
        <w:t>四、质量保修金的支付</w:t>
      </w:r>
    </w:p>
    <w:p>
      <w:pPr>
        <w:pStyle w:val="10"/>
        <w:pBdr>
          <w:bottom w:val="single" w:color="auto" w:sz="12" w:space="9"/>
        </w:pBdr>
        <w:spacing w:line="360" w:lineRule="auto"/>
        <w:ind w:firstLine="480"/>
        <w:jc w:val="left"/>
        <w:rPr>
          <w:color w:val="auto"/>
          <w:highlight w:val="none"/>
        </w:rPr>
      </w:pPr>
      <w:r>
        <w:rPr>
          <w:rFonts w:hint="eastAsia"/>
          <w:color w:val="auto"/>
          <w:highlight w:val="none"/>
        </w:rPr>
        <w:t>工程质量保修金按工程价款结算总额</w:t>
      </w:r>
      <w:r>
        <w:rPr>
          <w:color w:val="auto"/>
          <w:highlight w:val="none"/>
          <w:u w:val="single"/>
        </w:rPr>
        <w:t xml:space="preserve"> 3 </w:t>
      </w:r>
      <w:r>
        <w:rPr>
          <w:color w:val="auto"/>
          <w:highlight w:val="none"/>
        </w:rPr>
        <w:t>%</w:t>
      </w:r>
      <w:r>
        <w:rPr>
          <w:rFonts w:hint="eastAsia"/>
          <w:color w:val="auto"/>
          <w:highlight w:val="none"/>
        </w:rPr>
        <w:t>左右预留，本工程约定的工程质量保修金为工程价款结算总额的</w:t>
      </w:r>
      <w:r>
        <w:rPr>
          <w:color w:val="auto"/>
          <w:highlight w:val="none"/>
          <w:u w:val="single"/>
        </w:rPr>
        <w:t xml:space="preserve"> 3 </w:t>
      </w:r>
      <w:r>
        <w:rPr>
          <w:rFonts w:hint="eastAsia"/>
          <w:color w:val="auto"/>
          <w:highlight w:val="none"/>
        </w:rPr>
        <w:t>%。</w:t>
      </w:r>
    </w:p>
    <w:p>
      <w:pPr>
        <w:pStyle w:val="10"/>
        <w:pBdr>
          <w:bottom w:val="single" w:color="auto" w:sz="12" w:space="9"/>
        </w:pBdr>
        <w:spacing w:line="360" w:lineRule="auto"/>
        <w:ind w:firstLine="480"/>
        <w:jc w:val="left"/>
        <w:rPr>
          <w:color w:val="auto"/>
          <w:highlight w:val="none"/>
        </w:rPr>
      </w:pPr>
      <w:r>
        <w:rPr>
          <w:rFonts w:hint="eastAsia"/>
          <w:color w:val="auto"/>
          <w:highlight w:val="none"/>
        </w:rPr>
        <w:t>本工程双方约定承包人向发包人支付工程质量保修金金额为（大写），发包人从结算价中扣留。</w:t>
      </w:r>
    </w:p>
    <w:p>
      <w:pPr>
        <w:pStyle w:val="10"/>
        <w:pBdr>
          <w:bottom w:val="single" w:color="auto" w:sz="12" w:space="9"/>
        </w:pBdr>
        <w:spacing w:line="360" w:lineRule="auto"/>
        <w:ind w:firstLine="480"/>
        <w:jc w:val="left"/>
        <w:rPr>
          <w:color w:val="auto"/>
          <w:highlight w:val="none"/>
        </w:rPr>
      </w:pPr>
      <w:r>
        <w:rPr>
          <w:rFonts w:hint="eastAsia"/>
          <w:color w:val="auto"/>
          <w:highlight w:val="none"/>
        </w:rPr>
        <w:t>质量保修金银行利率为：</w:t>
      </w:r>
      <w:r>
        <w:rPr>
          <w:rFonts w:hint="eastAsia"/>
          <w:color w:val="auto"/>
          <w:highlight w:val="none"/>
          <w:u w:val="single"/>
        </w:rPr>
        <w:t xml:space="preserve">  零  </w:t>
      </w:r>
    </w:p>
    <w:p>
      <w:pPr>
        <w:pStyle w:val="10"/>
        <w:pBdr>
          <w:bottom w:val="single" w:color="auto" w:sz="12" w:space="9"/>
        </w:pBdr>
        <w:spacing w:line="360" w:lineRule="auto"/>
        <w:ind w:firstLine="480"/>
        <w:jc w:val="left"/>
        <w:rPr>
          <w:color w:val="auto"/>
          <w:highlight w:val="none"/>
        </w:rPr>
      </w:pPr>
    </w:p>
    <w:p>
      <w:pPr>
        <w:pStyle w:val="10"/>
        <w:pBdr>
          <w:bottom w:val="single" w:color="auto" w:sz="12" w:space="9"/>
        </w:pBdr>
        <w:spacing w:line="360" w:lineRule="auto"/>
        <w:ind w:firstLine="480"/>
        <w:jc w:val="left"/>
        <w:rPr>
          <w:b/>
          <w:bCs/>
          <w:color w:val="auto"/>
          <w:highlight w:val="none"/>
        </w:rPr>
      </w:pPr>
      <w:r>
        <w:rPr>
          <w:rFonts w:hint="eastAsia"/>
          <w:b/>
          <w:bCs/>
          <w:color w:val="auto"/>
          <w:highlight w:val="none"/>
        </w:rPr>
        <w:t>五、质量保修金的返还</w:t>
      </w:r>
    </w:p>
    <w:p>
      <w:pPr>
        <w:pStyle w:val="10"/>
        <w:pBdr>
          <w:bottom w:val="single" w:color="auto" w:sz="12" w:space="9"/>
        </w:pBdr>
        <w:spacing w:line="360" w:lineRule="auto"/>
        <w:ind w:firstLine="480"/>
        <w:jc w:val="left"/>
        <w:rPr>
          <w:color w:val="auto"/>
          <w:highlight w:val="none"/>
        </w:rPr>
      </w:pPr>
      <w:r>
        <w:rPr>
          <w:rFonts w:hint="eastAsia"/>
          <w:color w:val="auto"/>
          <w:highlight w:val="none"/>
        </w:rPr>
        <w:t>发包人在工程质量验收满二年后第14天内，将剩余保修金返还给承包人，但并不免除承包人在保修期内的保修责任。</w:t>
      </w:r>
    </w:p>
    <w:p>
      <w:pPr>
        <w:pStyle w:val="10"/>
        <w:pBdr>
          <w:bottom w:val="single" w:color="auto" w:sz="12" w:space="9"/>
        </w:pBdr>
        <w:spacing w:line="360" w:lineRule="auto"/>
        <w:ind w:firstLine="480"/>
        <w:jc w:val="left"/>
        <w:rPr>
          <w:color w:val="auto"/>
          <w:highlight w:val="none"/>
        </w:rPr>
      </w:pPr>
    </w:p>
    <w:p>
      <w:pPr>
        <w:pStyle w:val="10"/>
        <w:pBdr>
          <w:bottom w:val="single" w:color="auto" w:sz="12" w:space="9"/>
        </w:pBdr>
        <w:spacing w:before="156" w:beforeLines="50" w:line="360" w:lineRule="auto"/>
        <w:ind w:firstLine="482"/>
        <w:jc w:val="left"/>
        <w:rPr>
          <w:color w:val="auto"/>
          <w:highlight w:val="none"/>
        </w:rPr>
      </w:pPr>
      <w:r>
        <w:rPr>
          <w:rFonts w:hint="eastAsia"/>
          <w:b/>
          <w:bCs/>
          <w:color w:val="auto"/>
          <w:highlight w:val="none"/>
        </w:rPr>
        <w:t>六、其他</w:t>
      </w:r>
    </w:p>
    <w:p>
      <w:pPr>
        <w:pStyle w:val="10"/>
        <w:pBdr>
          <w:bottom w:val="single" w:color="auto" w:sz="12" w:space="9"/>
        </w:pBdr>
        <w:spacing w:line="360" w:lineRule="auto"/>
        <w:ind w:firstLine="480"/>
        <w:jc w:val="left"/>
        <w:rPr>
          <w:color w:val="auto"/>
          <w:highlight w:val="none"/>
        </w:rPr>
      </w:pPr>
      <w:r>
        <w:rPr>
          <w:rFonts w:hint="eastAsia"/>
          <w:color w:val="auto"/>
          <w:highlight w:val="none"/>
        </w:rPr>
        <w:t>双方约定的其他工程质量保修事项：</w:t>
      </w:r>
    </w:p>
    <w:p>
      <w:pPr>
        <w:pStyle w:val="10"/>
        <w:pBdr>
          <w:bottom w:val="single" w:color="auto" w:sz="12" w:space="9"/>
        </w:pBdr>
        <w:spacing w:line="360" w:lineRule="auto"/>
        <w:ind w:firstLine="480"/>
        <w:jc w:val="left"/>
        <w:rPr>
          <w:color w:val="auto"/>
          <w:highlight w:val="none"/>
        </w:rPr>
      </w:pPr>
    </w:p>
    <w:p>
      <w:pPr>
        <w:pStyle w:val="10"/>
        <w:pBdr>
          <w:bottom w:val="single" w:color="auto" w:sz="12" w:space="9"/>
        </w:pBdr>
        <w:spacing w:line="360" w:lineRule="auto"/>
        <w:ind w:firstLine="480"/>
        <w:jc w:val="left"/>
        <w:rPr>
          <w:color w:val="auto"/>
          <w:highlight w:val="none"/>
        </w:rPr>
      </w:pPr>
    </w:p>
    <w:p>
      <w:pPr>
        <w:pStyle w:val="10"/>
        <w:pBdr>
          <w:bottom w:val="single" w:color="auto" w:sz="12" w:space="9"/>
        </w:pBdr>
        <w:spacing w:line="360" w:lineRule="auto"/>
        <w:ind w:firstLine="480"/>
        <w:jc w:val="left"/>
        <w:rPr>
          <w:color w:val="auto"/>
          <w:highlight w:val="none"/>
        </w:rPr>
      </w:pPr>
    </w:p>
    <w:p>
      <w:pPr>
        <w:pStyle w:val="10"/>
        <w:spacing w:line="360" w:lineRule="auto"/>
        <w:ind w:firstLine="480"/>
        <w:jc w:val="left"/>
        <w:rPr>
          <w:color w:val="auto"/>
          <w:highlight w:val="none"/>
        </w:rPr>
      </w:pPr>
    </w:p>
    <w:p>
      <w:pPr>
        <w:pStyle w:val="10"/>
        <w:pBdr>
          <w:bottom w:val="single" w:color="auto" w:sz="12" w:space="31"/>
        </w:pBdr>
        <w:spacing w:line="360" w:lineRule="auto"/>
        <w:ind w:firstLine="480"/>
        <w:jc w:val="left"/>
        <w:rPr>
          <w:color w:val="auto"/>
          <w:highlight w:val="none"/>
        </w:rPr>
      </w:pPr>
    </w:p>
    <w:p>
      <w:pPr>
        <w:pStyle w:val="10"/>
        <w:pBdr>
          <w:bottom w:val="single" w:color="auto" w:sz="12" w:space="31"/>
        </w:pBdr>
        <w:spacing w:line="360" w:lineRule="auto"/>
        <w:ind w:firstLine="480"/>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9051290</wp:posOffset>
                </wp:positionV>
                <wp:extent cx="5600700" cy="396240"/>
                <wp:effectExtent l="4445" t="4445" r="14605" b="18415"/>
                <wp:wrapNone/>
                <wp:docPr id="152" name="矩形 152"/>
                <wp:cNvGraphicFramePr/>
                <a:graphic xmlns:a="http://schemas.openxmlformats.org/drawingml/2006/main">
                  <a:graphicData uri="http://schemas.microsoft.com/office/word/2010/wordprocessingShape">
                    <wps:wsp>
                      <wps:cNvSpPr>
                        <a:spLocks noChangeArrowheads="1"/>
                      </wps:cNvSpPr>
                      <wps:spPr bwMode="auto">
                        <a:xfrm>
                          <a:off x="0" y="0"/>
                          <a:ext cx="5600700" cy="39624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712.7pt;height:31.2pt;width:441pt;z-index:251661312;mso-width-relative:page;mso-height-relative:page;" fillcolor="#FFFFFF" filled="t" stroked="t" coordsize="21600,21600" o:gfxdata="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FH3EUdYAAAAKAQAADwAAAAAAAAABACAAAAAiAAAAZHJzL2Rvd25y&#10;ZXYueG1sUEsBAhQAFAAAAAgAh07iQB10ufg5AgAAgQQAAA4AAAAAAAAAAQAgAAAAJQEAAGRycy9l&#10;Mm9Eb2MueG1sUEsFBgAAAAAGAAYAWQEAANAFAAAAAA==&#10;">
                <v:fill on="t" focussize="0,0"/>
                <v:stroke color="#FFFFFF" miterlimit="8" joinstyle="miter"/>
                <v:imagedata o:title=""/>
                <o:lock v:ext="edit" aspectratio="f"/>
              </v:rect>
            </w:pict>
          </mc:Fallback>
        </mc:AlternateContent>
      </w:r>
    </w:p>
    <w:p>
      <w:pPr>
        <w:pStyle w:val="10"/>
        <w:pBdr>
          <w:bottom w:val="single" w:color="auto" w:sz="12" w:space="31"/>
        </w:pBdr>
        <w:spacing w:line="360" w:lineRule="auto"/>
        <w:ind w:firstLine="480"/>
        <w:jc w:val="left"/>
        <w:rPr>
          <w:color w:val="auto"/>
          <w:highlight w:val="none"/>
        </w:rPr>
      </w:pPr>
      <w:r>
        <w:rPr>
          <w:rFonts w:hint="eastAsia"/>
          <w:color w:val="auto"/>
          <w:highlight w:val="none"/>
        </w:rPr>
        <w:t>本工程质量保修书作为施工合同附件（由施工合同发包人承包人双方共同签署），其有效期限至保修期满。</w:t>
      </w:r>
    </w:p>
    <w:p>
      <w:pPr>
        <w:pStyle w:val="10"/>
        <w:pBdr>
          <w:bottom w:val="single" w:color="auto" w:sz="12" w:space="31"/>
        </w:pBdr>
        <w:spacing w:line="360" w:lineRule="auto"/>
        <w:ind w:firstLine="480"/>
        <w:jc w:val="left"/>
        <w:rPr>
          <w:color w:val="auto"/>
          <w:highlight w:val="none"/>
        </w:rPr>
      </w:pPr>
    </w:p>
    <w:p>
      <w:pPr>
        <w:pStyle w:val="10"/>
        <w:pBdr>
          <w:bottom w:val="single" w:color="auto" w:sz="12" w:space="31"/>
        </w:pBdr>
        <w:spacing w:line="360" w:lineRule="auto"/>
        <w:ind w:firstLine="480"/>
        <w:jc w:val="left"/>
        <w:rPr>
          <w:color w:val="auto"/>
          <w:highlight w:val="none"/>
        </w:rPr>
      </w:pPr>
    </w:p>
    <w:p>
      <w:pPr>
        <w:pStyle w:val="10"/>
        <w:pBdr>
          <w:bottom w:val="single" w:color="auto" w:sz="12" w:space="31"/>
        </w:pBdr>
        <w:spacing w:line="360" w:lineRule="auto"/>
        <w:ind w:firstLine="480"/>
        <w:jc w:val="left"/>
        <w:rPr>
          <w:color w:val="auto"/>
          <w:highlight w:val="none"/>
        </w:rPr>
      </w:pPr>
      <w:r>
        <w:rPr>
          <w:rFonts w:hint="eastAsia"/>
          <w:color w:val="auto"/>
          <w:highlight w:val="none"/>
        </w:rPr>
        <w:t>发</w:t>
      </w:r>
      <w:r>
        <w:rPr>
          <w:color w:val="auto"/>
          <w:highlight w:val="none"/>
        </w:rPr>
        <w:t xml:space="preserve">  </w:t>
      </w:r>
      <w:r>
        <w:rPr>
          <w:rFonts w:hint="eastAsia"/>
          <w:color w:val="auto"/>
          <w:highlight w:val="none"/>
        </w:rPr>
        <w:t>包</w:t>
      </w:r>
      <w:r>
        <w:rPr>
          <w:color w:val="auto"/>
          <w:highlight w:val="none"/>
        </w:rPr>
        <w:t xml:space="preserve">  </w:t>
      </w:r>
      <w:r>
        <w:rPr>
          <w:rFonts w:hint="eastAsia"/>
          <w:color w:val="auto"/>
          <w:highlight w:val="none"/>
        </w:rPr>
        <w:t>人（公章）：</w:t>
      </w:r>
    </w:p>
    <w:p>
      <w:pPr>
        <w:pStyle w:val="10"/>
        <w:pBdr>
          <w:bottom w:val="single" w:color="auto" w:sz="12" w:space="31"/>
        </w:pBdr>
        <w:spacing w:line="360" w:lineRule="auto"/>
        <w:ind w:firstLine="480"/>
        <w:jc w:val="left"/>
        <w:rPr>
          <w:color w:val="auto"/>
          <w:highlight w:val="none"/>
        </w:rPr>
      </w:pPr>
      <w:r>
        <w:rPr>
          <w:rFonts w:hint="eastAsia"/>
          <w:color w:val="auto"/>
          <w:highlight w:val="none"/>
        </w:rPr>
        <w:t>法定代表人（签字）：</w:t>
      </w:r>
    </w:p>
    <w:p>
      <w:pPr>
        <w:pStyle w:val="10"/>
        <w:pBdr>
          <w:bottom w:val="single" w:color="auto" w:sz="12" w:space="31"/>
        </w:pBdr>
        <w:spacing w:line="360" w:lineRule="auto"/>
        <w:ind w:firstLine="480"/>
        <w:jc w:val="left"/>
        <w:rPr>
          <w:color w:val="auto"/>
          <w:highlight w:val="none"/>
        </w:rPr>
      </w:pPr>
      <w:r>
        <w:rPr>
          <w:rFonts w:hint="eastAsia"/>
          <w:color w:val="auto"/>
          <w:highlight w:val="none"/>
        </w:rPr>
        <w:t>或委托代理人（签字）：</w:t>
      </w:r>
    </w:p>
    <w:p>
      <w:pPr>
        <w:pStyle w:val="10"/>
        <w:pBdr>
          <w:bottom w:val="single" w:color="auto" w:sz="12" w:space="31"/>
        </w:pBdr>
        <w:spacing w:line="360" w:lineRule="auto"/>
        <w:ind w:firstLine="3856" w:firstLineChars="1928"/>
        <w:jc w:val="left"/>
        <w:rPr>
          <w:color w:val="auto"/>
          <w:highlight w:val="none"/>
        </w:rPr>
      </w:pPr>
      <w:r>
        <w:rPr>
          <w:rFonts w:hint="eastAsia"/>
          <w:color w:val="auto"/>
          <w:highlight w:val="none"/>
        </w:rPr>
        <w:t>年 月 日</w:t>
      </w:r>
    </w:p>
    <w:p>
      <w:pPr>
        <w:pStyle w:val="10"/>
        <w:pBdr>
          <w:bottom w:val="single" w:color="auto" w:sz="12" w:space="31"/>
        </w:pBdr>
        <w:spacing w:line="360" w:lineRule="auto"/>
        <w:ind w:firstLine="400" w:firstLineChars="200"/>
        <w:jc w:val="left"/>
        <w:rPr>
          <w:color w:val="auto"/>
          <w:highlight w:val="none"/>
        </w:rPr>
      </w:pPr>
    </w:p>
    <w:p>
      <w:pPr>
        <w:pStyle w:val="10"/>
        <w:pBdr>
          <w:bottom w:val="single" w:color="auto" w:sz="12" w:space="31"/>
        </w:pBdr>
        <w:spacing w:line="360" w:lineRule="auto"/>
        <w:ind w:firstLine="400" w:firstLineChars="200"/>
        <w:jc w:val="left"/>
        <w:rPr>
          <w:color w:val="auto"/>
          <w:highlight w:val="none"/>
        </w:rPr>
      </w:pPr>
    </w:p>
    <w:p>
      <w:pPr>
        <w:pStyle w:val="10"/>
        <w:pBdr>
          <w:bottom w:val="single" w:color="auto" w:sz="12" w:space="31"/>
        </w:pBdr>
        <w:spacing w:line="360" w:lineRule="auto"/>
        <w:ind w:firstLine="400" w:firstLineChars="200"/>
        <w:jc w:val="left"/>
        <w:rPr>
          <w:color w:val="auto"/>
          <w:highlight w:val="none"/>
        </w:rPr>
      </w:pPr>
      <w:r>
        <w:rPr>
          <w:rFonts w:hint="eastAsia"/>
          <w:color w:val="auto"/>
          <w:highlight w:val="none"/>
        </w:rPr>
        <w:t>承</w:t>
      </w:r>
      <w:r>
        <w:rPr>
          <w:color w:val="auto"/>
          <w:highlight w:val="none"/>
        </w:rPr>
        <w:t xml:space="preserve">  </w:t>
      </w:r>
      <w:r>
        <w:rPr>
          <w:rFonts w:hint="eastAsia"/>
          <w:color w:val="auto"/>
          <w:highlight w:val="none"/>
        </w:rPr>
        <w:t>包</w:t>
      </w:r>
      <w:r>
        <w:rPr>
          <w:color w:val="auto"/>
          <w:highlight w:val="none"/>
        </w:rPr>
        <w:t xml:space="preserve">  </w:t>
      </w:r>
      <w:r>
        <w:rPr>
          <w:rFonts w:hint="eastAsia"/>
          <w:color w:val="auto"/>
          <w:highlight w:val="none"/>
        </w:rPr>
        <w:t>人（公章）：</w:t>
      </w:r>
    </w:p>
    <w:p>
      <w:pPr>
        <w:pStyle w:val="10"/>
        <w:pBdr>
          <w:bottom w:val="single" w:color="auto" w:sz="12" w:space="31"/>
        </w:pBdr>
        <w:spacing w:line="360" w:lineRule="auto"/>
        <w:ind w:firstLine="400" w:firstLineChars="200"/>
        <w:jc w:val="left"/>
        <w:rPr>
          <w:color w:val="auto"/>
          <w:highlight w:val="none"/>
        </w:rPr>
      </w:pPr>
      <w:r>
        <w:rPr>
          <w:rFonts w:hint="eastAsia"/>
          <w:color w:val="auto"/>
          <w:highlight w:val="none"/>
        </w:rPr>
        <w:t>法定代表人（签字）：</w:t>
      </w:r>
    </w:p>
    <w:p>
      <w:pPr>
        <w:pStyle w:val="10"/>
        <w:pBdr>
          <w:bottom w:val="single" w:color="auto" w:sz="12" w:space="31"/>
        </w:pBdr>
        <w:spacing w:line="360" w:lineRule="auto"/>
        <w:ind w:firstLine="400" w:firstLineChars="200"/>
        <w:jc w:val="left"/>
        <w:rPr>
          <w:color w:val="auto"/>
          <w:highlight w:val="none"/>
        </w:rPr>
      </w:pPr>
      <w:r>
        <w:rPr>
          <w:rFonts w:hint="eastAsia"/>
          <w:color w:val="auto"/>
          <w:highlight w:val="none"/>
        </w:rPr>
        <w:t>或委托代理人（签字）</w:t>
      </w:r>
    </w:p>
    <w:p>
      <w:pPr>
        <w:pStyle w:val="10"/>
        <w:pBdr>
          <w:bottom w:val="single" w:color="auto" w:sz="12" w:space="31"/>
        </w:pBdr>
        <w:spacing w:line="360" w:lineRule="auto"/>
        <w:ind w:firstLine="3800" w:firstLineChars="1900"/>
        <w:jc w:val="left"/>
        <w:rPr>
          <w:color w:val="auto"/>
          <w:highlight w:val="none"/>
        </w:rPr>
      </w:pPr>
      <w:r>
        <w:rPr>
          <w:rFonts w:hint="eastAsia"/>
          <w:color w:val="auto"/>
          <w:highlight w:val="none"/>
        </w:rPr>
        <w:t>年 月 日</w:t>
      </w:r>
    </w:p>
    <w:p>
      <w:pPr>
        <w:pStyle w:val="10"/>
        <w:pBdr>
          <w:bottom w:val="single" w:color="auto" w:sz="12" w:space="31"/>
        </w:pBdr>
        <w:ind w:firstLine="3800" w:firstLineChars="1900"/>
        <w:jc w:val="left"/>
        <w:rPr>
          <w:color w:val="auto"/>
          <w:highlight w:val="none"/>
        </w:rPr>
      </w:pPr>
    </w:p>
    <w:p>
      <w:pPr>
        <w:jc w:val="left"/>
        <w:rPr>
          <w:rFonts w:hint="eastAsia"/>
          <w:color w:val="auto"/>
          <w:highlight w:val="none"/>
        </w:rPr>
      </w:pPr>
      <w:r>
        <w:rPr>
          <w:color w:val="auto"/>
          <w:highlight w:val="none"/>
        </w:rPr>
        <w:br w:type="page"/>
      </w:r>
    </w:p>
    <w:p>
      <w:pPr>
        <w:jc w:val="left"/>
        <w:rPr>
          <w:rFonts w:hint="eastAsia" w:ascii="宋体"/>
          <w:bCs/>
          <w:color w:val="auto"/>
          <w:sz w:val="42"/>
          <w:szCs w:val="42"/>
          <w:highlight w:val="none"/>
        </w:rPr>
      </w:pPr>
    </w:p>
    <w:p>
      <w:pPr>
        <w:jc w:val="left"/>
        <w:rPr>
          <w:rFonts w:ascii="宋体"/>
          <w:bCs/>
          <w:color w:val="auto"/>
          <w:sz w:val="42"/>
          <w:szCs w:val="42"/>
          <w:highlight w:val="none"/>
        </w:rPr>
      </w:pPr>
    </w:p>
    <w:p>
      <w:pPr>
        <w:jc w:val="left"/>
        <w:rPr>
          <w:rFonts w:ascii="宋体"/>
          <w:bCs/>
          <w:color w:val="auto"/>
          <w:sz w:val="42"/>
          <w:szCs w:val="42"/>
          <w:highlight w:val="none"/>
        </w:rPr>
      </w:pPr>
    </w:p>
    <w:p>
      <w:pPr>
        <w:jc w:val="left"/>
        <w:rPr>
          <w:rFonts w:ascii="宋体"/>
          <w:bCs/>
          <w:color w:val="auto"/>
          <w:sz w:val="42"/>
          <w:szCs w:val="42"/>
          <w:highlight w:val="none"/>
        </w:rPr>
      </w:pPr>
    </w:p>
    <w:p>
      <w:pPr>
        <w:jc w:val="left"/>
        <w:rPr>
          <w:rFonts w:ascii="宋体"/>
          <w:bCs/>
          <w:color w:val="auto"/>
          <w:sz w:val="42"/>
          <w:szCs w:val="42"/>
          <w:highlight w:val="none"/>
        </w:rPr>
      </w:pPr>
    </w:p>
    <w:p>
      <w:pPr>
        <w:spacing w:line="360" w:lineRule="auto"/>
        <w:jc w:val="center"/>
        <w:outlineLvl w:val="0"/>
        <w:rPr>
          <w:rFonts w:ascii="宋体" w:hAnsi="宋体"/>
          <w:color w:val="auto"/>
          <w:sz w:val="72"/>
          <w:highlight w:val="none"/>
        </w:rPr>
      </w:pPr>
      <w:bookmarkStart w:id="161" w:name="_Toc517529732"/>
      <w:bookmarkStart w:id="162" w:name="_Toc517528639"/>
      <w:bookmarkStart w:id="163" w:name="_Toc405968562"/>
      <w:bookmarkStart w:id="164" w:name="_Toc517530694"/>
      <w:bookmarkStart w:id="165" w:name="_Toc517531970"/>
      <w:r>
        <w:rPr>
          <w:rFonts w:hint="eastAsia" w:ascii="宋体" w:hAnsi="宋体"/>
          <w:color w:val="auto"/>
          <w:sz w:val="72"/>
          <w:highlight w:val="none"/>
        </w:rPr>
        <w:t>第</w:t>
      </w:r>
      <w:r>
        <w:rPr>
          <w:rFonts w:ascii="宋体" w:hAnsi="宋体"/>
          <w:color w:val="auto"/>
          <w:sz w:val="72"/>
          <w:highlight w:val="none"/>
        </w:rPr>
        <w:t>5篇</w:t>
      </w:r>
      <w:bookmarkEnd w:id="161"/>
      <w:bookmarkEnd w:id="162"/>
      <w:bookmarkEnd w:id="163"/>
      <w:bookmarkEnd w:id="164"/>
      <w:bookmarkEnd w:id="165"/>
    </w:p>
    <w:p>
      <w:pPr>
        <w:jc w:val="left"/>
        <w:rPr>
          <w:rFonts w:ascii="宋体"/>
          <w:bCs/>
          <w:color w:val="auto"/>
          <w:sz w:val="42"/>
          <w:szCs w:val="42"/>
          <w:highlight w:val="none"/>
        </w:rPr>
      </w:pPr>
    </w:p>
    <w:p>
      <w:pPr>
        <w:spacing w:line="360" w:lineRule="auto"/>
        <w:jc w:val="center"/>
        <w:rPr>
          <w:rFonts w:ascii="宋体" w:hAnsi="宋体"/>
          <w:color w:val="auto"/>
          <w:sz w:val="48"/>
          <w:szCs w:val="48"/>
          <w:highlight w:val="none"/>
        </w:rPr>
      </w:pPr>
      <w:r>
        <w:rPr>
          <w:rFonts w:hint="eastAsia" w:ascii="宋体" w:hAnsi="宋体"/>
          <w:color w:val="auto"/>
          <w:sz w:val="48"/>
          <w:szCs w:val="48"/>
          <w:highlight w:val="none"/>
        </w:rPr>
        <w:t>合同条件第Ⅱ部分</w:t>
      </w:r>
    </w:p>
    <w:p>
      <w:pPr>
        <w:spacing w:line="360" w:lineRule="auto"/>
        <w:jc w:val="center"/>
        <w:rPr>
          <w:rFonts w:ascii="宋体" w:hAnsi="宋体"/>
          <w:color w:val="auto"/>
          <w:sz w:val="48"/>
          <w:szCs w:val="48"/>
          <w:highlight w:val="none"/>
        </w:rPr>
      </w:pPr>
      <w:r>
        <w:rPr>
          <w:rFonts w:hint="eastAsia" w:ascii="宋体" w:hAnsi="宋体"/>
          <w:color w:val="auto"/>
          <w:sz w:val="48"/>
          <w:szCs w:val="48"/>
          <w:highlight w:val="none"/>
        </w:rPr>
        <w:t>——合同通用条款</w:t>
      </w:r>
    </w:p>
    <w:p>
      <w:pPr>
        <w:spacing w:line="360" w:lineRule="auto"/>
        <w:jc w:val="left"/>
        <w:rPr>
          <w:rFonts w:hint="eastAsia" w:ascii="宋体" w:hAnsi="宋体"/>
          <w:color w:val="auto"/>
          <w:sz w:val="48"/>
          <w:szCs w:val="48"/>
          <w:highlight w:val="none"/>
        </w:rPr>
      </w:pPr>
    </w:p>
    <w:p>
      <w:pPr>
        <w:spacing w:line="360" w:lineRule="auto"/>
        <w:jc w:val="left"/>
        <w:rPr>
          <w:rFonts w:hint="eastAsia" w:ascii="宋体" w:hAnsi="宋体"/>
          <w:color w:val="auto"/>
          <w:sz w:val="48"/>
          <w:szCs w:val="48"/>
          <w:highlight w:val="none"/>
        </w:rPr>
      </w:pPr>
    </w:p>
    <w:p>
      <w:pPr>
        <w:spacing w:line="360" w:lineRule="auto"/>
        <w:jc w:val="left"/>
        <w:rPr>
          <w:rFonts w:hint="eastAsia" w:ascii="宋体" w:hAnsi="宋体"/>
          <w:color w:val="auto"/>
          <w:sz w:val="48"/>
          <w:szCs w:val="48"/>
          <w:highlight w:val="none"/>
        </w:rPr>
      </w:pPr>
    </w:p>
    <w:p>
      <w:pPr>
        <w:spacing w:line="360" w:lineRule="auto"/>
        <w:jc w:val="left"/>
        <w:rPr>
          <w:rFonts w:hint="eastAsia" w:ascii="宋体" w:hAnsi="宋体"/>
          <w:color w:val="auto"/>
          <w:sz w:val="48"/>
          <w:szCs w:val="48"/>
          <w:highlight w:val="none"/>
        </w:rPr>
      </w:pPr>
    </w:p>
    <w:p>
      <w:pPr>
        <w:spacing w:line="360" w:lineRule="auto"/>
        <w:jc w:val="left"/>
        <w:rPr>
          <w:rFonts w:hint="eastAsia" w:ascii="宋体" w:hAnsi="宋体"/>
          <w:color w:val="auto"/>
          <w:sz w:val="48"/>
          <w:szCs w:val="48"/>
          <w:highlight w:val="none"/>
        </w:rPr>
      </w:pPr>
    </w:p>
    <w:p>
      <w:pPr>
        <w:spacing w:line="360" w:lineRule="auto"/>
        <w:jc w:val="left"/>
        <w:rPr>
          <w:rFonts w:hint="eastAsia" w:ascii="宋体" w:hAnsi="宋体"/>
          <w:color w:val="auto"/>
          <w:sz w:val="48"/>
          <w:szCs w:val="48"/>
          <w:highlight w:val="none"/>
        </w:rPr>
      </w:pPr>
    </w:p>
    <w:p>
      <w:pPr>
        <w:spacing w:line="360" w:lineRule="auto"/>
        <w:jc w:val="left"/>
        <w:rPr>
          <w:rFonts w:hint="eastAsia" w:ascii="宋体" w:hAnsi="宋体"/>
          <w:color w:val="auto"/>
          <w:sz w:val="48"/>
          <w:szCs w:val="48"/>
          <w:highlight w:val="none"/>
        </w:rPr>
      </w:pPr>
    </w:p>
    <w:p>
      <w:pPr>
        <w:spacing w:line="360" w:lineRule="auto"/>
        <w:jc w:val="left"/>
        <w:rPr>
          <w:rFonts w:hint="eastAsia" w:ascii="宋体" w:hAnsi="宋体"/>
          <w:color w:val="auto"/>
          <w:sz w:val="48"/>
          <w:szCs w:val="48"/>
          <w:highlight w:val="none"/>
        </w:rPr>
      </w:pPr>
    </w:p>
    <w:p>
      <w:pPr>
        <w:spacing w:line="360" w:lineRule="auto"/>
        <w:jc w:val="left"/>
        <w:rPr>
          <w:rFonts w:hint="eastAsia" w:ascii="宋体" w:hAnsi="宋体"/>
          <w:color w:val="auto"/>
          <w:sz w:val="48"/>
          <w:szCs w:val="48"/>
          <w:highlight w:val="none"/>
        </w:rPr>
      </w:pPr>
    </w:p>
    <w:p>
      <w:pPr>
        <w:spacing w:line="360" w:lineRule="auto"/>
        <w:jc w:val="left"/>
        <w:rPr>
          <w:rFonts w:hint="eastAsia" w:ascii="宋体" w:hAnsi="宋体"/>
          <w:color w:val="auto"/>
          <w:sz w:val="48"/>
          <w:szCs w:val="48"/>
          <w:highlight w:val="none"/>
        </w:rPr>
      </w:pPr>
    </w:p>
    <w:p>
      <w:pPr>
        <w:spacing w:line="360" w:lineRule="auto"/>
        <w:jc w:val="left"/>
        <w:rPr>
          <w:rFonts w:hint="eastAsia" w:ascii="宋体" w:hAnsi="宋体"/>
          <w:color w:val="auto"/>
          <w:sz w:val="48"/>
          <w:szCs w:val="48"/>
          <w:highlight w:val="none"/>
        </w:rPr>
      </w:pPr>
    </w:p>
    <w:p>
      <w:pPr>
        <w:spacing w:line="360" w:lineRule="auto"/>
        <w:jc w:val="left"/>
        <w:rPr>
          <w:rFonts w:ascii="宋体" w:hAnsi="宋体"/>
          <w:color w:val="auto"/>
          <w:sz w:val="48"/>
          <w:szCs w:val="48"/>
          <w:highlight w:val="none"/>
        </w:rPr>
      </w:pPr>
    </w:p>
    <w:p>
      <w:pPr>
        <w:pStyle w:val="13"/>
        <w:jc w:val="center"/>
        <w:rPr>
          <w:smallCaps/>
          <w:color w:val="auto"/>
          <w:sz w:val="44"/>
          <w:szCs w:val="44"/>
          <w:highlight w:val="none"/>
        </w:rPr>
      </w:pPr>
      <w:bookmarkStart w:id="166" w:name="_Toc21008"/>
      <w:bookmarkStart w:id="167" w:name="_Toc2116"/>
      <w:bookmarkStart w:id="168" w:name="_Toc15624"/>
      <w:bookmarkStart w:id="169" w:name="_Toc348"/>
      <w:bookmarkStart w:id="170" w:name="_Toc15128"/>
      <w:bookmarkStart w:id="171" w:name="_Toc22303"/>
      <w:bookmarkStart w:id="172" w:name="_Toc7202"/>
      <w:bookmarkStart w:id="173" w:name="_Toc610"/>
      <w:bookmarkStart w:id="174" w:name="_Toc7224"/>
      <w:r>
        <w:rPr>
          <w:rFonts w:hint="eastAsia"/>
          <w:color w:val="auto"/>
          <w:sz w:val="44"/>
          <w:szCs w:val="44"/>
          <w:highlight w:val="none"/>
        </w:rPr>
        <w:t>目</w:t>
      </w:r>
      <w:r>
        <w:rPr>
          <w:color w:val="auto"/>
          <w:sz w:val="44"/>
          <w:szCs w:val="44"/>
          <w:highlight w:val="none"/>
        </w:rPr>
        <w:t xml:space="preserve">  </w:t>
      </w:r>
      <w:r>
        <w:rPr>
          <w:rFonts w:hint="eastAsia"/>
          <w:color w:val="auto"/>
          <w:sz w:val="44"/>
          <w:szCs w:val="44"/>
          <w:highlight w:val="none"/>
        </w:rPr>
        <w:t>录</w:t>
      </w:r>
    </w:p>
    <w:p>
      <w:pPr>
        <w:pStyle w:val="13"/>
        <w:tabs>
          <w:tab w:val="right" w:leader="dot" w:pos="8296"/>
        </w:tabs>
        <w:rPr>
          <w:rFonts w:cs="Times New Roman"/>
          <w:b w:val="0"/>
          <w:bCs w:val="0"/>
          <w:caps w:val="0"/>
          <w:color w:val="auto"/>
          <w:sz w:val="21"/>
          <w:szCs w:val="22"/>
          <w:highlight w:val="none"/>
        </w:rPr>
      </w:pPr>
      <w:r>
        <w:rPr>
          <w:i/>
          <w:iCs/>
          <w:color w:val="auto"/>
          <w:highlight w:val="none"/>
        </w:rPr>
        <w:fldChar w:fldCharType="begin"/>
      </w:r>
      <w:r>
        <w:rPr>
          <w:i/>
          <w:iCs/>
          <w:color w:val="auto"/>
          <w:highlight w:val="none"/>
        </w:rPr>
        <w:instrText xml:space="preserve"> TOC \o "1-6" \h \z \u </w:instrText>
      </w:r>
      <w:r>
        <w:rPr>
          <w:i/>
          <w:iCs/>
          <w:color w:val="auto"/>
          <w:highlight w:val="none"/>
        </w:rPr>
        <w:fldChar w:fldCharType="separate"/>
      </w:r>
    </w:p>
    <w:p>
      <w:pPr>
        <w:pStyle w:val="13"/>
        <w:tabs>
          <w:tab w:val="right" w:leader="dot" w:pos="8296"/>
        </w:tabs>
        <w:rPr>
          <w:rFonts w:cs="Times New Roman"/>
          <w:b w:val="0"/>
          <w:bCs w:val="0"/>
          <w: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"_Toc517530695"</w:instrText>
      </w:r>
      <w:r>
        <w:rPr>
          <w:rStyle w:val="17"/>
          <w:color w:val="auto"/>
          <w:highlight w:val="none"/>
        </w:rPr>
        <w:instrText xml:space="preserve"> </w:instrText>
      </w:r>
      <w:r>
        <w:rPr>
          <w:color w:val="auto"/>
          <w:highlight w:val="none"/>
        </w:rPr>
        <w:fldChar w:fldCharType="separate"/>
      </w:r>
      <w:r>
        <w:rPr>
          <w:rStyle w:val="17"/>
          <w:rFonts w:hint="eastAsia" w:ascii="宋体" w:hAnsi="宋体" w:cs="宋体"/>
          <w:color w:val="auto"/>
          <w:kern w:val="44"/>
          <w:highlight w:val="none"/>
        </w:rPr>
        <w:t>通用合同条款</w:t>
      </w:r>
      <w:r>
        <w:rPr>
          <w:color w:val="auto"/>
          <w:highlight w:val="none"/>
        </w:rPr>
        <w:tab/>
      </w:r>
      <w:r>
        <w:rPr>
          <w:color w:val="auto"/>
          <w:highlight w:val="none"/>
        </w:rPr>
        <w:fldChar w:fldCharType="begin"/>
      </w:r>
      <w:r>
        <w:rPr>
          <w:color w:val="auto"/>
          <w:highlight w:val="none"/>
        </w:rPr>
        <w:instrText xml:space="preserve"> PAGEREF _Toc517530695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"_Toc517530696"</w:instrText>
      </w:r>
      <w:r>
        <w:rPr>
          <w:rStyle w:val="17"/>
          <w:color w:val="auto"/>
          <w:highlight w:val="none"/>
        </w:rPr>
        <w:instrText xml:space="preserve"> </w:instrText>
      </w:r>
      <w:r>
        <w:rPr>
          <w:color w:val="auto"/>
          <w:highlight w:val="none"/>
        </w:rPr>
        <w:fldChar w:fldCharType="separate"/>
      </w:r>
      <w:r>
        <w:rPr>
          <w:rStyle w:val="17"/>
          <w:rFonts w:ascii="宋体" w:hAnsi="宋体" w:cs="宋体"/>
          <w:b/>
          <w:color w:val="auto"/>
          <w:highlight w:val="none"/>
        </w:rPr>
        <w:t xml:space="preserve">1. </w:t>
      </w:r>
      <w:r>
        <w:rPr>
          <w:rStyle w:val="17"/>
          <w:rFonts w:hint="eastAsia" w:ascii="宋体" w:hAnsi="宋体" w:cs="宋体"/>
          <w:b/>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_Toc517530696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"_Toc517530697"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1.1</w:t>
      </w:r>
      <w:r>
        <w:rPr>
          <w:rStyle w:val="17"/>
          <w:rFonts w:hint="eastAsia" w:ascii="宋体" w:hAnsi="宋体" w:cs="宋体"/>
          <w:b/>
          <w:bCs/>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_Toc517530697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"_Toc517530698"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1.1.1 </w:t>
      </w:r>
      <w:r>
        <w:rPr>
          <w:rStyle w:val="17"/>
          <w:rFonts w:hint="eastAsia" w:ascii="宋体" w:hAnsi="宋体" w:cs="宋体"/>
          <w:b/>
          <w:bCs/>
          <w:color w:val="auto"/>
          <w:highlight w:val="none"/>
        </w:rPr>
        <w:t>合同</w:t>
      </w:r>
      <w:r>
        <w:rPr>
          <w:color w:val="auto"/>
          <w:highlight w:val="none"/>
        </w:rPr>
        <w:tab/>
      </w:r>
      <w:r>
        <w:rPr>
          <w:color w:val="auto"/>
          <w:highlight w:val="none"/>
        </w:rPr>
        <w:fldChar w:fldCharType="begin"/>
      </w:r>
      <w:r>
        <w:rPr>
          <w:color w:val="auto"/>
          <w:highlight w:val="none"/>
        </w:rPr>
        <w:instrText xml:space="preserve"> PAGEREF _Toc517530698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"_Toc517530699"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1.1.2 </w:t>
      </w:r>
      <w:r>
        <w:rPr>
          <w:rStyle w:val="17"/>
          <w:rFonts w:hint="eastAsia" w:ascii="宋体" w:hAnsi="宋体" w:cs="宋体"/>
          <w:b/>
          <w:bCs/>
          <w:color w:val="auto"/>
          <w:highlight w:val="none"/>
        </w:rPr>
        <w:t>合同当事人及相关各方</w:t>
      </w:r>
      <w:r>
        <w:rPr>
          <w:color w:val="auto"/>
          <w:highlight w:val="none"/>
        </w:rPr>
        <w:tab/>
      </w:r>
      <w:r>
        <w:rPr>
          <w:color w:val="auto"/>
          <w:highlight w:val="none"/>
        </w:rPr>
        <w:fldChar w:fldCharType="begin"/>
      </w:r>
      <w:r>
        <w:rPr>
          <w:color w:val="auto"/>
          <w:highlight w:val="none"/>
        </w:rPr>
        <w:instrText xml:space="preserve"> PAGEREF _Toc517530699 \h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"_Toc517530700"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1.1.3 </w:t>
      </w:r>
      <w:r>
        <w:rPr>
          <w:rStyle w:val="17"/>
          <w:rFonts w:hint="eastAsia" w:ascii="宋体" w:hAnsi="宋体" w:cs="宋体"/>
          <w:b/>
          <w:bCs/>
          <w:color w:val="auto"/>
          <w:highlight w:val="none"/>
        </w:rPr>
        <w:t>工程与设备</w:t>
      </w:r>
      <w:r>
        <w:rPr>
          <w:color w:val="auto"/>
          <w:highlight w:val="none"/>
        </w:rPr>
        <w:tab/>
      </w:r>
      <w:r>
        <w:rPr>
          <w:color w:val="auto"/>
          <w:highlight w:val="none"/>
        </w:rPr>
        <w:fldChar w:fldCharType="begin"/>
      </w:r>
      <w:r>
        <w:rPr>
          <w:color w:val="auto"/>
          <w:highlight w:val="none"/>
        </w:rPr>
        <w:instrText xml:space="preserve"> PAGEREF _Toc517530700 \h </w:instrText>
      </w:r>
      <w:r>
        <w:rPr>
          <w:color w:val="auto"/>
          <w:highlight w:val="none"/>
        </w:rPr>
        <w:fldChar w:fldCharType="separate"/>
      </w:r>
      <w:r>
        <w:rPr>
          <w:color w:val="auto"/>
          <w:highlight w:val="none"/>
        </w:rPr>
        <w:t>23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"_Toc517530701"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1.1.4 </w:t>
      </w:r>
      <w:r>
        <w:rPr>
          <w:rStyle w:val="17"/>
          <w:rFonts w:hint="eastAsia" w:ascii="宋体" w:hAnsi="宋体" w:cs="宋体"/>
          <w:b/>
          <w:bCs/>
          <w:color w:val="auto"/>
          <w:highlight w:val="none"/>
        </w:rPr>
        <w:t>日期与期限</w:t>
      </w:r>
      <w:r>
        <w:rPr>
          <w:color w:val="auto"/>
          <w:highlight w:val="none"/>
        </w:rPr>
        <w:tab/>
      </w:r>
      <w:r>
        <w:rPr>
          <w:color w:val="auto"/>
          <w:highlight w:val="none"/>
        </w:rPr>
        <w:fldChar w:fldCharType="begin"/>
      </w:r>
      <w:r>
        <w:rPr>
          <w:color w:val="auto"/>
          <w:highlight w:val="none"/>
        </w:rPr>
        <w:instrText xml:space="preserve"> PAGEREF _Toc517530701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"_Toc517530702"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1.1.5 </w:t>
      </w:r>
      <w:r>
        <w:rPr>
          <w:rStyle w:val="17"/>
          <w:rFonts w:hint="eastAsia" w:ascii="宋体" w:hAnsi="宋体" w:cs="宋体"/>
          <w:b/>
          <w:bCs/>
          <w:color w:val="auto"/>
          <w:highlight w:val="none"/>
        </w:rPr>
        <w:t>证书</w:t>
      </w:r>
      <w:r>
        <w:rPr>
          <w:color w:val="auto"/>
          <w:highlight w:val="none"/>
        </w:rPr>
        <w:tab/>
      </w:r>
      <w:r>
        <w:rPr>
          <w:color w:val="auto"/>
          <w:highlight w:val="none"/>
        </w:rPr>
        <w:fldChar w:fldCharType="begin"/>
      </w:r>
      <w:r>
        <w:rPr>
          <w:color w:val="auto"/>
          <w:highlight w:val="none"/>
        </w:rPr>
        <w:instrText xml:space="preserve"> PAGEREF _Toc517530702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"_Toc517530703"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1.1.6 </w:t>
      </w:r>
      <w:r>
        <w:rPr>
          <w:rStyle w:val="17"/>
          <w:rFonts w:hint="eastAsia" w:ascii="宋体" w:hAnsi="宋体" w:cs="宋体"/>
          <w:b/>
          <w:bCs/>
          <w:color w:val="auto"/>
          <w:highlight w:val="none"/>
        </w:rPr>
        <w:t>合同价格与费用</w:t>
      </w:r>
      <w:r>
        <w:rPr>
          <w:color w:val="auto"/>
          <w:highlight w:val="none"/>
        </w:rPr>
        <w:tab/>
      </w:r>
      <w:r>
        <w:rPr>
          <w:color w:val="auto"/>
          <w:highlight w:val="none"/>
        </w:rPr>
        <w:fldChar w:fldCharType="begin"/>
      </w:r>
      <w:r>
        <w:rPr>
          <w:color w:val="auto"/>
          <w:highlight w:val="none"/>
        </w:rPr>
        <w:instrText xml:space="preserve"> PAGEREF _Toc517530703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"_Toc517530704"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1.1.7 </w:t>
      </w:r>
      <w:r>
        <w:rPr>
          <w:rStyle w:val="17"/>
          <w:rFonts w:hint="eastAsia" w:ascii="宋体" w:hAnsi="宋体" w:cs="宋体"/>
          <w:b/>
          <w:bCs/>
          <w:color w:val="auto"/>
          <w:highlight w:val="none"/>
        </w:rPr>
        <w:t>其他</w:t>
      </w:r>
      <w:r>
        <w:rPr>
          <w:color w:val="auto"/>
          <w:highlight w:val="none"/>
        </w:rPr>
        <w:tab/>
      </w:r>
      <w:r>
        <w:rPr>
          <w:color w:val="auto"/>
          <w:highlight w:val="none"/>
        </w:rPr>
        <w:fldChar w:fldCharType="begin"/>
      </w:r>
      <w:r>
        <w:rPr>
          <w:color w:val="auto"/>
          <w:highlight w:val="none"/>
        </w:rPr>
        <w:instrText xml:space="preserve"> PAGEREF _Toc517530704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"_Toc517530705"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w:t>
      </w:r>
      <w:r>
        <w:rPr>
          <w:rStyle w:val="17"/>
          <w:rFonts w:hint="eastAsia" w:ascii="宋体" w:hAnsi="宋体" w:cs="宋体"/>
          <w:b/>
          <w:bCs/>
          <w:color w:val="auto"/>
          <w:highlight w:val="none"/>
        </w:rPr>
        <w:t>标题和边注</w:t>
      </w:r>
      <w:r>
        <w:rPr>
          <w:color w:val="auto"/>
          <w:highlight w:val="none"/>
        </w:rPr>
        <w:tab/>
      </w:r>
      <w:r>
        <w:rPr>
          <w:color w:val="auto"/>
          <w:highlight w:val="none"/>
        </w:rPr>
        <w:fldChar w:fldCharType="begin"/>
      </w:r>
      <w:r>
        <w:rPr>
          <w:color w:val="auto"/>
          <w:highlight w:val="none"/>
        </w:rPr>
        <w:instrText xml:space="preserve"> PAGEREF _Toc517530705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"_Toc517530706"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1.3</w:t>
      </w:r>
      <w:r>
        <w:rPr>
          <w:rStyle w:val="17"/>
          <w:rFonts w:hint="eastAsia" w:ascii="宋体" w:hAnsi="宋体" w:cs="宋体"/>
          <w:b/>
          <w:bCs/>
          <w:color w:val="auto"/>
          <w:highlight w:val="none"/>
        </w:rPr>
        <w:t>法律和法规</w:t>
      </w:r>
      <w:r>
        <w:rPr>
          <w:color w:val="auto"/>
          <w:highlight w:val="none"/>
        </w:rPr>
        <w:tab/>
      </w:r>
      <w:r>
        <w:rPr>
          <w:color w:val="auto"/>
          <w:highlight w:val="none"/>
        </w:rPr>
        <w:fldChar w:fldCharType="begin"/>
      </w:r>
      <w:r>
        <w:rPr>
          <w:color w:val="auto"/>
          <w:highlight w:val="none"/>
        </w:rPr>
        <w:instrText xml:space="preserve"> PAGEREF _Toc517530706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"_Toc517530707"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1.4 </w:t>
      </w:r>
      <w:r>
        <w:rPr>
          <w:rStyle w:val="17"/>
          <w:rFonts w:hint="eastAsia" w:ascii="宋体" w:hAnsi="宋体" w:cs="宋体"/>
          <w:b/>
          <w:bCs/>
          <w:color w:val="auto"/>
          <w:highlight w:val="none"/>
        </w:rPr>
        <w:t>技术标准和管理规范</w:t>
      </w:r>
      <w:r>
        <w:rPr>
          <w:color w:val="auto"/>
          <w:highlight w:val="none"/>
        </w:rPr>
        <w:tab/>
      </w:r>
      <w:r>
        <w:rPr>
          <w:color w:val="auto"/>
          <w:highlight w:val="none"/>
        </w:rPr>
        <w:fldChar w:fldCharType="begin"/>
      </w:r>
      <w:r>
        <w:rPr>
          <w:color w:val="auto"/>
          <w:highlight w:val="none"/>
        </w:rPr>
        <w:instrText xml:space="preserve"> PAGEREF _Toc517530707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"_Toc517530708"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1.4.1</w:t>
      </w:r>
      <w:r>
        <w:rPr>
          <w:rStyle w:val="17"/>
          <w:rFonts w:hint="eastAsia" w:ascii="宋体" w:hAnsi="宋体" w:cs="宋体"/>
          <w:b/>
          <w:bCs/>
          <w:color w:val="auto"/>
          <w:highlight w:val="none"/>
        </w:rPr>
        <w:t>发包人制定的标准</w:t>
      </w:r>
      <w:r>
        <w:rPr>
          <w:color w:val="auto"/>
          <w:highlight w:val="none"/>
        </w:rPr>
        <w:tab/>
      </w:r>
      <w:r>
        <w:rPr>
          <w:color w:val="auto"/>
          <w:highlight w:val="none"/>
        </w:rPr>
        <w:fldChar w:fldCharType="begin"/>
      </w:r>
      <w:r>
        <w:rPr>
          <w:color w:val="auto"/>
          <w:highlight w:val="none"/>
        </w:rPr>
        <w:instrText xml:space="preserve"> PAGEREF _Toc517530708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"_Toc517530709"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1.4.2</w:t>
      </w:r>
      <w:r>
        <w:rPr>
          <w:rStyle w:val="17"/>
          <w:rFonts w:hint="eastAsia" w:ascii="宋体" w:hAnsi="宋体" w:cs="宋体"/>
          <w:b/>
          <w:bCs/>
          <w:color w:val="auto"/>
          <w:highlight w:val="none"/>
        </w:rPr>
        <w:t>外国标准</w:t>
      </w:r>
      <w:r>
        <w:rPr>
          <w:color w:val="auto"/>
          <w:highlight w:val="none"/>
        </w:rPr>
        <w:tab/>
      </w:r>
      <w:r>
        <w:rPr>
          <w:color w:val="auto"/>
          <w:highlight w:val="none"/>
        </w:rPr>
        <w:fldChar w:fldCharType="begin"/>
      </w:r>
      <w:r>
        <w:rPr>
          <w:color w:val="auto"/>
          <w:highlight w:val="none"/>
        </w:rPr>
        <w:instrText xml:space="preserve"> PAGEREF _Toc517530709 \h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"_Toc517530710"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1.5</w:t>
      </w:r>
      <w:r>
        <w:rPr>
          <w:rStyle w:val="17"/>
          <w:rFonts w:hint="eastAsia" w:ascii="宋体" w:hAnsi="宋体" w:cs="宋体"/>
          <w:b/>
          <w:bCs/>
          <w:color w:val="auto"/>
          <w:highlight w:val="none"/>
        </w:rPr>
        <w:t>合同文件的优先次序</w:t>
      </w:r>
      <w:r>
        <w:rPr>
          <w:color w:val="auto"/>
          <w:highlight w:val="none"/>
        </w:rPr>
        <w:tab/>
      </w:r>
      <w:r>
        <w:rPr>
          <w:color w:val="auto"/>
          <w:highlight w:val="none"/>
        </w:rPr>
        <w:fldChar w:fldCharType="begin"/>
      </w:r>
      <w:r>
        <w:rPr>
          <w:color w:val="auto"/>
          <w:highlight w:val="none"/>
        </w:rPr>
        <w:instrText xml:space="preserve"> PAGEREF _Toc517530710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"_Toc517530711"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w:t>
      </w:r>
      <w:r>
        <w:rPr>
          <w:rStyle w:val="17"/>
          <w:rFonts w:hint="eastAsia" w:ascii="宋体" w:hAnsi="宋体" w:cs="宋体"/>
          <w:b/>
          <w:bCs/>
          <w:color w:val="auto"/>
          <w:highlight w:val="none"/>
        </w:rPr>
        <w:t>图纸和承包人文件</w:t>
      </w:r>
      <w:r>
        <w:rPr>
          <w:color w:val="auto"/>
          <w:highlight w:val="none"/>
        </w:rPr>
        <w:tab/>
      </w:r>
      <w:r>
        <w:rPr>
          <w:color w:val="auto"/>
          <w:highlight w:val="none"/>
        </w:rPr>
        <w:fldChar w:fldCharType="begin"/>
      </w:r>
      <w:r>
        <w:rPr>
          <w:color w:val="auto"/>
          <w:highlight w:val="none"/>
        </w:rPr>
        <w:instrText xml:space="preserve"> PAGEREF _Toc517530711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"_Toc517530712"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1.6.1</w:t>
      </w:r>
      <w:r>
        <w:rPr>
          <w:rStyle w:val="17"/>
          <w:rFonts w:hint="eastAsia" w:ascii="宋体" w:hAnsi="宋体" w:cs="宋体"/>
          <w:b/>
          <w:bCs/>
          <w:color w:val="auto"/>
          <w:highlight w:val="none"/>
        </w:rPr>
        <w:t>图纸和技术资料的提供</w:t>
      </w:r>
      <w:r>
        <w:rPr>
          <w:color w:val="auto"/>
          <w:highlight w:val="none"/>
        </w:rPr>
        <w:tab/>
      </w:r>
      <w:r>
        <w:rPr>
          <w:color w:val="auto"/>
          <w:highlight w:val="none"/>
        </w:rPr>
        <w:fldChar w:fldCharType="begin"/>
      </w:r>
      <w:r>
        <w:rPr>
          <w:color w:val="auto"/>
          <w:highlight w:val="none"/>
        </w:rPr>
        <w:instrText xml:space="preserve"> PAGEREF _Toc517530712 \h </w:instrText>
      </w:r>
      <w:r>
        <w:rPr>
          <w:color w:val="auto"/>
          <w:highlight w:val="none"/>
        </w:rPr>
        <w:fldChar w:fldCharType="separate"/>
      </w:r>
      <w:r>
        <w:rPr>
          <w:color w:val="auto"/>
          <w:highlight w:val="none"/>
        </w:rPr>
        <w:t>26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"_Toc517530713"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1.6.2</w:t>
      </w:r>
      <w:r>
        <w:rPr>
          <w:rStyle w:val="17"/>
          <w:rFonts w:hint="eastAsia" w:ascii="宋体" w:hAnsi="宋体" w:cs="宋体"/>
          <w:b/>
          <w:bCs/>
          <w:color w:val="auto"/>
          <w:highlight w:val="none"/>
        </w:rPr>
        <w:t>临时工程图纸</w:t>
      </w:r>
      <w:r>
        <w:rPr>
          <w:color w:val="auto"/>
          <w:highlight w:val="none"/>
        </w:rPr>
        <w:tab/>
      </w:r>
      <w:r>
        <w:rPr>
          <w:color w:val="auto"/>
          <w:highlight w:val="none"/>
        </w:rPr>
        <w:fldChar w:fldCharType="begin"/>
      </w:r>
      <w:r>
        <w:rPr>
          <w:color w:val="auto"/>
          <w:highlight w:val="none"/>
        </w:rPr>
        <w:instrText xml:space="preserve"> PAGEREF _Toc517530713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"_Toc517530714"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1.6.3</w:t>
      </w:r>
      <w:r>
        <w:rPr>
          <w:rStyle w:val="17"/>
          <w:rFonts w:hint="eastAsia" w:ascii="宋体" w:hAnsi="宋体" w:cs="宋体"/>
          <w:b/>
          <w:bCs/>
          <w:color w:val="auto"/>
          <w:highlight w:val="none"/>
        </w:rPr>
        <w:t>补充图纸</w:t>
      </w:r>
      <w:r>
        <w:rPr>
          <w:color w:val="auto"/>
          <w:highlight w:val="none"/>
        </w:rPr>
        <w:tab/>
      </w:r>
      <w:r>
        <w:rPr>
          <w:color w:val="auto"/>
          <w:highlight w:val="none"/>
        </w:rPr>
        <w:fldChar w:fldCharType="begin"/>
      </w:r>
      <w:r>
        <w:rPr>
          <w:color w:val="auto"/>
          <w:highlight w:val="none"/>
        </w:rPr>
        <w:instrText xml:space="preserve"> PAGEREF _Toc517530714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"_Toc517530715"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1.6.4</w:t>
      </w:r>
      <w:r>
        <w:rPr>
          <w:rStyle w:val="17"/>
          <w:rFonts w:hint="eastAsia" w:ascii="宋体" w:hAnsi="宋体" w:cs="宋体"/>
          <w:b/>
          <w:bCs/>
          <w:color w:val="auto"/>
          <w:highlight w:val="none"/>
        </w:rPr>
        <w:t>提交图纸延误</w:t>
      </w:r>
      <w:r>
        <w:rPr>
          <w:color w:val="auto"/>
          <w:highlight w:val="none"/>
        </w:rPr>
        <w:tab/>
      </w:r>
      <w:r>
        <w:rPr>
          <w:color w:val="auto"/>
          <w:highlight w:val="none"/>
        </w:rPr>
        <w:fldChar w:fldCharType="begin"/>
      </w:r>
      <w:r>
        <w:rPr>
          <w:color w:val="auto"/>
          <w:highlight w:val="none"/>
        </w:rPr>
        <w:instrText xml:space="preserve"> PAGEREF _Toc517530715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"_Toc517530716"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1.6.5</w:t>
      </w:r>
      <w:r>
        <w:rPr>
          <w:rStyle w:val="17"/>
          <w:rFonts w:hint="eastAsia" w:ascii="宋体" w:hAnsi="宋体" w:cs="宋体"/>
          <w:b/>
          <w:bCs/>
          <w:color w:val="auto"/>
          <w:highlight w:val="none"/>
        </w:rPr>
        <w:t>图纸和承包人文件的保管</w:t>
      </w:r>
      <w:r>
        <w:rPr>
          <w:color w:val="auto"/>
          <w:highlight w:val="none"/>
        </w:rPr>
        <w:tab/>
      </w:r>
      <w:r>
        <w:rPr>
          <w:color w:val="auto"/>
          <w:highlight w:val="none"/>
        </w:rPr>
        <w:fldChar w:fldCharType="begin"/>
      </w:r>
      <w:r>
        <w:rPr>
          <w:color w:val="auto"/>
          <w:highlight w:val="none"/>
        </w:rPr>
        <w:instrText xml:space="preserve"> PAGEREF _Toc517530716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"_Toc517530717"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w:t>
      </w:r>
      <w:r>
        <w:rPr>
          <w:rStyle w:val="17"/>
          <w:rFonts w:hint="eastAsia" w:ascii="宋体" w:hAnsi="宋体" w:cs="宋体"/>
          <w:b/>
          <w:bCs/>
          <w:color w:val="auto"/>
          <w:highlight w:val="none"/>
        </w:rPr>
        <w:t>联络</w:t>
      </w:r>
      <w:r>
        <w:rPr>
          <w:color w:val="auto"/>
          <w:highlight w:val="none"/>
        </w:rPr>
        <w:tab/>
      </w:r>
      <w:r>
        <w:rPr>
          <w:color w:val="auto"/>
          <w:highlight w:val="none"/>
        </w:rPr>
        <w:fldChar w:fldCharType="begin"/>
      </w:r>
      <w:r>
        <w:rPr>
          <w:color w:val="auto"/>
          <w:highlight w:val="none"/>
        </w:rPr>
        <w:instrText xml:space="preserve"> PAGEREF _Toc517530717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"_Toc517530718"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1.7.1</w:t>
      </w:r>
      <w:r>
        <w:rPr>
          <w:rStyle w:val="17"/>
          <w:rFonts w:hint="eastAsia" w:ascii="宋体" w:hAnsi="宋体" w:cs="宋体"/>
          <w:b/>
          <w:bCs/>
          <w:color w:val="auto"/>
          <w:highlight w:val="none"/>
        </w:rPr>
        <w:t>书面通知</w:t>
      </w:r>
      <w:r>
        <w:rPr>
          <w:color w:val="auto"/>
          <w:highlight w:val="none"/>
        </w:rPr>
        <w:tab/>
      </w:r>
      <w:r>
        <w:rPr>
          <w:color w:val="auto"/>
          <w:highlight w:val="none"/>
        </w:rPr>
        <w:fldChar w:fldCharType="begin"/>
      </w:r>
      <w:r>
        <w:rPr>
          <w:color w:val="auto"/>
          <w:highlight w:val="none"/>
        </w:rPr>
        <w:instrText xml:space="preserve"> PAGEREF _Toc517530718 \h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"_Toc517530719"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1.7.2</w:t>
      </w:r>
      <w:r>
        <w:rPr>
          <w:rStyle w:val="17"/>
          <w:rFonts w:hint="eastAsia" w:ascii="宋体" w:hAnsi="宋体" w:cs="宋体"/>
          <w:b/>
          <w:bCs/>
          <w:color w:val="auto"/>
          <w:highlight w:val="none"/>
        </w:rPr>
        <w:t>通知的送达</w:t>
      </w:r>
      <w:r>
        <w:rPr>
          <w:color w:val="auto"/>
          <w:highlight w:val="none"/>
        </w:rPr>
        <w:tab/>
      </w:r>
      <w:r>
        <w:rPr>
          <w:color w:val="auto"/>
          <w:highlight w:val="none"/>
        </w:rPr>
        <w:fldChar w:fldCharType="begin"/>
      </w:r>
      <w:r>
        <w:rPr>
          <w:color w:val="auto"/>
          <w:highlight w:val="none"/>
        </w:rPr>
        <w:instrText xml:space="preserve"> PAGEREF _Toc517530719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"_Toc517530720"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1.7.3</w:t>
      </w:r>
      <w:r>
        <w:rPr>
          <w:rStyle w:val="17"/>
          <w:rFonts w:hint="eastAsia" w:ascii="宋体" w:hAnsi="宋体" w:cs="宋体"/>
          <w:b/>
          <w:bCs/>
          <w:color w:val="auto"/>
          <w:highlight w:val="none"/>
        </w:rPr>
        <w:t>送达地址的变更</w:t>
      </w:r>
      <w:r>
        <w:rPr>
          <w:color w:val="auto"/>
          <w:highlight w:val="none"/>
        </w:rPr>
        <w:tab/>
      </w:r>
      <w:r>
        <w:rPr>
          <w:color w:val="auto"/>
          <w:highlight w:val="none"/>
        </w:rPr>
        <w:fldChar w:fldCharType="begin"/>
      </w:r>
      <w:r>
        <w:rPr>
          <w:color w:val="auto"/>
          <w:highlight w:val="none"/>
        </w:rPr>
        <w:instrText xml:space="preserve"> PAGEREF _Toc517530720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"_Toc517530721"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w:t>
      </w:r>
      <w:r>
        <w:rPr>
          <w:rStyle w:val="17"/>
          <w:rFonts w:hint="eastAsia" w:ascii="宋体" w:hAnsi="宋体" w:cs="宋体"/>
          <w:b/>
          <w:bCs/>
          <w:color w:val="auto"/>
          <w:highlight w:val="none"/>
        </w:rPr>
        <w:t>严禁贿赂</w:t>
      </w:r>
      <w:r>
        <w:rPr>
          <w:color w:val="auto"/>
          <w:highlight w:val="none"/>
        </w:rPr>
        <w:tab/>
      </w:r>
      <w:r>
        <w:rPr>
          <w:color w:val="auto"/>
          <w:highlight w:val="none"/>
        </w:rPr>
        <w:fldChar w:fldCharType="begin"/>
      </w:r>
      <w:r>
        <w:rPr>
          <w:color w:val="auto"/>
          <w:highlight w:val="none"/>
        </w:rPr>
        <w:instrText xml:space="preserve"> PAGEREF _Toc517530721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"_Toc517530722"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1.9</w:t>
      </w:r>
      <w:r>
        <w:rPr>
          <w:rStyle w:val="17"/>
          <w:rFonts w:hint="eastAsia" w:ascii="宋体" w:hAnsi="宋体" w:cs="宋体"/>
          <w:b/>
          <w:bCs/>
          <w:color w:val="auto"/>
          <w:highlight w:val="none"/>
        </w:rPr>
        <w:t>文物、化石与遗迹</w:t>
      </w:r>
      <w:r>
        <w:rPr>
          <w:color w:val="auto"/>
          <w:highlight w:val="none"/>
        </w:rPr>
        <w:tab/>
      </w:r>
      <w:r>
        <w:rPr>
          <w:color w:val="auto"/>
          <w:highlight w:val="none"/>
        </w:rPr>
        <w:fldChar w:fldCharType="begin"/>
      </w:r>
      <w:r>
        <w:rPr>
          <w:color w:val="auto"/>
          <w:highlight w:val="none"/>
        </w:rPr>
        <w:instrText xml:space="preserve"> PAGEREF _Toc517530722 \h </w:instrText>
      </w:r>
      <w:r>
        <w:rPr>
          <w:color w:val="auto"/>
          <w:highlight w:val="none"/>
        </w:rPr>
        <w:fldChar w:fldCharType="separate"/>
      </w:r>
      <w:r>
        <w:rPr>
          <w:color w:val="auto"/>
          <w:highlight w:val="none"/>
        </w:rPr>
        <w:t>28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"_Toc517530723"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1.10</w:t>
      </w:r>
      <w:r>
        <w:rPr>
          <w:rStyle w:val="17"/>
          <w:rFonts w:hint="eastAsia" w:ascii="宋体" w:hAnsi="宋体" w:cs="宋体"/>
          <w:b/>
          <w:bCs/>
          <w:color w:val="auto"/>
          <w:highlight w:val="none"/>
        </w:rPr>
        <w:t>交通运输</w:t>
      </w:r>
      <w:r>
        <w:rPr>
          <w:color w:val="auto"/>
          <w:highlight w:val="none"/>
        </w:rPr>
        <w:tab/>
      </w:r>
      <w:r>
        <w:rPr>
          <w:color w:val="auto"/>
          <w:highlight w:val="none"/>
        </w:rPr>
        <w:fldChar w:fldCharType="begin"/>
      </w:r>
      <w:r>
        <w:rPr>
          <w:color w:val="auto"/>
          <w:highlight w:val="none"/>
        </w:rPr>
        <w:instrText xml:space="preserve"> PAGEREF _Toc517530723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"_Toc517530724"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1.10.1</w:t>
      </w:r>
      <w:r>
        <w:rPr>
          <w:rStyle w:val="17"/>
          <w:rFonts w:hint="eastAsia" w:ascii="宋体" w:hAnsi="宋体" w:cs="宋体"/>
          <w:b/>
          <w:bCs/>
          <w:color w:val="auto"/>
          <w:highlight w:val="none"/>
        </w:rPr>
        <w:t>避免损坏道路</w:t>
      </w:r>
      <w:r>
        <w:rPr>
          <w:color w:val="auto"/>
          <w:highlight w:val="none"/>
        </w:rPr>
        <w:tab/>
      </w:r>
      <w:r>
        <w:rPr>
          <w:color w:val="auto"/>
          <w:highlight w:val="none"/>
        </w:rPr>
        <w:fldChar w:fldCharType="begin"/>
      </w:r>
      <w:r>
        <w:rPr>
          <w:color w:val="auto"/>
          <w:highlight w:val="none"/>
        </w:rPr>
        <w:instrText xml:space="preserve"> PAGEREF _Toc517530724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"_Toc517530725"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1.10.2</w:t>
      </w:r>
      <w:r>
        <w:rPr>
          <w:rStyle w:val="17"/>
          <w:rFonts w:hint="eastAsia" w:ascii="宋体" w:hAnsi="宋体" w:cs="宋体"/>
          <w:b/>
          <w:bCs/>
          <w:color w:val="auto"/>
          <w:highlight w:val="none"/>
        </w:rPr>
        <w:t>临时道路</w:t>
      </w:r>
      <w:r>
        <w:rPr>
          <w:color w:val="auto"/>
          <w:highlight w:val="none"/>
        </w:rPr>
        <w:tab/>
      </w:r>
      <w:r>
        <w:rPr>
          <w:color w:val="auto"/>
          <w:highlight w:val="none"/>
        </w:rPr>
        <w:fldChar w:fldCharType="begin"/>
      </w:r>
      <w:r>
        <w:rPr>
          <w:color w:val="auto"/>
          <w:highlight w:val="none"/>
        </w:rPr>
        <w:instrText xml:space="preserve"> PAGEREF _Toc517530725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"_Toc517530726"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1.10.3</w:t>
      </w:r>
      <w:r>
        <w:rPr>
          <w:rStyle w:val="17"/>
          <w:rFonts w:hint="eastAsia" w:ascii="宋体" w:hAnsi="宋体" w:cs="宋体"/>
          <w:b/>
          <w:bCs/>
          <w:color w:val="auto"/>
          <w:highlight w:val="none"/>
        </w:rPr>
        <w:t>水运</w:t>
      </w:r>
      <w:r>
        <w:rPr>
          <w:color w:val="auto"/>
          <w:highlight w:val="none"/>
        </w:rPr>
        <w:tab/>
      </w:r>
      <w:r>
        <w:rPr>
          <w:color w:val="auto"/>
          <w:highlight w:val="none"/>
        </w:rPr>
        <w:fldChar w:fldCharType="begin"/>
      </w:r>
      <w:r>
        <w:rPr>
          <w:color w:val="auto"/>
          <w:highlight w:val="none"/>
        </w:rPr>
        <w:instrText xml:space="preserve"> PAGEREF _Toc517530726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"_Toc517530727"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1.11</w:t>
      </w:r>
      <w:r>
        <w:rPr>
          <w:rStyle w:val="17"/>
          <w:rFonts w:hint="eastAsia" w:ascii="宋体" w:hAnsi="宋体" w:cs="宋体"/>
          <w:b/>
          <w:bCs/>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_Toc517530727 \h </w:instrText>
      </w:r>
      <w:r>
        <w:rPr>
          <w:color w:val="auto"/>
          <w:highlight w:val="none"/>
        </w:rPr>
        <w:fldChar w:fldCharType="separate"/>
      </w:r>
      <w:r>
        <w:rPr>
          <w:color w:val="auto"/>
          <w:highlight w:val="none"/>
        </w:rPr>
        <w:t>29</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"_Toc517530728"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2. </w:t>
      </w:r>
      <w:r>
        <w:rPr>
          <w:rStyle w:val="17"/>
          <w:rFonts w:hint="eastAsia" w:ascii="宋体" w:hAnsi="宋体" w:cs="宋体"/>
          <w:b/>
          <w:bCs/>
          <w:color w:val="auto"/>
          <w:highlight w:val="none"/>
        </w:rPr>
        <w:t>发包人</w:t>
      </w:r>
      <w:r>
        <w:rPr>
          <w:color w:val="auto"/>
          <w:highlight w:val="none"/>
        </w:rPr>
        <w:tab/>
      </w:r>
      <w:r>
        <w:rPr>
          <w:color w:val="auto"/>
          <w:highlight w:val="none"/>
        </w:rPr>
        <w:fldChar w:fldCharType="begin"/>
      </w:r>
      <w:r>
        <w:rPr>
          <w:color w:val="auto"/>
          <w:highlight w:val="none"/>
        </w:rPr>
        <w:instrText xml:space="preserve"> PAGEREF _Toc517530728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"_Toc517530729"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2.1</w:t>
      </w:r>
      <w:r>
        <w:rPr>
          <w:rStyle w:val="17"/>
          <w:rFonts w:hint="eastAsia" w:ascii="宋体" w:hAnsi="宋体" w:cs="宋体"/>
          <w:b/>
          <w:bCs/>
          <w:color w:val="auto"/>
          <w:highlight w:val="none"/>
        </w:rPr>
        <w:t>许可或批准</w:t>
      </w:r>
      <w:r>
        <w:rPr>
          <w:color w:val="auto"/>
          <w:highlight w:val="none"/>
        </w:rPr>
        <w:tab/>
      </w:r>
      <w:r>
        <w:rPr>
          <w:color w:val="auto"/>
          <w:highlight w:val="none"/>
        </w:rPr>
        <w:fldChar w:fldCharType="begin"/>
      </w:r>
      <w:r>
        <w:rPr>
          <w:color w:val="auto"/>
          <w:highlight w:val="none"/>
        </w:rPr>
        <w:instrText xml:space="preserve"> PAGEREF _Toc517530729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"_Toc517530730"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2.2</w:t>
      </w:r>
      <w:r>
        <w:rPr>
          <w:rStyle w:val="17"/>
          <w:rFonts w:hint="eastAsia" w:ascii="宋体" w:hAnsi="宋体" w:cs="宋体"/>
          <w:b/>
          <w:bCs/>
          <w:color w:val="auto"/>
          <w:highlight w:val="none"/>
        </w:rPr>
        <w:t>项目主任</w:t>
      </w:r>
      <w:r>
        <w:rPr>
          <w:color w:val="auto"/>
          <w:highlight w:val="none"/>
        </w:rPr>
        <w:tab/>
      </w:r>
      <w:r>
        <w:rPr>
          <w:color w:val="auto"/>
          <w:highlight w:val="none"/>
        </w:rPr>
        <w:fldChar w:fldCharType="begin"/>
      </w:r>
      <w:r>
        <w:rPr>
          <w:color w:val="auto"/>
          <w:highlight w:val="none"/>
        </w:rPr>
        <w:instrText xml:space="preserve"> PAGEREF _Toc517530730 \h </w:instrText>
      </w:r>
      <w:r>
        <w:rPr>
          <w:color w:val="auto"/>
          <w:highlight w:val="none"/>
        </w:rPr>
        <w:fldChar w:fldCharType="separate"/>
      </w:r>
      <w:r>
        <w:rPr>
          <w:color w:val="auto"/>
          <w:highlight w:val="none"/>
        </w:rPr>
        <w:t>30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"_Toc517530731"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2.3</w:t>
      </w:r>
      <w:r>
        <w:rPr>
          <w:rStyle w:val="17"/>
          <w:rFonts w:hint="eastAsia" w:ascii="宋体" w:hAnsi="宋体" w:cs="宋体"/>
          <w:b/>
          <w:bCs/>
          <w:color w:val="auto"/>
          <w:highlight w:val="none"/>
        </w:rPr>
        <w:t>履约评价</w:t>
      </w:r>
      <w:r>
        <w:rPr>
          <w:color w:val="auto"/>
          <w:highlight w:val="none"/>
        </w:rPr>
        <w:tab/>
      </w:r>
      <w:r>
        <w:rPr>
          <w:color w:val="auto"/>
          <w:highlight w:val="none"/>
        </w:rPr>
        <w:fldChar w:fldCharType="begin"/>
      </w:r>
      <w:r>
        <w:rPr>
          <w:color w:val="auto"/>
          <w:highlight w:val="none"/>
        </w:rPr>
        <w:instrText xml:space="preserve"> PAGEREF _Toc517530731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"_Toc517530732"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2.4</w:t>
      </w:r>
      <w:r>
        <w:rPr>
          <w:rStyle w:val="17"/>
          <w:rFonts w:hint="eastAsia" w:ascii="宋体" w:hAnsi="宋体" w:cs="宋体"/>
          <w:b/>
          <w:bCs/>
          <w:color w:val="auto"/>
          <w:highlight w:val="none"/>
        </w:rPr>
        <w:t>支付合同价款</w:t>
      </w:r>
      <w:r>
        <w:rPr>
          <w:color w:val="auto"/>
          <w:highlight w:val="none"/>
        </w:rPr>
        <w:tab/>
      </w:r>
      <w:r>
        <w:rPr>
          <w:color w:val="auto"/>
          <w:highlight w:val="none"/>
        </w:rPr>
        <w:fldChar w:fldCharType="begin"/>
      </w:r>
      <w:r>
        <w:rPr>
          <w:color w:val="auto"/>
          <w:highlight w:val="none"/>
        </w:rPr>
        <w:instrText xml:space="preserve"> PAGEREF _Toc517530732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"_Toc517530733"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2.5</w:t>
      </w:r>
      <w:r>
        <w:rPr>
          <w:rStyle w:val="17"/>
          <w:rFonts w:hint="eastAsia" w:ascii="宋体" w:hAnsi="宋体" w:cs="宋体"/>
          <w:b/>
          <w:bCs/>
          <w:color w:val="auto"/>
          <w:highlight w:val="none"/>
        </w:rPr>
        <w:t>组织竣工验收</w:t>
      </w:r>
      <w:r>
        <w:rPr>
          <w:color w:val="auto"/>
          <w:highlight w:val="none"/>
        </w:rPr>
        <w:tab/>
      </w:r>
      <w:r>
        <w:rPr>
          <w:color w:val="auto"/>
          <w:highlight w:val="none"/>
        </w:rPr>
        <w:fldChar w:fldCharType="begin"/>
      </w:r>
      <w:r>
        <w:rPr>
          <w:color w:val="auto"/>
          <w:highlight w:val="none"/>
        </w:rPr>
        <w:instrText xml:space="preserve"> PAGEREF _Toc517530733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"_Toc517530734"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2.6</w:t>
      </w:r>
      <w:r>
        <w:rPr>
          <w:rStyle w:val="17"/>
          <w:rFonts w:hint="eastAsia" w:ascii="宋体" w:hAnsi="宋体" w:cs="宋体"/>
          <w:b/>
          <w:bCs/>
          <w:color w:val="auto"/>
          <w:highlight w:val="none"/>
        </w:rPr>
        <w:t>支付担保的提交与退还</w:t>
      </w:r>
      <w:r>
        <w:rPr>
          <w:color w:val="auto"/>
          <w:highlight w:val="none"/>
        </w:rPr>
        <w:tab/>
      </w:r>
      <w:r>
        <w:rPr>
          <w:color w:val="auto"/>
          <w:highlight w:val="none"/>
        </w:rPr>
        <w:fldChar w:fldCharType="begin"/>
      </w:r>
      <w:r>
        <w:rPr>
          <w:color w:val="auto"/>
          <w:highlight w:val="none"/>
        </w:rPr>
        <w:instrText xml:space="preserve"> PAGEREF _Toc517530734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"_Toc517530735"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3. </w:t>
      </w:r>
      <w:r>
        <w:rPr>
          <w:rStyle w:val="17"/>
          <w:rFonts w:hint="eastAsia" w:ascii="宋体" w:hAnsi="宋体" w:cs="宋体"/>
          <w:b/>
          <w:bCs/>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_Toc517530735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"_Toc517530736"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3.1 </w:t>
      </w:r>
      <w:r>
        <w:rPr>
          <w:rStyle w:val="17"/>
          <w:rFonts w:hint="eastAsia" w:ascii="宋体" w:hAnsi="宋体" w:cs="宋体"/>
          <w:b/>
          <w:bCs/>
          <w:color w:val="auto"/>
          <w:highlight w:val="none"/>
        </w:rPr>
        <w:t>承包人的一般义务</w:t>
      </w:r>
      <w:r>
        <w:rPr>
          <w:color w:val="auto"/>
          <w:highlight w:val="none"/>
        </w:rPr>
        <w:tab/>
      </w:r>
      <w:r>
        <w:rPr>
          <w:color w:val="auto"/>
          <w:highlight w:val="none"/>
        </w:rPr>
        <w:fldChar w:fldCharType="begin"/>
      </w:r>
      <w:r>
        <w:rPr>
          <w:color w:val="auto"/>
          <w:highlight w:val="none"/>
        </w:rPr>
        <w:instrText xml:space="preserve"> PAGEREF _Toc517530736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"_Toc517530737"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3.1.1</w:t>
      </w:r>
      <w:r>
        <w:rPr>
          <w:rStyle w:val="17"/>
          <w:rFonts w:hint="eastAsia" w:ascii="宋体" w:hAnsi="宋体" w:cs="宋体"/>
          <w:b/>
          <w:bCs/>
          <w:color w:val="auto"/>
          <w:highlight w:val="none"/>
        </w:rPr>
        <w:t>签署合同协议书</w:t>
      </w:r>
      <w:r>
        <w:rPr>
          <w:color w:val="auto"/>
          <w:highlight w:val="none"/>
        </w:rPr>
        <w:tab/>
      </w:r>
      <w:r>
        <w:rPr>
          <w:color w:val="auto"/>
          <w:highlight w:val="none"/>
        </w:rPr>
        <w:fldChar w:fldCharType="begin"/>
      </w:r>
      <w:r>
        <w:rPr>
          <w:color w:val="auto"/>
          <w:highlight w:val="none"/>
        </w:rPr>
        <w:instrText xml:space="preserve"> PAGEREF _Toc517530737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"_Toc517530738"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3.1.2</w:t>
      </w:r>
      <w:r>
        <w:rPr>
          <w:rStyle w:val="17"/>
          <w:rFonts w:hint="eastAsia" w:ascii="宋体" w:hAnsi="宋体" w:cs="宋体"/>
          <w:b/>
          <w:bCs/>
          <w:color w:val="auto"/>
          <w:highlight w:val="none"/>
        </w:rPr>
        <w:t>合同文件中的差错</w:t>
      </w:r>
      <w:r>
        <w:rPr>
          <w:color w:val="auto"/>
          <w:highlight w:val="none"/>
        </w:rPr>
        <w:tab/>
      </w:r>
      <w:r>
        <w:rPr>
          <w:color w:val="auto"/>
          <w:highlight w:val="none"/>
        </w:rPr>
        <w:fldChar w:fldCharType="begin"/>
      </w:r>
      <w:r>
        <w:rPr>
          <w:color w:val="auto"/>
          <w:highlight w:val="none"/>
        </w:rPr>
        <w:instrText xml:space="preserve"> PAGEREF _Toc517530738 \h </w:instrText>
      </w:r>
      <w:r>
        <w:rPr>
          <w:color w:val="auto"/>
          <w:highlight w:val="none"/>
        </w:rPr>
        <w:fldChar w:fldCharType="separate"/>
      </w:r>
      <w:r>
        <w:rPr>
          <w:color w:val="auto"/>
          <w:highlight w:val="none"/>
        </w:rPr>
        <w:t>31</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"_Toc517530739"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3.1.3</w:t>
      </w:r>
      <w:r>
        <w:rPr>
          <w:rStyle w:val="17"/>
          <w:rFonts w:hint="eastAsia" w:ascii="宋体" w:hAnsi="宋体" w:cs="宋体"/>
          <w:b/>
          <w:bCs/>
          <w:color w:val="auto"/>
          <w:highlight w:val="none"/>
        </w:rPr>
        <w:t>设计与施工</w:t>
      </w:r>
      <w:r>
        <w:rPr>
          <w:color w:val="auto"/>
          <w:highlight w:val="none"/>
        </w:rPr>
        <w:tab/>
      </w:r>
      <w:r>
        <w:rPr>
          <w:color w:val="auto"/>
          <w:highlight w:val="none"/>
        </w:rPr>
        <w:fldChar w:fldCharType="begin"/>
      </w:r>
      <w:r>
        <w:rPr>
          <w:color w:val="auto"/>
          <w:highlight w:val="none"/>
        </w:rPr>
        <w:instrText xml:space="preserve"> PAGEREF _Toc517530739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8"/>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"_Toc517530740"</w:instrText>
      </w:r>
      <w:r>
        <w:rPr>
          <w:rStyle w:val="17"/>
          <w:color w:val="auto"/>
          <w:highlight w:val="none"/>
        </w:rPr>
        <w:instrText xml:space="preserve"> </w:instrText>
      </w:r>
      <w:r>
        <w:rPr>
          <w:color w:val="auto"/>
          <w:highlight w:val="none"/>
        </w:rPr>
        <w:fldChar w:fldCharType="separate"/>
      </w:r>
      <w:r>
        <w:rPr>
          <w:rStyle w:val="17"/>
          <w:rFonts w:hint="eastAsia" w:ascii="宋体" w:hAnsi="宋体" w:cs="宋体"/>
          <w:b/>
          <w:bCs/>
          <w:color w:val="auto"/>
          <w:highlight w:val="none"/>
        </w:rPr>
        <w:t>（</w:t>
      </w:r>
      <w:r>
        <w:rPr>
          <w:rStyle w:val="17"/>
          <w:rFonts w:ascii="宋体" w:hAnsi="宋体" w:cs="宋体"/>
          <w:b/>
          <w:bCs/>
          <w:color w:val="auto"/>
          <w:highlight w:val="none"/>
        </w:rPr>
        <w:t>1</w:t>
      </w:r>
      <w:r>
        <w:rPr>
          <w:rStyle w:val="17"/>
          <w:rFonts w:hint="eastAsia" w:ascii="宋体" w:hAnsi="宋体" w:cs="宋体"/>
          <w:b/>
          <w:bCs/>
          <w:color w:val="auto"/>
          <w:highlight w:val="none"/>
        </w:rPr>
        <w:t>）承包人的一般责任</w:t>
      </w:r>
      <w:r>
        <w:rPr>
          <w:color w:val="auto"/>
          <w:highlight w:val="none"/>
        </w:rPr>
        <w:tab/>
      </w:r>
      <w:r>
        <w:rPr>
          <w:color w:val="auto"/>
          <w:highlight w:val="none"/>
        </w:rPr>
        <w:fldChar w:fldCharType="begin"/>
      </w:r>
      <w:r>
        <w:rPr>
          <w:color w:val="auto"/>
          <w:highlight w:val="none"/>
        </w:rPr>
        <w:instrText xml:space="preserve"> PAGEREF _Toc517530740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8"/>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"_Toc517530741"</w:instrText>
      </w:r>
      <w:r>
        <w:rPr>
          <w:rStyle w:val="17"/>
          <w:color w:val="auto"/>
          <w:highlight w:val="none"/>
        </w:rPr>
        <w:instrText xml:space="preserve"> </w:instrText>
      </w:r>
      <w:r>
        <w:rPr>
          <w:color w:val="auto"/>
          <w:highlight w:val="none"/>
        </w:rPr>
        <w:fldChar w:fldCharType="separate"/>
      </w:r>
      <w:r>
        <w:rPr>
          <w:rStyle w:val="17"/>
          <w:rFonts w:hint="eastAsia" w:ascii="宋体" w:hAnsi="宋体" w:cs="宋体"/>
          <w:b/>
          <w:bCs/>
          <w:color w:val="auto"/>
          <w:highlight w:val="none"/>
        </w:rPr>
        <w:t>（</w:t>
      </w:r>
      <w:r>
        <w:rPr>
          <w:rStyle w:val="17"/>
          <w:rFonts w:ascii="宋体" w:hAnsi="宋体" w:cs="宋体"/>
          <w:b/>
          <w:bCs/>
          <w:color w:val="auto"/>
          <w:highlight w:val="none"/>
        </w:rPr>
        <w:t>2</w:t>
      </w:r>
      <w:r>
        <w:rPr>
          <w:rStyle w:val="17"/>
          <w:rFonts w:hint="eastAsia" w:ascii="宋体" w:hAnsi="宋体" w:cs="宋体"/>
          <w:b/>
          <w:bCs/>
          <w:color w:val="auto"/>
          <w:highlight w:val="none"/>
        </w:rPr>
        <w:t>）现场作业和施工方法</w:t>
      </w:r>
      <w:r>
        <w:rPr>
          <w:color w:val="auto"/>
          <w:highlight w:val="none"/>
        </w:rPr>
        <w:tab/>
      </w:r>
      <w:r>
        <w:rPr>
          <w:color w:val="auto"/>
          <w:highlight w:val="none"/>
        </w:rPr>
        <w:fldChar w:fldCharType="begin"/>
      </w:r>
      <w:r>
        <w:rPr>
          <w:color w:val="auto"/>
          <w:highlight w:val="none"/>
        </w:rPr>
        <w:instrText xml:space="preserve"> PAGEREF _Toc517530741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8"/>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"_Toc517530742"</w:instrText>
      </w:r>
      <w:r>
        <w:rPr>
          <w:rStyle w:val="17"/>
          <w:color w:val="auto"/>
          <w:highlight w:val="none"/>
        </w:rPr>
        <w:instrText xml:space="preserve"> </w:instrText>
      </w:r>
      <w:r>
        <w:rPr>
          <w:color w:val="auto"/>
          <w:highlight w:val="none"/>
        </w:rPr>
        <w:fldChar w:fldCharType="separate"/>
      </w:r>
      <w:r>
        <w:rPr>
          <w:rStyle w:val="17"/>
          <w:rFonts w:hint="eastAsia" w:ascii="宋体" w:hAnsi="宋体" w:cs="宋体"/>
          <w:b/>
          <w:bCs/>
          <w:color w:val="auto"/>
          <w:highlight w:val="none"/>
        </w:rPr>
        <w:t>（</w:t>
      </w:r>
      <w:r>
        <w:rPr>
          <w:rStyle w:val="17"/>
          <w:rFonts w:ascii="宋体" w:hAnsi="宋体" w:cs="宋体"/>
          <w:b/>
          <w:bCs/>
          <w:color w:val="auto"/>
          <w:highlight w:val="none"/>
        </w:rPr>
        <w:t>3</w:t>
      </w:r>
      <w:r>
        <w:rPr>
          <w:rStyle w:val="17"/>
          <w:rFonts w:hint="eastAsia" w:ascii="宋体" w:hAnsi="宋体" w:cs="宋体"/>
          <w:b/>
          <w:bCs/>
          <w:color w:val="auto"/>
          <w:highlight w:val="none"/>
        </w:rPr>
        <w:t>）承包人设计的永久工程</w:t>
      </w:r>
      <w:r>
        <w:rPr>
          <w:color w:val="auto"/>
          <w:highlight w:val="none"/>
        </w:rPr>
        <w:tab/>
      </w:r>
      <w:r>
        <w:rPr>
          <w:color w:val="auto"/>
          <w:highlight w:val="none"/>
        </w:rPr>
        <w:fldChar w:fldCharType="begin"/>
      </w:r>
      <w:r>
        <w:rPr>
          <w:color w:val="auto"/>
          <w:highlight w:val="none"/>
        </w:rPr>
        <w:instrText xml:space="preserve"> PAGEREF _Toc517530742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8"/>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"_Toc517530743"</w:instrText>
      </w:r>
      <w:r>
        <w:rPr>
          <w:rStyle w:val="17"/>
          <w:color w:val="auto"/>
          <w:highlight w:val="none"/>
        </w:rPr>
        <w:instrText xml:space="preserve"> </w:instrText>
      </w:r>
      <w:r>
        <w:rPr>
          <w:color w:val="auto"/>
          <w:highlight w:val="none"/>
        </w:rPr>
        <w:fldChar w:fldCharType="separate"/>
      </w:r>
      <w:r>
        <w:rPr>
          <w:rStyle w:val="17"/>
          <w:rFonts w:hint="eastAsia" w:ascii="宋体" w:hAnsi="宋体" w:cs="宋体"/>
          <w:b/>
          <w:bCs/>
          <w:color w:val="auto"/>
          <w:highlight w:val="none"/>
        </w:rPr>
        <w:t>（</w:t>
      </w:r>
      <w:r>
        <w:rPr>
          <w:rStyle w:val="17"/>
          <w:rFonts w:ascii="宋体" w:hAnsi="宋体" w:cs="宋体"/>
          <w:b/>
          <w:bCs/>
          <w:color w:val="auto"/>
          <w:highlight w:val="none"/>
        </w:rPr>
        <w:t>4</w:t>
      </w:r>
      <w:r>
        <w:rPr>
          <w:rStyle w:val="17"/>
          <w:rFonts w:hint="eastAsia" w:ascii="宋体" w:hAnsi="宋体" w:cs="宋体"/>
          <w:b/>
          <w:bCs/>
          <w:color w:val="auto"/>
          <w:highlight w:val="none"/>
        </w:rPr>
        <w:t>）批准不影响责任</w:t>
      </w:r>
      <w:r>
        <w:rPr>
          <w:color w:val="auto"/>
          <w:highlight w:val="none"/>
        </w:rPr>
        <w:tab/>
      </w:r>
      <w:r>
        <w:rPr>
          <w:color w:val="auto"/>
          <w:highlight w:val="none"/>
        </w:rPr>
        <w:fldChar w:fldCharType="begin"/>
      </w:r>
      <w:r>
        <w:rPr>
          <w:color w:val="auto"/>
          <w:highlight w:val="none"/>
        </w:rPr>
        <w:instrText xml:space="preserve"> PAGEREF _Toc517530743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"_Toc517530744"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3.1.4</w:t>
      </w:r>
      <w:r>
        <w:rPr>
          <w:rStyle w:val="17"/>
          <w:rFonts w:hint="eastAsia" w:ascii="宋体" w:hAnsi="宋体" w:cs="宋体"/>
          <w:b/>
          <w:bCs/>
          <w:color w:val="auto"/>
          <w:highlight w:val="none"/>
        </w:rPr>
        <w:t>为其他承包人提供方便</w:t>
      </w:r>
      <w:r>
        <w:rPr>
          <w:color w:val="auto"/>
          <w:highlight w:val="none"/>
        </w:rPr>
        <w:tab/>
      </w:r>
      <w:r>
        <w:rPr>
          <w:color w:val="auto"/>
          <w:highlight w:val="none"/>
        </w:rPr>
        <w:fldChar w:fldCharType="begin"/>
      </w:r>
      <w:r>
        <w:rPr>
          <w:color w:val="auto"/>
          <w:highlight w:val="none"/>
        </w:rPr>
        <w:instrText xml:space="preserve"> PAGEREF _Toc517530744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"_Toc517530745"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3.1.5</w:t>
      </w:r>
      <w:r>
        <w:rPr>
          <w:rStyle w:val="17"/>
          <w:rFonts w:hint="eastAsia" w:ascii="宋体" w:hAnsi="宋体" w:cs="宋体"/>
          <w:b/>
          <w:bCs/>
          <w:color w:val="auto"/>
          <w:highlight w:val="none"/>
        </w:rPr>
        <w:t>施工干扰</w:t>
      </w:r>
      <w:r>
        <w:rPr>
          <w:color w:val="auto"/>
          <w:highlight w:val="none"/>
        </w:rPr>
        <w:tab/>
      </w:r>
      <w:r>
        <w:rPr>
          <w:color w:val="auto"/>
          <w:highlight w:val="none"/>
        </w:rPr>
        <w:fldChar w:fldCharType="begin"/>
      </w:r>
      <w:r>
        <w:rPr>
          <w:color w:val="auto"/>
          <w:highlight w:val="none"/>
        </w:rPr>
        <w:instrText xml:space="preserve"> PAGEREF _Toc517530745 \h </w:instrText>
      </w:r>
      <w:r>
        <w:rPr>
          <w:color w:val="auto"/>
          <w:highlight w:val="none"/>
        </w:rPr>
        <w:fldChar w:fldCharType="separate"/>
      </w:r>
      <w:r>
        <w:rPr>
          <w:color w:val="auto"/>
          <w:highlight w:val="none"/>
        </w:rPr>
        <w:t>32</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"_Toc517530746"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3.1.6</w:t>
      </w:r>
      <w:r>
        <w:rPr>
          <w:rStyle w:val="17"/>
          <w:rFonts w:hint="eastAsia" w:ascii="宋体" w:hAnsi="宋体" w:cs="宋体"/>
          <w:b/>
          <w:bCs/>
          <w:color w:val="auto"/>
          <w:highlight w:val="none"/>
        </w:rPr>
        <w:t>职业健康</w:t>
      </w:r>
      <w:r>
        <w:rPr>
          <w:color w:val="auto"/>
          <w:highlight w:val="none"/>
        </w:rPr>
        <w:tab/>
      </w:r>
      <w:r>
        <w:rPr>
          <w:color w:val="auto"/>
          <w:highlight w:val="none"/>
        </w:rPr>
        <w:fldChar w:fldCharType="begin"/>
      </w:r>
      <w:r>
        <w:rPr>
          <w:color w:val="auto"/>
          <w:highlight w:val="none"/>
        </w:rPr>
        <w:instrText xml:space="preserve"> PAGEREF _Toc517530746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"_Toc517530747"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3.1.7</w:t>
      </w:r>
      <w:r>
        <w:rPr>
          <w:rStyle w:val="17"/>
          <w:rFonts w:hint="eastAsia" w:ascii="宋体" w:hAnsi="宋体" w:cs="宋体"/>
          <w:b/>
          <w:bCs/>
          <w:color w:val="auto"/>
          <w:highlight w:val="none"/>
        </w:rPr>
        <w:t>遵守法令规章</w:t>
      </w:r>
      <w:r>
        <w:rPr>
          <w:color w:val="auto"/>
          <w:highlight w:val="none"/>
        </w:rPr>
        <w:tab/>
      </w:r>
      <w:r>
        <w:rPr>
          <w:color w:val="auto"/>
          <w:highlight w:val="none"/>
        </w:rPr>
        <w:fldChar w:fldCharType="begin"/>
      </w:r>
      <w:r>
        <w:rPr>
          <w:color w:val="auto"/>
          <w:highlight w:val="none"/>
        </w:rPr>
        <w:instrText xml:space="preserve"> PAGEREF _Toc517530747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"_Toc517530748"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3.1.8</w:t>
      </w:r>
      <w:r>
        <w:rPr>
          <w:rStyle w:val="17"/>
          <w:rFonts w:hint="eastAsia" w:ascii="宋体" w:hAnsi="宋体" w:cs="宋体"/>
          <w:b/>
          <w:bCs/>
          <w:color w:val="auto"/>
          <w:highlight w:val="none"/>
        </w:rPr>
        <w:t>纳税和缴费</w:t>
      </w:r>
      <w:r>
        <w:rPr>
          <w:color w:val="auto"/>
          <w:highlight w:val="none"/>
        </w:rPr>
        <w:tab/>
      </w:r>
      <w:r>
        <w:rPr>
          <w:color w:val="auto"/>
          <w:highlight w:val="none"/>
        </w:rPr>
        <w:fldChar w:fldCharType="begin"/>
      </w:r>
      <w:r>
        <w:rPr>
          <w:color w:val="auto"/>
          <w:highlight w:val="none"/>
        </w:rPr>
        <w:instrText xml:space="preserve"> PAGEREF _Toc517530748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"_Toc517530749"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3.1.9</w:t>
      </w:r>
      <w:r>
        <w:rPr>
          <w:rStyle w:val="17"/>
          <w:rFonts w:hint="eastAsia" w:ascii="宋体" w:hAnsi="宋体" w:cs="宋体"/>
          <w:b/>
          <w:bCs/>
          <w:color w:val="auto"/>
          <w:highlight w:val="none"/>
        </w:rPr>
        <w:t>专项基金缴纳</w:t>
      </w:r>
      <w:r>
        <w:rPr>
          <w:color w:val="auto"/>
          <w:highlight w:val="none"/>
        </w:rPr>
        <w:tab/>
      </w:r>
      <w:r>
        <w:rPr>
          <w:color w:val="auto"/>
          <w:highlight w:val="none"/>
        </w:rPr>
        <w:fldChar w:fldCharType="begin"/>
      </w:r>
      <w:r>
        <w:rPr>
          <w:color w:val="auto"/>
          <w:highlight w:val="none"/>
        </w:rPr>
        <w:instrText xml:space="preserve"> PAGEREF _Toc517530749 \h </w:instrText>
      </w:r>
      <w:r>
        <w:rPr>
          <w:color w:val="auto"/>
          <w:highlight w:val="none"/>
        </w:rPr>
        <w:fldChar w:fldCharType="separate"/>
      </w:r>
      <w:r>
        <w:rPr>
          <w:color w:val="auto"/>
          <w:highlight w:val="none"/>
        </w:rPr>
        <w:t>33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"_Toc517530750"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3.2 </w:t>
      </w:r>
      <w:r>
        <w:rPr>
          <w:rStyle w:val="17"/>
          <w:rFonts w:hint="eastAsia" w:ascii="宋体" w:hAnsi="宋体" w:cs="宋体"/>
          <w:b/>
          <w:bCs/>
          <w:color w:val="auto"/>
          <w:highlight w:val="none"/>
        </w:rPr>
        <w:t>项目经理</w:t>
      </w:r>
      <w:r>
        <w:rPr>
          <w:color w:val="auto"/>
          <w:highlight w:val="none"/>
        </w:rPr>
        <w:tab/>
      </w:r>
      <w:r>
        <w:rPr>
          <w:color w:val="auto"/>
          <w:highlight w:val="none"/>
        </w:rPr>
        <w:fldChar w:fldCharType="begin"/>
      </w:r>
      <w:r>
        <w:rPr>
          <w:color w:val="auto"/>
          <w:highlight w:val="none"/>
        </w:rPr>
        <w:instrText xml:space="preserve"> PAGEREF _Toc517530750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"_Toc517530751"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3.2.1</w:t>
      </w:r>
      <w:r>
        <w:rPr>
          <w:rStyle w:val="17"/>
          <w:rFonts w:hint="eastAsia" w:ascii="宋体" w:hAnsi="宋体" w:cs="宋体"/>
          <w:b/>
          <w:bCs/>
          <w:color w:val="auto"/>
          <w:highlight w:val="none"/>
        </w:rPr>
        <w:t>项目经理的职责</w:t>
      </w:r>
      <w:r>
        <w:rPr>
          <w:color w:val="auto"/>
          <w:highlight w:val="none"/>
        </w:rPr>
        <w:tab/>
      </w:r>
      <w:r>
        <w:rPr>
          <w:color w:val="auto"/>
          <w:highlight w:val="none"/>
        </w:rPr>
        <w:fldChar w:fldCharType="begin"/>
      </w:r>
      <w:r>
        <w:rPr>
          <w:color w:val="auto"/>
          <w:highlight w:val="none"/>
        </w:rPr>
        <w:instrText xml:space="preserve"> PAGEREF _Toc517530751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"_Toc517530752"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3.2.2</w:t>
      </w:r>
      <w:r>
        <w:rPr>
          <w:rStyle w:val="17"/>
          <w:rFonts w:hint="eastAsia" w:ascii="宋体" w:hAnsi="宋体" w:cs="宋体"/>
          <w:b/>
          <w:bCs/>
          <w:color w:val="auto"/>
          <w:highlight w:val="none"/>
        </w:rPr>
        <w:t>紧急情况的处置</w:t>
      </w:r>
      <w:r>
        <w:rPr>
          <w:color w:val="auto"/>
          <w:highlight w:val="none"/>
        </w:rPr>
        <w:tab/>
      </w:r>
      <w:r>
        <w:rPr>
          <w:color w:val="auto"/>
          <w:highlight w:val="none"/>
        </w:rPr>
        <w:fldChar w:fldCharType="begin"/>
      </w:r>
      <w:r>
        <w:rPr>
          <w:color w:val="auto"/>
          <w:highlight w:val="none"/>
        </w:rPr>
        <w:instrText xml:space="preserve"> PAGEREF _Toc517530752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"_Toc517530753"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3.2.3</w:t>
      </w:r>
      <w:r>
        <w:rPr>
          <w:rStyle w:val="17"/>
          <w:rFonts w:hint="eastAsia" w:ascii="宋体" w:hAnsi="宋体" w:cs="宋体"/>
          <w:b/>
          <w:bCs/>
          <w:color w:val="auto"/>
          <w:highlight w:val="none"/>
        </w:rPr>
        <w:t>项目经理的更换</w:t>
      </w:r>
      <w:r>
        <w:rPr>
          <w:color w:val="auto"/>
          <w:highlight w:val="none"/>
        </w:rPr>
        <w:tab/>
      </w:r>
      <w:r>
        <w:rPr>
          <w:color w:val="auto"/>
          <w:highlight w:val="none"/>
        </w:rPr>
        <w:fldChar w:fldCharType="begin"/>
      </w:r>
      <w:r>
        <w:rPr>
          <w:color w:val="auto"/>
          <w:highlight w:val="none"/>
        </w:rPr>
        <w:instrText xml:space="preserve"> PAGEREF _Toc517530753 \h </w:instrText>
      </w:r>
      <w:r>
        <w:rPr>
          <w:color w:val="auto"/>
          <w:highlight w:val="none"/>
        </w:rPr>
        <w:fldChar w:fldCharType="separate"/>
      </w:r>
      <w:r>
        <w:rPr>
          <w:color w:val="auto"/>
          <w:highlight w:val="none"/>
        </w:rPr>
        <w:t>34</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"_Toc517530754"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3.3 </w:t>
      </w:r>
      <w:r>
        <w:rPr>
          <w:rStyle w:val="17"/>
          <w:rFonts w:hint="eastAsia" w:ascii="宋体" w:hAnsi="宋体" w:cs="宋体"/>
          <w:b/>
          <w:bCs/>
          <w:color w:val="auto"/>
          <w:highlight w:val="none"/>
        </w:rPr>
        <w:t>承包人人员</w:t>
      </w:r>
      <w:r>
        <w:rPr>
          <w:color w:val="auto"/>
          <w:highlight w:val="none"/>
        </w:rPr>
        <w:tab/>
      </w:r>
      <w:r>
        <w:rPr>
          <w:color w:val="auto"/>
          <w:highlight w:val="none"/>
        </w:rPr>
        <w:fldChar w:fldCharType="begin"/>
      </w:r>
      <w:r>
        <w:rPr>
          <w:color w:val="auto"/>
          <w:highlight w:val="none"/>
        </w:rPr>
        <w:instrText xml:space="preserve"> PAGEREF _Toc517530754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"_Toc517530755"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3.3.1</w:t>
      </w:r>
      <w:r>
        <w:rPr>
          <w:rStyle w:val="17"/>
          <w:rFonts w:hint="eastAsia" w:ascii="宋体" w:hAnsi="宋体" w:cs="宋体"/>
          <w:b/>
          <w:bCs/>
          <w:color w:val="auto"/>
          <w:highlight w:val="none"/>
        </w:rPr>
        <w:t>职工的聘（雇）用</w:t>
      </w:r>
      <w:r>
        <w:rPr>
          <w:color w:val="auto"/>
          <w:highlight w:val="none"/>
        </w:rPr>
        <w:tab/>
      </w:r>
      <w:r>
        <w:rPr>
          <w:color w:val="auto"/>
          <w:highlight w:val="none"/>
        </w:rPr>
        <w:fldChar w:fldCharType="begin"/>
      </w:r>
      <w:r>
        <w:rPr>
          <w:color w:val="auto"/>
          <w:highlight w:val="none"/>
        </w:rPr>
        <w:instrText xml:space="preserve"> PAGEREF _Toc517530755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"_Toc517530756"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3.3.2</w:t>
      </w:r>
      <w:r>
        <w:rPr>
          <w:rStyle w:val="17"/>
          <w:rFonts w:hint="eastAsia" w:ascii="宋体" w:hAnsi="宋体" w:cs="宋体"/>
          <w:b/>
          <w:bCs/>
          <w:color w:val="auto"/>
          <w:highlight w:val="none"/>
        </w:rPr>
        <w:t>承包人的职工</w:t>
      </w:r>
      <w:r>
        <w:rPr>
          <w:color w:val="auto"/>
          <w:highlight w:val="none"/>
        </w:rPr>
        <w:tab/>
      </w:r>
      <w:r>
        <w:rPr>
          <w:color w:val="auto"/>
          <w:highlight w:val="none"/>
        </w:rPr>
        <w:fldChar w:fldCharType="begin"/>
      </w:r>
      <w:r>
        <w:rPr>
          <w:color w:val="auto"/>
          <w:highlight w:val="none"/>
        </w:rPr>
        <w:instrText xml:space="preserve"> PAGEREF _Toc517530756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"_Toc517530757"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3.3.3</w:t>
      </w:r>
      <w:r>
        <w:rPr>
          <w:rStyle w:val="17"/>
          <w:rFonts w:hint="eastAsia" w:ascii="宋体" w:hAnsi="宋体" w:cs="宋体"/>
          <w:b/>
          <w:bCs/>
          <w:color w:val="auto"/>
          <w:highlight w:val="none"/>
        </w:rPr>
        <w:t>承包人人员及装备统计</w:t>
      </w:r>
      <w:r>
        <w:rPr>
          <w:color w:val="auto"/>
          <w:highlight w:val="none"/>
        </w:rPr>
        <w:tab/>
      </w:r>
      <w:r>
        <w:rPr>
          <w:color w:val="auto"/>
          <w:highlight w:val="none"/>
        </w:rPr>
        <w:fldChar w:fldCharType="begin"/>
      </w:r>
      <w:r>
        <w:rPr>
          <w:color w:val="auto"/>
          <w:highlight w:val="none"/>
        </w:rPr>
        <w:instrText xml:space="preserve"> PAGEREF _Toc517530757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"_Toc517530758"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3.3.4</w:t>
      </w:r>
      <w:r>
        <w:rPr>
          <w:rStyle w:val="17"/>
          <w:rFonts w:hint="eastAsia" w:ascii="宋体" w:hAnsi="宋体" w:cs="宋体"/>
          <w:b/>
          <w:bCs/>
          <w:color w:val="auto"/>
          <w:highlight w:val="none"/>
        </w:rPr>
        <w:t>承包人人员的更换与撤换</w:t>
      </w:r>
      <w:r>
        <w:rPr>
          <w:color w:val="auto"/>
          <w:highlight w:val="none"/>
        </w:rPr>
        <w:tab/>
      </w:r>
      <w:r>
        <w:rPr>
          <w:color w:val="auto"/>
          <w:highlight w:val="none"/>
        </w:rPr>
        <w:fldChar w:fldCharType="begin"/>
      </w:r>
      <w:r>
        <w:rPr>
          <w:color w:val="auto"/>
          <w:highlight w:val="none"/>
        </w:rPr>
        <w:instrText xml:space="preserve"> PAGEREF _Toc517530758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"_Toc517530759"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3.3.5</w:t>
      </w:r>
      <w:r>
        <w:rPr>
          <w:rStyle w:val="17"/>
          <w:rFonts w:hint="eastAsia" w:ascii="宋体" w:hAnsi="宋体" w:cs="宋体"/>
          <w:b/>
          <w:bCs/>
          <w:color w:val="auto"/>
          <w:highlight w:val="none"/>
        </w:rPr>
        <w:t>劳务分包与工资支付</w:t>
      </w:r>
      <w:r>
        <w:rPr>
          <w:color w:val="auto"/>
          <w:highlight w:val="none"/>
        </w:rPr>
        <w:tab/>
      </w:r>
      <w:r>
        <w:rPr>
          <w:color w:val="auto"/>
          <w:highlight w:val="none"/>
        </w:rPr>
        <w:fldChar w:fldCharType="begin"/>
      </w:r>
      <w:r>
        <w:rPr>
          <w:color w:val="auto"/>
          <w:highlight w:val="none"/>
        </w:rPr>
        <w:instrText xml:space="preserve"> PAGEREF _Toc517530759 \h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"_Toc517530760"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3.3.6</w:t>
      </w:r>
      <w:r>
        <w:rPr>
          <w:rStyle w:val="17"/>
          <w:rFonts w:hint="eastAsia" w:ascii="宋体" w:hAnsi="宋体" w:cs="宋体"/>
          <w:b/>
          <w:bCs/>
          <w:color w:val="auto"/>
          <w:highlight w:val="none"/>
        </w:rPr>
        <w:t>劳务协议报备</w:t>
      </w:r>
      <w:r>
        <w:rPr>
          <w:color w:val="auto"/>
          <w:highlight w:val="none"/>
        </w:rPr>
        <w:tab/>
      </w:r>
      <w:r>
        <w:rPr>
          <w:color w:val="auto"/>
          <w:highlight w:val="none"/>
        </w:rPr>
        <w:fldChar w:fldCharType="begin"/>
      </w:r>
      <w:r>
        <w:rPr>
          <w:color w:val="auto"/>
          <w:highlight w:val="none"/>
        </w:rPr>
        <w:instrText xml:space="preserve"> PAGEREF _Toc517530760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"_Toc517530761"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3.4 </w:t>
      </w:r>
      <w:r>
        <w:rPr>
          <w:rStyle w:val="17"/>
          <w:rFonts w:hint="eastAsia" w:ascii="宋体" w:hAnsi="宋体" w:cs="宋体"/>
          <w:b/>
          <w:bCs/>
          <w:color w:val="auto"/>
          <w:highlight w:val="none"/>
        </w:rPr>
        <w:t>承包人现场查勘</w:t>
      </w:r>
      <w:r>
        <w:rPr>
          <w:color w:val="auto"/>
          <w:highlight w:val="none"/>
        </w:rPr>
        <w:tab/>
      </w:r>
      <w:r>
        <w:rPr>
          <w:color w:val="auto"/>
          <w:highlight w:val="none"/>
        </w:rPr>
        <w:fldChar w:fldCharType="begin"/>
      </w:r>
      <w:r>
        <w:rPr>
          <w:color w:val="auto"/>
          <w:highlight w:val="none"/>
        </w:rPr>
        <w:instrText xml:space="preserve"> PAGEREF _Toc517530761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"_Toc517530762"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3.4.1</w:t>
      </w:r>
      <w:r>
        <w:rPr>
          <w:rStyle w:val="17"/>
          <w:rFonts w:hint="eastAsia" w:ascii="宋体" w:hAnsi="宋体" w:cs="宋体"/>
          <w:b/>
          <w:bCs/>
          <w:color w:val="auto"/>
          <w:highlight w:val="none"/>
        </w:rPr>
        <w:t>勘察资料</w:t>
      </w:r>
      <w:r>
        <w:rPr>
          <w:color w:val="auto"/>
          <w:highlight w:val="none"/>
        </w:rPr>
        <w:tab/>
      </w:r>
      <w:r>
        <w:rPr>
          <w:color w:val="auto"/>
          <w:highlight w:val="none"/>
        </w:rPr>
        <w:fldChar w:fldCharType="begin"/>
      </w:r>
      <w:r>
        <w:rPr>
          <w:color w:val="auto"/>
          <w:highlight w:val="none"/>
        </w:rPr>
        <w:instrText xml:space="preserve"> PAGEREF _Toc517530762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"_Toc517530763"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3.4.2</w:t>
      </w:r>
      <w:r>
        <w:rPr>
          <w:rStyle w:val="17"/>
          <w:rFonts w:hint="eastAsia" w:ascii="宋体" w:hAnsi="宋体" w:cs="宋体"/>
          <w:b/>
          <w:bCs/>
          <w:color w:val="auto"/>
          <w:highlight w:val="none"/>
        </w:rPr>
        <w:t>现场考察</w:t>
      </w:r>
      <w:r>
        <w:rPr>
          <w:color w:val="auto"/>
          <w:highlight w:val="none"/>
        </w:rPr>
        <w:tab/>
      </w:r>
      <w:r>
        <w:rPr>
          <w:color w:val="auto"/>
          <w:highlight w:val="none"/>
        </w:rPr>
        <w:fldChar w:fldCharType="begin"/>
      </w:r>
      <w:r>
        <w:rPr>
          <w:color w:val="auto"/>
          <w:highlight w:val="none"/>
        </w:rPr>
        <w:instrText xml:space="preserve"> PAGEREF _Toc517530763 \h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"_Toc517530764"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3.4.3</w:t>
      </w:r>
      <w:r>
        <w:rPr>
          <w:rStyle w:val="17"/>
          <w:rFonts w:hint="eastAsia" w:ascii="宋体" w:hAnsi="宋体" w:cs="宋体"/>
          <w:b/>
          <w:bCs/>
          <w:color w:val="auto"/>
          <w:highlight w:val="none"/>
        </w:rPr>
        <w:t>现场管线等地下构筑物对施工的影响</w:t>
      </w:r>
      <w:r>
        <w:rPr>
          <w:color w:val="auto"/>
          <w:highlight w:val="none"/>
        </w:rPr>
        <w:tab/>
      </w:r>
      <w:r>
        <w:rPr>
          <w:color w:val="auto"/>
          <w:highlight w:val="none"/>
        </w:rPr>
        <w:fldChar w:fldCharType="begin"/>
      </w:r>
      <w:r>
        <w:rPr>
          <w:color w:val="auto"/>
          <w:highlight w:val="none"/>
        </w:rPr>
        <w:instrText xml:space="preserve"> PAGEREF _Toc517530764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"_Toc517530765"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3.5</w:t>
      </w:r>
      <w:r>
        <w:rPr>
          <w:rStyle w:val="17"/>
          <w:rFonts w:hint="eastAsia" w:ascii="宋体" w:hAnsi="宋体" w:cs="宋体"/>
          <w:b/>
          <w:bCs/>
          <w:color w:val="auto"/>
          <w:highlight w:val="none"/>
        </w:rPr>
        <w:t>分包</w:t>
      </w:r>
      <w:r>
        <w:rPr>
          <w:color w:val="auto"/>
          <w:highlight w:val="none"/>
        </w:rPr>
        <w:tab/>
      </w:r>
      <w:r>
        <w:rPr>
          <w:color w:val="auto"/>
          <w:highlight w:val="none"/>
        </w:rPr>
        <w:fldChar w:fldCharType="begin"/>
      </w:r>
      <w:r>
        <w:rPr>
          <w:color w:val="auto"/>
          <w:highlight w:val="none"/>
        </w:rPr>
        <w:instrText xml:space="preserve"> PAGEREF _Toc517530765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"_Toc517530766"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3.5.1</w:t>
      </w:r>
      <w:r>
        <w:rPr>
          <w:rStyle w:val="17"/>
          <w:rFonts w:hint="eastAsia" w:ascii="宋体" w:hAnsi="宋体" w:cs="宋体"/>
          <w:b/>
          <w:bCs/>
          <w:color w:val="auto"/>
          <w:highlight w:val="none"/>
        </w:rPr>
        <w:t>禁止挂靠、转包或违法分包</w:t>
      </w:r>
      <w:r>
        <w:rPr>
          <w:color w:val="auto"/>
          <w:highlight w:val="none"/>
        </w:rPr>
        <w:tab/>
      </w:r>
      <w:r>
        <w:rPr>
          <w:color w:val="auto"/>
          <w:highlight w:val="none"/>
        </w:rPr>
        <w:fldChar w:fldCharType="begin"/>
      </w:r>
      <w:r>
        <w:rPr>
          <w:color w:val="auto"/>
          <w:highlight w:val="none"/>
        </w:rPr>
        <w:instrText xml:space="preserve"> PAGEREF _Toc517530766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"_Toc517530767"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3.5.2</w:t>
      </w:r>
      <w:r>
        <w:rPr>
          <w:rStyle w:val="17"/>
          <w:rFonts w:hint="eastAsia" w:ascii="宋体" w:hAnsi="宋体" w:cs="宋体"/>
          <w:b/>
          <w:bCs/>
          <w:color w:val="auto"/>
          <w:highlight w:val="none"/>
        </w:rPr>
        <w:t>分包不解除责任</w:t>
      </w:r>
      <w:r>
        <w:rPr>
          <w:color w:val="auto"/>
          <w:highlight w:val="none"/>
        </w:rPr>
        <w:tab/>
      </w:r>
      <w:r>
        <w:rPr>
          <w:color w:val="auto"/>
          <w:highlight w:val="none"/>
        </w:rPr>
        <w:fldChar w:fldCharType="begin"/>
      </w:r>
      <w:r>
        <w:rPr>
          <w:color w:val="auto"/>
          <w:highlight w:val="none"/>
        </w:rPr>
        <w:instrText xml:space="preserve"> PAGEREF _Toc517530767 \h </w:instrText>
      </w:r>
      <w:r>
        <w:rPr>
          <w:color w:val="auto"/>
          <w:highlight w:val="none"/>
        </w:rPr>
        <w:fldChar w:fldCharType="separate"/>
      </w:r>
      <w:r>
        <w:rPr>
          <w:color w:val="auto"/>
          <w:highlight w:val="none"/>
        </w:rPr>
        <w:t>37</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"_Toc517530768"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3.6</w:t>
      </w:r>
      <w:r>
        <w:rPr>
          <w:rStyle w:val="17"/>
          <w:rFonts w:hint="eastAsia" w:ascii="宋体" w:hAnsi="宋体" w:cs="宋体"/>
          <w:b/>
          <w:bCs/>
          <w:color w:val="auto"/>
          <w:highlight w:val="none"/>
        </w:rPr>
        <w:t>承包人对指定专业工程承包人管理所发生的费用</w:t>
      </w:r>
      <w:r>
        <w:rPr>
          <w:color w:val="auto"/>
          <w:highlight w:val="none"/>
        </w:rPr>
        <w:tab/>
      </w:r>
      <w:r>
        <w:rPr>
          <w:color w:val="auto"/>
          <w:highlight w:val="none"/>
        </w:rPr>
        <w:fldChar w:fldCharType="begin"/>
      </w:r>
      <w:r>
        <w:rPr>
          <w:color w:val="auto"/>
          <w:highlight w:val="none"/>
        </w:rPr>
        <w:instrText xml:space="preserve"> PAGEREF _Toc517530768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"_Toc517530769"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3.7 </w:t>
      </w:r>
      <w:r>
        <w:rPr>
          <w:rStyle w:val="17"/>
          <w:rFonts w:hint="eastAsia" w:ascii="宋体" w:hAnsi="宋体" w:cs="宋体"/>
          <w:b/>
          <w:bCs/>
          <w:color w:val="auto"/>
          <w:highlight w:val="none"/>
        </w:rPr>
        <w:t>履约担保</w:t>
      </w:r>
      <w:r>
        <w:rPr>
          <w:color w:val="auto"/>
          <w:highlight w:val="none"/>
        </w:rPr>
        <w:tab/>
      </w:r>
      <w:r>
        <w:rPr>
          <w:color w:val="auto"/>
          <w:highlight w:val="none"/>
        </w:rPr>
        <w:fldChar w:fldCharType="begin"/>
      </w:r>
      <w:r>
        <w:rPr>
          <w:color w:val="auto"/>
          <w:highlight w:val="none"/>
        </w:rPr>
        <w:instrText xml:space="preserve"> PAGEREF _Toc517530769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"_Toc517530770"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3.7.1</w:t>
      </w:r>
      <w:r>
        <w:rPr>
          <w:rStyle w:val="17"/>
          <w:rFonts w:hint="eastAsia" w:ascii="宋体" w:hAnsi="宋体" w:cs="宋体"/>
          <w:b/>
          <w:bCs/>
          <w:color w:val="auto"/>
          <w:highlight w:val="none"/>
        </w:rPr>
        <w:t>履约担保金额</w:t>
      </w:r>
      <w:r>
        <w:rPr>
          <w:color w:val="auto"/>
          <w:highlight w:val="none"/>
        </w:rPr>
        <w:tab/>
      </w:r>
      <w:r>
        <w:rPr>
          <w:color w:val="auto"/>
          <w:highlight w:val="none"/>
        </w:rPr>
        <w:fldChar w:fldCharType="begin"/>
      </w:r>
      <w:r>
        <w:rPr>
          <w:color w:val="auto"/>
          <w:highlight w:val="none"/>
        </w:rPr>
        <w:instrText xml:space="preserve"> PAGEREF _Toc517530770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"_Toc517530771"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3.7.2</w:t>
      </w:r>
      <w:r>
        <w:rPr>
          <w:rStyle w:val="17"/>
          <w:rFonts w:hint="eastAsia" w:ascii="宋体" w:hAnsi="宋体" w:cs="宋体"/>
          <w:b/>
          <w:bCs/>
          <w:color w:val="auto"/>
          <w:highlight w:val="none"/>
        </w:rPr>
        <w:t>履约担保形式</w:t>
      </w:r>
      <w:r>
        <w:rPr>
          <w:color w:val="auto"/>
          <w:highlight w:val="none"/>
        </w:rPr>
        <w:tab/>
      </w:r>
      <w:r>
        <w:rPr>
          <w:color w:val="auto"/>
          <w:highlight w:val="none"/>
        </w:rPr>
        <w:fldChar w:fldCharType="begin"/>
      </w:r>
      <w:r>
        <w:rPr>
          <w:color w:val="auto"/>
          <w:highlight w:val="none"/>
        </w:rPr>
        <w:instrText xml:space="preserve"> PAGEREF _Toc517530771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"_Toc517530772"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3.7.3</w:t>
      </w:r>
      <w:r>
        <w:rPr>
          <w:rStyle w:val="17"/>
          <w:rFonts w:hint="eastAsia" w:ascii="宋体" w:hAnsi="宋体" w:cs="宋体"/>
          <w:b/>
          <w:bCs/>
          <w:color w:val="auto"/>
          <w:highlight w:val="none"/>
        </w:rPr>
        <w:t>履约担保的有效期</w:t>
      </w:r>
      <w:r>
        <w:rPr>
          <w:color w:val="auto"/>
          <w:highlight w:val="none"/>
        </w:rPr>
        <w:tab/>
      </w:r>
      <w:r>
        <w:rPr>
          <w:color w:val="auto"/>
          <w:highlight w:val="none"/>
        </w:rPr>
        <w:fldChar w:fldCharType="begin"/>
      </w:r>
      <w:r>
        <w:rPr>
          <w:color w:val="auto"/>
          <w:highlight w:val="none"/>
        </w:rPr>
        <w:instrText xml:space="preserve"> PAGEREF _Toc517530772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"_Toc517530773"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3.7.4</w:t>
      </w:r>
      <w:r>
        <w:rPr>
          <w:rStyle w:val="17"/>
          <w:rFonts w:hint="eastAsia" w:ascii="宋体" w:hAnsi="宋体" w:cs="宋体"/>
          <w:b/>
          <w:bCs/>
          <w:color w:val="auto"/>
          <w:highlight w:val="none"/>
        </w:rPr>
        <w:t>履约担保项下的索赔</w:t>
      </w:r>
      <w:r>
        <w:rPr>
          <w:color w:val="auto"/>
          <w:highlight w:val="none"/>
        </w:rPr>
        <w:tab/>
      </w:r>
      <w:r>
        <w:rPr>
          <w:color w:val="auto"/>
          <w:highlight w:val="none"/>
        </w:rPr>
        <w:fldChar w:fldCharType="begin"/>
      </w:r>
      <w:r>
        <w:rPr>
          <w:color w:val="auto"/>
          <w:highlight w:val="none"/>
        </w:rPr>
        <w:instrText xml:space="preserve"> PAGEREF _Toc517530773 \h </w:instrText>
      </w:r>
      <w:r>
        <w:rPr>
          <w:color w:val="auto"/>
          <w:highlight w:val="none"/>
        </w:rPr>
        <w:fldChar w:fldCharType="separate"/>
      </w:r>
      <w:r>
        <w:rPr>
          <w:color w:val="auto"/>
          <w:highlight w:val="none"/>
        </w:rPr>
        <w:t>38</w:t>
      </w:r>
      <w:r>
        <w:rPr>
          <w:color w:val="auto"/>
          <w:highlight w:val="none"/>
        </w:rPr>
        <w:fldChar w:fldCharType="end"/>
      </w:r>
      <w:r>
        <w:rPr>
          <w:color w:val="auto"/>
          <w:highlight w:val="none"/>
        </w:rPr>
        <w:fldChar w:fldCharType="end"/>
      </w:r>
    </w:p>
    <w:p>
      <w:pPr>
        <w:pStyle w:val="9"/>
        <w:tabs>
          <w:tab w:val="left" w:pos="1050"/>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"_Toc517530774"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(a)</w:t>
      </w:r>
      <w:r>
        <w:rPr>
          <w:rFonts w:cs="Times New Roman"/>
          <w:i w:val="0"/>
          <w:iCs w:val="0"/>
          <w:color w:val="auto"/>
          <w:sz w:val="21"/>
          <w:szCs w:val="22"/>
          <w:highlight w:val="none"/>
        </w:rPr>
        <w:tab/>
      </w:r>
      <w:r>
        <w:rPr>
          <w:rStyle w:val="17"/>
          <w:rFonts w:ascii="宋体" w:hAnsi="宋体" w:cs="宋体"/>
          <w:b/>
          <w:bCs/>
          <w:color w:val="auto"/>
          <w:highlight w:val="none"/>
        </w:rPr>
        <w:t xml:space="preserve">3.8 </w:t>
      </w:r>
      <w:r>
        <w:rPr>
          <w:rStyle w:val="17"/>
          <w:rFonts w:hint="eastAsia" w:ascii="宋体" w:hAnsi="宋体" w:cs="宋体"/>
          <w:b/>
          <w:bCs/>
          <w:color w:val="auto"/>
          <w:highlight w:val="none"/>
        </w:rPr>
        <w:t>联合体</w:t>
      </w:r>
      <w:r>
        <w:rPr>
          <w:color w:val="auto"/>
          <w:highlight w:val="none"/>
        </w:rPr>
        <w:tab/>
      </w:r>
      <w:r>
        <w:rPr>
          <w:color w:val="auto"/>
          <w:highlight w:val="none"/>
        </w:rPr>
        <w:fldChar w:fldCharType="begin"/>
      </w:r>
      <w:r>
        <w:rPr>
          <w:color w:val="auto"/>
          <w:highlight w:val="none"/>
        </w:rPr>
        <w:instrText xml:space="preserve"> PAGEREF _Toc517530774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"_Toc517530775"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3.8.1 </w:t>
      </w:r>
      <w:r>
        <w:rPr>
          <w:rStyle w:val="17"/>
          <w:rFonts w:hint="eastAsia" w:ascii="宋体" w:hAnsi="宋体" w:cs="宋体"/>
          <w:b/>
          <w:bCs/>
          <w:color w:val="auto"/>
          <w:highlight w:val="none"/>
        </w:rPr>
        <w:t>连带责任</w:t>
      </w:r>
      <w:r>
        <w:rPr>
          <w:color w:val="auto"/>
          <w:highlight w:val="none"/>
        </w:rPr>
        <w:tab/>
      </w:r>
      <w:r>
        <w:rPr>
          <w:color w:val="auto"/>
          <w:highlight w:val="none"/>
        </w:rPr>
        <w:fldChar w:fldCharType="begin"/>
      </w:r>
      <w:r>
        <w:rPr>
          <w:color w:val="auto"/>
          <w:highlight w:val="none"/>
        </w:rPr>
        <w:instrText xml:space="preserve"> PAGEREF _Toc517530775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"_Toc517530776"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3.8.2 </w:t>
      </w:r>
      <w:r>
        <w:rPr>
          <w:rStyle w:val="17"/>
          <w:rFonts w:hint="eastAsia" w:ascii="宋体" w:hAnsi="宋体" w:cs="宋体"/>
          <w:b/>
          <w:bCs/>
          <w:color w:val="auto"/>
          <w:highlight w:val="none"/>
        </w:rPr>
        <w:t>联合体代表</w:t>
      </w:r>
      <w:r>
        <w:rPr>
          <w:color w:val="auto"/>
          <w:highlight w:val="none"/>
        </w:rPr>
        <w:tab/>
      </w:r>
      <w:r>
        <w:rPr>
          <w:color w:val="auto"/>
          <w:highlight w:val="none"/>
        </w:rPr>
        <w:fldChar w:fldCharType="begin"/>
      </w:r>
      <w:r>
        <w:rPr>
          <w:color w:val="auto"/>
          <w:highlight w:val="none"/>
        </w:rPr>
        <w:instrText xml:space="preserve"> PAGEREF _Toc517530776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"_Toc517530777"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3.9 </w:t>
      </w:r>
      <w:r>
        <w:rPr>
          <w:rStyle w:val="17"/>
          <w:rFonts w:hint="eastAsia" w:ascii="宋体" w:hAnsi="宋体" w:cs="宋体"/>
          <w:b/>
          <w:bCs/>
          <w:color w:val="auto"/>
          <w:highlight w:val="none"/>
        </w:rPr>
        <w:t>严格执行合同要求</w:t>
      </w:r>
      <w:r>
        <w:rPr>
          <w:color w:val="auto"/>
          <w:highlight w:val="none"/>
        </w:rPr>
        <w:tab/>
      </w:r>
      <w:r>
        <w:rPr>
          <w:color w:val="auto"/>
          <w:highlight w:val="none"/>
        </w:rPr>
        <w:fldChar w:fldCharType="begin"/>
      </w:r>
      <w:r>
        <w:rPr>
          <w:color w:val="auto"/>
          <w:highlight w:val="none"/>
        </w:rPr>
        <w:instrText xml:space="preserve"> PAGEREF _Toc517530777 \h </w:instrText>
      </w:r>
      <w:r>
        <w:rPr>
          <w:color w:val="auto"/>
          <w:highlight w:val="none"/>
        </w:rPr>
        <w:fldChar w:fldCharType="separate"/>
      </w:r>
      <w:r>
        <w:rPr>
          <w:color w:val="auto"/>
          <w:highlight w:val="none"/>
        </w:rPr>
        <w:t>39</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"_Toc517530778"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4. </w:t>
      </w:r>
      <w:r>
        <w:rPr>
          <w:rStyle w:val="17"/>
          <w:rFonts w:hint="eastAsia" w:ascii="宋体" w:hAnsi="宋体" w:cs="宋体"/>
          <w:b/>
          <w:bCs/>
          <w:color w:val="auto"/>
          <w:highlight w:val="none"/>
        </w:rPr>
        <w:t>监理人</w:t>
      </w:r>
      <w:r>
        <w:rPr>
          <w:color w:val="auto"/>
          <w:highlight w:val="none"/>
        </w:rPr>
        <w:tab/>
      </w:r>
      <w:r>
        <w:rPr>
          <w:color w:val="auto"/>
          <w:highlight w:val="none"/>
        </w:rPr>
        <w:fldChar w:fldCharType="begin"/>
      </w:r>
      <w:r>
        <w:rPr>
          <w:color w:val="auto"/>
          <w:highlight w:val="none"/>
        </w:rPr>
        <w:instrText xml:space="preserve"> PAGEREF _Toc517530778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"_Toc517530779"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4.1</w:t>
      </w:r>
      <w:r>
        <w:rPr>
          <w:rStyle w:val="17"/>
          <w:rFonts w:hint="eastAsia" w:ascii="宋体" w:hAnsi="宋体" w:cs="宋体"/>
          <w:b/>
          <w:bCs/>
          <w:color w:val="auto"/>
          <w:highlight w:val="none"/>
        </w:rPr>
        <w:t>监理人的一般规定</w:t>
      </w:r>
      <w:r>
        <w:rPr>
          <w:color w:val="auto"/>
          <w:highlight w:val="none"/>
        </w:rPr>
        <w:tab/>
      </w:r>
      <w:r>
        <w:rPr>
          <w:color w:val="auto"/>
          <w:highlight w:val="none"/>
        </w:rPr>
        <w:fldChar w:fldCharType="begin"/>
      </w:r>
      <w:r>
        <w:rPr>
          <w:color w:val="auto"/>
          <w:highlight w:val="none"/>
        </w:rPr>
        <w:instrText xml:space="preserve"> PAGEREF _Toc517530779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"_Toc517530780"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4.1.1</w:t>
      </w:r>
      <w:r>
        <w:rPr>
          <w:rStyle w:val="17"/>
          <w:rFonts w:hint="eastAsia" w:ascii="宋体" w:hAnsi="宋体" w:cs="宋体"/>
          <w:b/>
          <w:bCs/>
          <w:color w:val="auto"/>
          <w:highlight w:val="none"/>
        </w:rPr>
        <w:t>监理人的职责和权限</w:t>
      </w:r>
      <w:r>
        <w:rPr>
          <w:color w:val="auto"/>
          <w:highlight w:val="none"/>
        </w:rPr>
        <w:tab/>
      </w:r>
      <w:r>
        <w:rPr>
          <w:color w:val="auto"/>
          <w:highlight w:val="none"/>
        </w:rPr>
        <w:fldChar w:fldCharType="begin"/>
      </w:r>
      <w:r>
        <w:rPr>
          <w:color w:val="auto"/>
          <w:highlight w:val="none"/>
        </w:rPr>
        <w:instrText xml:space="preserve"> PAGEREF _Toc517530780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"_Toc517530781"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4.1.2</w:t>
      </w:r>
      <w:r>
        <w:rPr>
          <w:rStyle w:val="17"/>
          <w:rFonts w:hint="eastAsia" w:ascii="宋体" w:hAnsi="宋体" w:cs="宋体"/>
          <w:b/>
          <w:bCs/>
          <w:color w:val="auto"/>
          <w:highlight w:val="none"/>
        </w:rPr>
        <w:t>书面指令</w:t>
      </w:r>
      <w:r>
        <w:rPr>
          <w:color w:val="auto"/>
          <w:highlight w:val="none"/>
        </w:rPr>
        <w:tab/>
      </w:r>
      <w:r>
        <w:rPr>
          <w:color w:val="auto"/>
          <w:highlight w:val="none"/>
        </w:rPr>
        <w:fldChar w:fldCharType="begin"/>
      </w:r>
      <w:r>
        <w:rPr>
          <w:color w:val="auto"/>
          <w:highlight w:val="none"/>
        </w:rPr>
        <w:instrText xml:space="preserve"> PAGEREF _Toc517530781 \h </w:instrText>
      </w:r>
      <w:r>
        <w:rPr>
          <w:color w:val="auto"/>
          <w:highlight w:val="none"/>
        </w:rPr>
        <w:fldChar w:fldCharType="separate"/>
      </w:r>
      <w:r>
        <w:rPr>
          <w:color w:val="auto"/>
          <w:highlight w:val="none"/>
        </w:rPr>
        <w:t>40</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"_Toc517530782"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4.1.3</w:t>
      </w:r>
      <w:r>
        <w:rPr>
          <w:rStyle w:val="17"/>
          <w:rFonts w:hint="eastAsia" w:ascii="宋体" w:hAnsi="宋体" w:cs="宋体"/>
          <w:b/>
          <w:bCs/>
          <w:color w:val="auto"/>
          <w:highlight w:val="none"/>
        </w:rPr>
        <w:t>监理人客观中立</w:t>
      </w:r>
      <w:r>
        <w:rPr>
          <w:color w:val="auto"/>
          <w:highlight w:val="none"/>
        </w:rPr>
        <w:tab/>
      </w:r>
      <w:r>
        <w:rPr>
          <w:color w:val="auto"/>
          <w:highlight w:val="none"/>
        </w:rPr>
        <w:fldChar w:fldCharType="begin"/>
      </w:r>
      <w:r>
        <w:rPr>
          <w:color w:val="auto"/>
          <w:highlight w:val="none"/>
        </w:rPr>
        <w:instrText xml:space="preserve"> PAGEREF _Toc517530782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"_Toc517530783"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4.2</w:t>
      </w:r>
      <w:r>
        <w:rPr>
          <w:rStyle w:val="17"/>
          <w:rFonts w:hint="eastAsia" w:ascii="宋体" w:hAnsi="宋体" w:cs="宋体"/>
          <w:b/>
          <w:bCs/>
          <w:color w:val="auto"/>
          <w:highlight w:val="none"/>
        </w:rPr>
        <w:t>监理人员</w:t>
      </w:r>
      <w:r>
        <w:rPr>
          <w:color w:val="auto"/>
          <w:highlight w:val="none"/>
        </w:rPr>
        <w:tab/>
      </w:r>
      <w:r>
        <w:rPr>
          <w:color w:val="auto"/>
          <w:highlight w:val="none"/>
        </w:rPr>
        <w:fldChar w:fldCharType="begin"/>
      </w:r>
      <w:r>
        <w:rPr>
          <w:color w:val="auto"/>
          <w:highlight w:val="none"/>
        </w:rPr>
        <w:instrText xml:space="preserve"> PAGEREF _Toc517530783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"_Toc517530784"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4.2.1</w:t>
      </w:r>
      <w:r>
        <w:rPr>
          <w:rStyle w:val="17"/>
          <w:rFonts w:hint="eastAsia" w:ascii="宋体" w:hAnsi="宋体" w:cs="宋体"/>
          <w:b/>
          <w:bCs/>
          <w:color w:val="auto"/>
          <w:highlight w:val="none"/>
        </w:rPr>
        <w:t>总监理工程师</w:t>
      </w:r>
      <w:r>
        <w:rPr>
          <w:color w:val="auto"/>
          <w:highlight w:val="none"/>
        </w:rPr>
        <w:tab/>
      </w:r>
      <w:r>
        <w:rPr>
          <w:color w:val="auto"/>
          <w:highlight w:val="none"/>
        </w:rPr>
        <w:fldChar w:fldCharType="begin"/>
      </w:r>
      <w:r>
        <w:rPr>
          <w:color w:val="auto"/>
          <w:highlight w:val="none"/>
        </w:rPr>
        <w:instrText xml:space="preserve"> PAGEREF _Toc517530784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"_Toc517530785"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4.2.2</w:t>
      </w:r>
      <w:r>
        <w:rPr>
          <w:rStyle w:val="17"/>
          <w:rFonts w:hint="eastAsia" w:ascii="宋体" w:hAnsi="宋体" w:cs="宋体"/>
          <w:b/>
          <w:bCs/>
          <w:color w:val="auto"/>
          <w:highlight w:val="none"/>
        </w:rPr>
        <w:t>总监理工程师助理</w:t>
      </w:r>
      <w:r>
        <w:rPr>
          <w:color w:val="auto"/>
          <w:highlight w:val="none"/>
        </w:rPr>
        <w:tab/>
      </w:r>
      <w:r>
        <w:rPr>
          <w:color w:val="auto"/>
          <w:highlight w:val="none"/>
        </w:rPr>
        <w:fldChar w:fldCharType="begin"/>
      </w:r>
      <w:r>
        <w:rPr>
          <w:color w:val="auto"/>
          <w:highlight w:val="none"/>
        </w:rPr>
        <w:instrText xml:space="preserve"> PAGEREF _Toc517530785 \h </w:instrText>
      </w:r>
      <w:r>
        <w:rPr>
          <w:color w:val="auto"/>
          <w:highlight w:val="none"/>
        </w:rPr>
        <w:fldChar w:fldCharType="separate"/>
      </w:r>
      <w:r>
        <w:rPr>
          <w:color w:val="auto"/>
          <w:highlight w:val="none"/>
        </w:rPr>
        <w:t>41</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"_Toc517530786"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5.</w:t>
      </w:r>
      <w:r>
        <w:rPr>
          <w:rStyle w:val="17"/>
          <w:rFonts w:hint="eastAsia" w:ascii="宋体" w:hAnsi="宋体" w:cs="宋体"/>
          <w:b/>
          <w:bCs/>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_Toc517530786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"_Toc517530787"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5.1</w:t>
      </w:r>
      <w:r>
        <w:rPr>
          <w:rStyle w:val="17"/>
          <w:rFonts w:hint="eastAsia" w:ascii="宋体" w:hAnsi="宋体" w:cs="宋体"/>
          <w:b/>
          <w:bCs/>
          <w:color w:val="auto"/>
          <w:highlight w:val="none"/>
        </w:rPr>
        <w:t>质量要求</w:t>
      </w:r>
      <w:r>
        <w:rPr>
          <w:color w:val="auto"/>
          <w:highlight w:val="none"/>
        </w:rPr>
        <w:tab/>
      </w:r>
      <w:r>
        <w:rPr>
          <w:color w:val="auto"/>
          <w:highlight w:val="none"/>
        </w:rPr>
        <w:fldChar w:fldCharType="begin"/>
      </w:r>
      <w:r>
        <w:rPr>
          <w:color w:val="auto"/>
          <w:highlight w:val="none"/>
        </w:rPr>
        <w:instrText xml:space="preserve"> PAGEREF _Toc517530787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"_Toc517530788"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5.2</w:t>
      </w:r>
      <w:r>
        <w:rPr>
          <w:rStyle w:val="17"/>
          <w:rFonts w:hint="eastAsia" w:ascii="宋体" w:hAnsi="宋体" w:cs="宋体"/>
          <w:b/>
          <w:bCs/>
          <w:color w:val="auto"/>
          <w:highlight w:val="none"/>
        </w:rPr>
        <w:t>承包人控制质量的责任</w:t>
      </w:r>
      <w:r>
        <w:rPr>
          <w:color w:val="auto"/>
          <w:highlight w:val="none"/>
        </w:rPr>
        <w:tab/>
      </w:r>
      <w:r>
        <w:rPr>
          <w:color w:val="auto"/>
          <w:highlight w:val="none"/>
        </w:rPr>
        <w:fldChar w:fldCharType="begin"/>
      </w:r>
      <w:r>
        <w:rPr>
          <w:color w:val="auto"/>
          <w:highlight w:val="none"/>
        </w:rPr>
        <w:instrText xml:space="preserve"> PAGEREF _Toc517530788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"_Toc517530789"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5.3</w:t>
      </w:r>
      <w:r>
        <w:rPr>
          <w:rStyle w:val="17"/>
          <w:rFonts w:hint="eastAsia" w:ascii="宋体" w:hAnsi="宋体" w:cs="宋体"/>
          <w:b/>
          <w:bCs/>
          <w:color w:val="auto"/>
          <w:highlight w:val="none"/>
        </w:rPr>
        <w:t>发包人的</w:t>
      </w:r>
      <w:bookmarkStart w:id="175" w:name="_Hlt521425148"/>
      <w:r>
        <w:rPr>
          <w:rStyle w:val="17"/>
          <w:rFonts w:hint="eastAsia" w:ascii="宋体" w:hAnsi="宋体" w:cs="宋体"/>
          <w:b/>
          <w:bCs/>
          <w:color w:val="auto"/>
          <w:highlight w:val="none"/>
        </w:rPr>
        <w:t>抽</w:t>
      </w:r>
      <w:bookmarkEnd w:id="175"/>
      <w:r>
        <w:rPr>
          <w:rStyle w:val="17"/>
          <w:rFonts w:hint="eastAsia" w:ascii="宋体" w:hAnsi="宋体" w:cs="宋体"/>
          <w:b/>
          <w:bCs/>
          <w:color w:val="auto"/>
          <w:highlight w:val="none"/>
        </w:rPr>
        <w:t>查权</w:t>
      </w:r>
      <w:r>
        <w:rPr>
          <w:color w:val="auto"/>
          <w:highlight w:val="none"/>
        </w:rPr>
        <w:tab/>
      </w:r>
      <w:r>
        <w:rPr>
          <w:color w:val="auto"/>
          <w:highlight w:val="none"/>
        </w:rPr>
        <w:fldChar w:fldCharType="begin"/>
      </w:r>
      <w:r>
        <w:rPr>
          <w:color w:val="auto"/>
          <w:highlight w:val="none"/>
        </w:rPr>
        <w:instrText xml:space="preserve"> PAGEREF _Toc517530789 \h </w:instrText>
      </w:r>
      <w:r>
        <w:rPr>
          <w:color w:val="auto"/>
          <w:highlight w:val="none"/>
        </w:rPr>
        <w:fldChar w:fldCharType="separate"/>
      </w:r>
      <w:r>
        <w:rPr>
          <w:color w:val="auto"/>
          <w:highlight w:val="none"/>
        </w:rPr>
        <w:t>42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"_Toc517530790"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5.4</w:t>
      </w:r>
      <w:r>
        <w:rPr>
          <w:rStyle w:val="17"/>
          <w:rFonts w:hint="eastAsia" w:ascii="宋体" w:hAnsi="宋体" w:cs="宋体"/>
          <w:b/>
          <w:bCs/>
          <w:color w:val="auto"/>
          <w:highlight w:val="none"/>
        </w:rPr>
        <w:t>质量、安全检查</w:t>
      </w:r>
      <w:r>
        <w:rPr>
          <w:color w:val="auto"/>
          <w:highlight w:val="none"/>
        </w:rPr>
        <w:tab/>
      </w:r>
      <w:r>
        <w:rPr>
          <w:color w:val="auto"/>
          <w:highlight w:val="none"/>
        </w:rPr>
        <w:fldChar w:fldCharType="begin"/>
      </w:r>
      <w:r>
        <w:rPr>
          <w:color w:val="auto"/>
          <w:highlight w:val="none"/>
        </w:rPr>
        <w:instrText xml:space="preserve"> PAGEREF _Toc517530790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"_Toc517530791"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w:t>
      </w:r>
      <w:r>
        <w:rPr>
          <w:rStyle w:val="17"/>
          <w:rFonts w:hint="eastAsia" w:ascii="宋体" w:hAnsi="宋体" w:cs="宋体"/>
          <w:b/>
          <w:bCs/>
          <w:color w:val="auto"/>
          <w:highlight w:val="none"/>
        </w:rPr>
        <w:t>安全文明施工与环境保护</w:t>
      </w:r>
      <w:r>
        <w:rPr>
          <w:color w:val="auto"/>
          <w:highlight w:val="none"/>
        </w:rPr>
        <w:tab/>
      </w:r>
      <w:r>
        <w:rPr>
          <w:color w:val="auto"/>
          <w:highlight w:val="none"/>
        </w:rPr>
        <w:fldChar w:fldCharType="begin"/>
      </w:r>
      <w:r>
        <w:rPr>
          <w:color w:val="auto"/>
          <w:highlight w:val="none"/>
        </w:rPr>
        <w:instrText xml:space="preserve"> PAGEREF _Toc517530791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"_Toc517530792"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6.1</w:t>
      </w:r>
      <w:r>
        <w:rPr>
          <w:rStyle w:val="17"/>
          <w:rFonts w:hint="eastAsia" w:ascii="宋体" w:hAnsi="宋体" w:cs="宋体"/>
          <w:b/>
          <w:bCs/>
          <w:color w:val="auto"/>
          <w:highlight w:val="none"/>
        </w:rPr>
        <w:t>安全文明施工</w:t>
      </w:r>
      <w:r>
        <w:rPr>
          <w:color w:val="auto"/>
          <w:highlight w:val="none"/>
        </w:rPr>
        <w:tab/>
      </w:r>
      <w:r>
        <w:rPr>
          <w:color w:val="auto"/>
          <w:highlight w:val="none"/>
        </w:rPr>
        <w:fldChar w:fldCharType="begin"/>
      </w:r>
      <w:r>
        <w:rPr>
          <w:color w:val="auto"/>
          <w:highlight w:val="none"/>
        </w:rPr>
        <w:instrText xml:space="preserve"> PAGEREF _Toc517530792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"_Toc517530793"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6.1.1</w:t>
      </w:r>
      <w:r>
        <w:rPr>
          <w:rStyle w:val="17"/>
          <w:rFonts w:hint="eastAsia" w:ascii="宋体" w:hAnsi="宋体" w:cs="宋体"/>
          <w:b/>
          <w:bCs/>
          <w:color w:val="auto"/>
          <w:highlight w:val="none"/>
        </w:rPr>
        <w:t>一般要求</w:t>
      </w:r>
      <w:r>
        <w:rPr>
          <w:color w:val="auto"/>
          <w:highlight w:val="none"/>
        </w:rPr>
        <w:tab/>
      </w:r>
      <w:r>
        <w:rPr>
          <w:color w:val="auto"/>
          <w:highlight w:val="none"/>
        </w:rPr>
        <w:fldChar w:fldCharType="begin"/>
      </w:r>
      <w:r>
        <w:rPr>
          <w:color w:val="auto"/>
          <w:highlight w:val="none"/>
        </w:rPr>
        <w:instrText xml:space="preserve"> PAGEREF _Toc517530793 \h </w:instrText>
      </w:r>
      <w:r>
        <w:rPr>
          <w:color w:val="auto"/>
          <w:highlight w:val="none"/>
        </w:rPr>
        <w:fldChar w:fldCharType="separate"/>
      </w:r>
      <w:r>
        <w:rPr>
          <w:color w:val="auto"/>
          <w:highlight w:val="none"/>
        </w:rPr>
        <w:t>43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"_Toc517530794"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6.1.2</w:t>
      </w:r>
      <w:r>
        <w:rPr>
          <w:rStyle w:val="17"/>
          <w:rFonts w:hint="eastAsia" w:ascii="宋体" w:hAnsi="宋体" w:cs="宋体"/>
          <w:b/>
          <w:bCs/>
          <w:color w:val="auto"/>
          <w:highlight w:val="none"/>
        </w:rPr>
        <w:t>施工对邻近房产和群众的干扰</w:t>
      </w:r>
      <w:r>
        <w:rPr>
          <w:color w:val="auto"/>
          <w:highlight w:val="none"/>
        </w:rPr>
        <w:tab/>
      </w:r>
      <w:r>
        <w:rPr>
          <w:color w:val="auto"/>
          <w:highlight w:val="none"/>
        </w:rPr>
        <w:fldChar w:fldCharType="begin"/>
      </w:r>
      <w:r>
        <w:rPr>
          <w:color w:val="auto"/>
          <w:highlight w:val="none"/>
        </w:rPr>
        <w:instrText xml:space="preserve"> PAGEREF _Toc517530794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"_Toc517530795"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6.1.3</w:t>
      </w:r>
      <w:r>
        <w:rPr>
          <w:rStyle w:val="17"/>
          <w:rFonts w:hint="eastAsia" w:ascii="宋体" w:hAnsi="宋体" w:cs="宋体"/>
          <w:b/>
          <w:bCs/>
          <w:color w:val="auto"/>
          <w:highlight w:val="none"/>
        </w:rPr>
        <w:t>工作时间的限制</w:t>
      </w:r>
      <w:r>
        <w:rPr>
          <w:color w:val="auto"/>
          <w:highlight w:val="none"/>
        </w:rPr>
        <w:tab/>
      </w:r>
      <w:r>
        <w:rPr>
          <w:color w:val="auto"/>
          <w:highlight w:val="none"/>
        </w:rPr>
        <w:fldChar w:fldCharType="begin"/>
      </w:r>
      <w:r>
        <w:rPr>
          <w:color w:val="auto"/>
          <w:highlight w:val="none"/>
        </w:rPr>
        <w:instrText xml:space="preserve"> PAGEREF _Toc517530795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"_Toc517530796"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6.1.4</w:t>
      </w:r>
      <w:r>
        <w:rPr>
          <w:rStyle w:val="17"/>
          <w:rFonts w:hint="eastAsia" w:ascii="宋体" w:hAnsi="宋体" w:cs="宋体"/>
          <w:b/>
          <w:bCs/>
          <w:color w:val="auto"/>
          <w:highlight w:val="none"/>
        </w:rPr>
        <w:t>爆破器材的运输和保管</w:t>
      </w:r>
      <w:r>
        <w:rPr>
          <w:color w:val="auto"/>
          <w:highlight w:val="none"/>
        </w:rPr>
        <w:tab/>
      </w:r>
      <w:r>
        <w:rPr>
          <w:color w:val="auto"/>
          <w:highlight w:val="none"/>
        </w:rPr>
        <w:fldChar w:fldCharType="begin"/>
      </w:r>
      <w:r>
        <w:rPr>
          <w:color w:val="auto"/>
          <w:highlight w:val="none"/>
        </w:rPr>
        <w:instrText xml:space="preserve"> PAGEREF _Toc517530796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"_Toc517530797"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6.1.5</w:t>
      </w:r>
      <w:r>
        <w:rPr>
          <w:rStyle w:val="17"/>
          <w:rFonts w:hint="eastAsia" w:ascii="宋体" w:hAnsi="宋体" w:cs="宋体"/>
          <w:b/>
          <w:bCs/>
          <w:color w:val="auto"/>
          <w:highlight w:val="none"/>
        </w:rPr>
        <w:t>承包人保持现场整洁</w:t>
      </w:r>
      <w:r>
        <w:rPr>
          <w:color w:val="auto"/>
          <w:highlight w:val="none"/>
        </w:rPr>
        <w:tab/>
      </w:r>
      <w:r>
        <w:rPr>
          <w:color w:val="auto"/>
          <w:highlight w:val="none"/>
        </w:rPr>
        <w:fldChar w:fldCharType="begin"/>
      </w:r>
      <w:r>
        <w:rPr>
          <w:color w:val="auto"/>
          <w:highlight w:val="none"/>
        </w:rPr>
        <w:instrText xml:space="preserve"> PAGEREF _Toc517530797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"_Toc517530798"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6.1.6</w:t>
      </w:r>
      <w:r>
        <w:rPr>
          <w:rStyle w:val="17"/>
          <w:rFonts w:hint="eastAsia" w:ascii="宋体" w:hAnsi="宋体" w:cs="宋体"/>
          <w:b/>
          <w:bCs/>
          <w:color w:val="auto"/>
          <w:highlight w:val="none"/>
        </w:rPr>
        <w:t>竣工时的现场清理</w:t>
      </w:r>
      <w:r>
        <w:rPr>
          <w:color w:val="auto"/>
          <w:highlight w:val="none"/>
        </w:rPr>
        <w:tab/>
      </w:r>
      <w:r>
        <w:rPr>
          <w:color w:val="auto"/>
          <w:highlight w:val="none"/>
        </w:rPr>
        <w:fldChar w:fldCharType="begin"/>
      </w:r>
      <w:r>
        <w:rPr>
          <w:color w:val="auto"/>
          <w:highlight w:val="none"/>
        </w:rPr>
        <w:instrText xml:space="preserve"> PAGEREF _Toc517530798 \h </w:instrText>
      </w:r>
      <w:r>
        <w:rPr>
          <w:color w:val="auto"/>
          <w:highlight w:val="none"/>
        </w:rPr>
        <w:fldChar w:fldCharType="separate"/>
      </w:r>
      <w:r>
        <w:rPr>
          <w:color w:val="auto"/>
          <w:highlight w:val="none"/>
        </w:rPr>
        <w:t>44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"_Toc517530799"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6.1.7</w:t>
      </w:r>
      <w:r>
        <w:rPr>
          <w:rStyle w:val="17"/>
          <w:rFonts w:hint="eastAsia" w:ascii="宋体" w:hAnsi="宋体" w:cs="宋体"/>
          <w:b/>
          <w:bCs/>
          <w:color w:val="auto"/>
          <w:highlight w:val="none"/>
        </w:rPr>
        <w:t>安全事故报告</w:t>
      </w:r>
      <w:r>
        <w:rPr>
          <w:color w:val="auto"/>
          <w:highlight w:val="none"/>
        </w:rPr>
        <w:tab/>
      </w:r>
      <w:r>
        <w:rPr>
          <w:color w:val="auto"/>
          <w:highlight w:val="none"/>
        </w:rPr>
        <w:fldChar w:fldCharType="begin"/>
      </w:r>
      <w:r>
        <w:rPr>
          <w:color w:val="auto"/>
          <w:highlight w:val="none"/>
        </w:rPr>
        <w:instrText xml:space="preserve"> PAGEREF _Toc517530799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"_Toc517530800"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6.2</w:t>
      </w:r>
      <w:r>
        <w:rPr>
          <w:rStyle w:val="17"/>
          <w:rFonts w:hint="eastAsia" w:ascii="宋体" w:hAnsi="宋体" w:cs="宋体"/>
          <w:b/>
          <w:bCs/>
          <w:color w:val="auto"/>
          <w:highlight w:val="none"/>
        </w:rPr>
        <w:t>人身和财产损害</w:t>
      </w:r>
      <w:r>
        <w:rPr>
          <w:color w:val="auto"/>
          <w:highlight w:val="none"/>
        </w:rPr>
        <w:tab/>
      </w:r>
      <w:r>
        <w:rPr>
          <w:color w:val="auto"/>
          <w:highlight w:val="none"/>
        </w:rPr>
        <w:fldChar w:fldCharType="begin"/>
      </w:r>
      <w:r>
        <w:rPr>
          <w:color w:val="auto"/>
          <w:highlight w:val="none"/>
        </w:rPr>
        <w:instrText xml:space="preserve"> PAGEREF _Toc517530800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"_Toc517530801"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6.2.1</w:t>
      </w:r>
      <w:r>
        <w:rPr>
          <w:rStyle w:val="17"/>
          <w:rFonts w:hint="eastAsia" w:ascii="宋体" w:hAnsi="宋体" w:cs="宋体"/>
          <w:b/>
          <w:bCs/>
          <w:color w:val="auto"/>
          <w:highlight w:val="none"/>
        </w:rPr>
        <w:t>人身和财产的损害</w:t>
      </w:r>
      <w:r>
        <w:rPr>
          <w:color w:val="auto"/>
          <w:highlight w:val="none"/>
        </w:rPr>
        <w:tab/>
      </w:r>
      <w:r>
        <w:rPr>
          <w:color w:val="auto"/>
          <w:highlight w:val="none"/>
        </w:rPr>
        <w:fldChar w:fldCharType="begin"/>
      </w:r>
      <w:r>
        <w:rPr>
          <w:color w:val="auto"/>
          <w:highlight w:val="none"/>
        </w:rPr>
        <w:instrText xml:space="preserve"> PAGEREF _Toc517530801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"_Toc517530802"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6.2.2</w:t>
      </w:r>
      <w:r>
        <w:rPr>
          <w:rStyle w:val="17"/>
          <w:rFonts w:hint="eastAsia" w:ascii="宋体" w:hAnsi="宋体" w:cs="宋体"/>
          <w:b/>
          <w:bCs/>
          <w:color w:val="auto"/>
          <w:highlight w:val="none"/>
        </w:rPr>
        <w:t>例外事项</w:t>
      </w:r>
      <w:r>
        <w:rPr>
          <w:color w:val="auto"/>
          <w:highlight w:val="none"/>
        </w:rPr>
        <w:tab/>
      </w:r>
      <w:r>
        <w:rPr>
          <w:color w:val="auto"/>
          <w:highlight w:val="none"/>
        </w:rPr>
        <w:fldChar w:fldCharType="begin"/>
      </w:r>
      <w:r>
        <w:rPr>
          <w:color w:val="auto"/>
          <w:highlight w:val="none"/>
        </w:rPr>
        <w:instrText xml:space="preserve"> PAGEREF _Toc517530802 \h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"_Toc517530803"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6.2.3</w:t>
      </w:r>
      <w:r>
        <w:rPr>
          <w:rStyle w:val="17"/>
          <w:rFonts w:hint="eastAsia" w:ascii="宋体" w:hAnsi="宋体" w:cs="宋体"/>
          <w:b/>
          <w:bCs/>
          <w:color w:val="auto"/>
          <w:highlight w:val="none"/>
        </w:rPr>
        <w:t>职工的事故或伤亡</w:t>
      </w:r>
      <w:r>
        <w:rPr>
          <w:color w:val="auto"/>
          <w:highlight w:val="none"/>
        </w:rPr>
        <w:tab/>
      </w:r>
      <w:r>
        <w:rPr>
          <w:color w:val="auto"/>
          <w:highlight w:val="none"/>
        </w:rPr>
        <w:fldChar w:fldCharType="begin"/>
      </w:r>
      <w:r>
        <w:rPr>
          <w:color w:val="auto"/>
          <w:highlight w:val="none"/>
        </w:rPr>
        <w:instrText xml:space="preserve"> PAGEREF _Toc517530803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"_Toc517530804"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6.3</w:t>
      </w:r>
      <w:r>
        <w:rPr>
          <w:rStyle w:val="17"/>
          <w:rFonts w:hint="eastAsia" w:ascii="宋体" w:hAnsi="宋体" w:cs="宋体"/>
          <w:b/>
          <w:bCs/>
          <w:color w:val="auto"/>
          <w:highlight w:val="none"/>
        </w:rPr>
        <w:t>环境保护</w:t>
      </w:r>
      <w:r>
        <w:rPr>
          <w:color w:val="auto"/>
          <w:highlight w:val="none"/>
        </w:rPr>
        <w:tab/>
      </w:r>
      <w:r>
        <w:rPr>
          <w:color w:val="auto"/>
          <w:highlight w:val="none"/>
        </w:rPr>
        <w:fldChar w:fldCharType="begin"/>
      </w:r>
      <w:r>
        <w:rPr>
          <w:color w:val="auto"/>
          <w:highlight w:val="none"/>
        </w:rPr>
        <w:instrText xml:space="preserve"> PAGEREF _Toc517530804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"_Toc517530805"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6.3.1</w:t>
      </w:r>
      <w:r>
        <w:rPr>
          <w:rStyle w:val="17"/>
          <w:rFonts w:hint="eastAsia" w:ascii="宋体" w:hAnsi="宋体" w:cs="宋体"/>
          <w:b/>
          <w:bCs/>
          <w:color w:val="auto"/>
          <w:highlight w:val="none"/>
        </w:rPr>
        <w:t>扬尘污染防治</w:t>
      </w:r>
      <w:r>
        <w:rPr>
          <w:color w:val="auto"/>
          <w:highlight w:val="none"/>
        </w:rPr>
        <w:tab/>
      </w:r>
      <w:r>
        <w:rPr>
          <w:color w:val="auto"/>
          <w:highlight w:val="none"/>
        </w:rPr>
        <w:fldChar w:fldCharType="begin"/>
      </w:r>
      <w:r>
        <w:rPr>
          <w:color w:val="auto"/>
          <w:highlight w:val="none"/>
        </w:rPr>
        <w:instrText xml:space="preserve"> PAGEREF _Toc517530805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"_Toc517530806"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6.3.2</w:t>
      </w:r>
      <w:r>
        <w:rPr>
          <w:rStyle w:val="17"/>
          <w:rFonts w:hint="eastAsia" w:ascii="宋体" w:hAnsi="宋体" w:cs="宋体"/>
          <w:b/>
          <w:bCs/>
          <w:color w:val="auto"/>
          <w:highlight w:val="none"/>
        </w:rPr>
        <w:t>责任承担</w:t>
      </w:r>
      <w:r>
        <w:rPr>
          <w:color w:val="auto"/>
          <w:highlight w:val="none"/>
        </w:rPr>
        <w:tab/>
      </w:r>
      <w:r>
        <w:rPr>
          <w:color w:val="auto"/>
          <w:highlight w:val="none"/>
        </w:rPr>
        <w:fldChar w:fldCharType="begin"/>
      </w:r>
      <w:r>
        <w:rPr>
          <w:color w:val="auto"/>
          <w:highlight w:val="none"/>
        </w:rPr>
        <w:instrText xml:space="preserve"> PAGEREF _Toc517530806 \h </w:instrText>
      </w:r>
      <w:r>
        <w:rPr>
          <w:color w:val="auto"/>
          <w:highlight w:val="none"/>
        </w:rPr>
        <w:fldChar w:fldCharType="separate"/>
      </w:r>
      <w:r>
        <w:rPr>
          <w:color w:val="auto"/>
          <w:highlight w:val="none"/>
        </w:rPr>
        <w:t>46</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"_Toc517530807"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7. </w:t>
      </w:r>
      <w:r>
        <w:rPr>
          <w:rStyle w:val="17"/>
          <w:rFonts w:hint="eastAsia" w:ascii="宋体" w:hAnsi="宋体" w:cs="宋体"/>
          <w:b/>
          <w:bCs/>
          <w:color w:val="auto"/>
          <w:highlight w:val="none"/>
        </w:rPr>
        <w:t>工期和进度</w:t>
      </w:r>
      <w:r>
        <w:rPr>
          <w:color w:val="auto"/>
          <w:highlight w:val="none"/>
        </w:rPr>
        <w:tab/>
      </w:r>
      <w:r>
        <w:rPr>
          <w:color w:val="auto"/>
          <w:highlight w:val="none"/>
        </w:rPr>
        <w:fldChar w:fldCharType="begin"/>
      </w:r>
      <w:r>
        <w:rPr>
          <w:color w:val="auto"/>
          <w:highlight w:val="none"/>
        </w:rPr>
        <w:instrText xml:space="preserve"> PAGEREF _Toc517530807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"_Toc517530808"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7.1 </w:t>
      </w:r>
      <w:r>
        <w:rPr>
          <w:rStyle w:val="17"/>
          <w:rFonts w:hint="eastAsia" w:ascii="宋体" w:hAnsi="宋体" w:cs="宋体"/>
          <w:b/>
          <w:bCs/>
          <w:color w:val="auto"/>
          <w:highlight w:val="none"/>
        </w:rPr>
        <w:t>施工进度计划</w:t>
      </w:r>
      <w:r>
        <w:rPr>
          <w:color w:val="auto"/>
          <w:highlight w:val="none"/>
        </w:rPr>
        <w:tab/>
      </w:r>
      <w:r>
        <w:rPr>
          <w:color w:val="auto"/>
          <w:highlight w:val="none"/>
        </w:rPr>
        <w:fldChar w:fldCharType="begin"/>
      </w:r>
      <w:r>
        <w:rPr>
          <w:color w:val="auto"/>
          <w:highlight w:val="none"/>
        </w:rPr>
        <w:instrText xml:space="preserve"> PAGEREF _Toc517530808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"_Toc517530809"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7.1.1</w:t>
      </w:r>
      <w:r>
        <w:rPr>
          <w:rStyle w:val="17"/>
          <w:rFonts w:hint="eastAsia" w:ascii="宋体" w:hAnsi="宋体" w:cs="宋体"/>
          <w:b/>
          <w:bCs/>
          <w:color w:val="auto"/>
          <w:highlight w:val="none"/>
        </w:rPr>
        <w:t>工程进度计划的提交</w:t>
      </w:r>
      <w:r>
        <w:rPr>
          <w:color w:val="auto"/>
          <w:highlight w:val="none"/>
        </w:rPr>
        <w:tab/>
      </w:r>
      <w:r>
        <w:rPr>
          <w:color w:val="auto"/>
          <w:highlight w:val="none"/>
        </w:rPr>
        <w:fldChar w:fldCharType="begin"/>
      </w:r>
      <w:r>
        <w:rPr>
          <w:color w:val="auto"/>
          <w:highlight w:val="none"/>
        </w:rPr>
        <w:instrText xml:space="preserve"> PAGEREF _Toc517530809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"_Toc517530810"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7.1.2</w:t>
      </w:r>
      <w:r>
        <w:rPr>
          <w:rStyle w:val="17"/>
          <w:rFonts w:hint="eastAsia" w:ascii="宋体" w:hAnsi="宋体" w:cs="宋体"/>
          <w:b/>
          <w:bCs/>
          <w:color w:val="auto"/>
          <w:highlight w:val="none"/>
        </w:rPr>
        <w:t>工程进度计划的修订</w:t>
      </w:r>
      <w:r>
        <w:rPr>
          <w:color w:val="auto"/>
          <w:highlight w:val="none"/>
        </w:rPr>
        <w:tab/>
      </w:r>
      <w:r>
        <w:rPr>
          <w:color w:val="auto"/>
          <w:highlight w:val="none"/>
        </w:rPr>
        <w:fldChar w:fldCharType="begin"/>
      </w:r>
      <w:r>
        <w:rPr>
          <w:color w:val="auto"/>
          <w:highlight w:val="none"/>
        </w:rPr>
        <w:instrText xml:space="preserve"> PAGEREF _Toc517530810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"_Toc517530811"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7.1.3</w:t>
      </w:r>
      <w:r>
        <w:rPr>
          <w:rStyle w:val="17"/>
          <w:rFonts w:hint="eastAsia" w:ascii="宋体" w:hAnsi="宋体" w:cs="宋体"/>
          <w:b/>
          <w:bCs/>
          <w:color w:val="auto"/>
          <w:highlight w:val="none"/>
        </w:rPr>
        <w:t>年度施工计划的提交</w:t>
      </w:r>
      <w:r>
        <w:rPr>
          <w:color w:val="auto"/>
          <w:highlight w:val="none"/>
        </w:rPr>
        <w:tab/>
      </w:r>
      <w:r>
        <w:rPr>
          <w:color w:val="auto"/>
          <w:highlight w:val="none"/>
        </w:rPr>
        <w:fldChar w:fldCharType="begin"/>
      </w:r>
      <w:r>
        <w:rPr>
          <w:color w:val="auto"/>
          <w:highlight w:val="none"/>
        </w:rPr>
        <w:instrText xml:space="preserve"> PAGEREF _Toc517530811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"_Toc517530812"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7.1.4</w:t>
      </w:r>
      <w:r>
        <w:rPr>
          <w:rStyle w:val="17"/>
          <w:rFonts w:hint="eastAsia" w:ascii="宋体" w:hAnsi="宋体" w:cs="宋体"/>
          <w:b/>
          <w:bCs/>
          <w:color w:val="auto"/>
          <w:highlight w:val="none"/>
        </w:rPr>
        <w:t>批准不解除义务</w:t>
      </w:r>
      <w:r>
        <w:rPr>
          <w:color w:val="auto"/>
          <w:highlight w:val="none"/>
        </w:rPr>
        <w:tab/>
      </w:r>
      <w:r>
        <w:rPr>
          <w:color w:val="auto"/>
          <w:highlight w:val="none"/>
        </w:rPr>
        <w:fldChar w:fldCharType="begin"/>
      </w:r>
      <w:r>
        <w:rPr>
          <w:color w:val="auto"/>
          <w:highlight w:val="none"/>
        </w:rPr>
        <w:instrText xml:space="preserve"> PAGEREF _Toc517530812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"_Toc517530813"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7.2</w:t>
      </w:r>
      <w:r>
        <w:rPr>
          <w:rStyle w:val="17"/>
          <w:rFonts w:hint="eastAsia" w:ascii="宋体" w:hAnsi="宋体" w:cs="宋体"/>
          <w:b/>
          <w:bCs/>
          <w:color w:val="auto"/>
          <w:highlight w:val="none"/>
        </w:rPr>
        <w:t>工程用地</w:t>
      </w:r>
      <w:r>
        <w:rPr>
          <w:color w:val="auto"/>
          <w:highlight w:val="none"/>
        </w:rPr>
        <w:tab/>
      </w:r>
      <w:r>
        <w:rPr>
          <w:color w:val="auto"/>
          <w:highlight w:val="none"/>
        </w:rPr>
        <w:fldChar w:fldCharType="begin"/>
      </w:r>
      <w:r>
        <w:rPr>
          <w:color w:val="auto"/>
          <w:highlight w:val="none"/>
        </w:rPr>
        <w:instrText xml:space="preserve"> PAGEREF _Toc517530813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"_Toc517530814"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7.2.1</w:t>
      </w:r>
      <w:r>
        <w:rPr>
          <w:rStyle w:val="17"/>
          <w:rFonts w:hint="eastAsia" w:ascii="宋体" w:hAnsi="宋体" w:cs="宋体"/>
          <w:b/>
          <w:bCs/>
          <w:color w:val="auto"/>
          <w:highlight w:val="none"/>
        </w:rPr>
        <w:t>永久占地的征用</w:t>
      </w:r>
      <w:r>
        <w:rPr>
          <w:color w:val="auto"/>
          <w:highlight w:val="none"/>
        </w:rPr>
        <w:tab/>
      </w:r>
      <w:r>
        <w:rPr>
          <w:color w:val="auto"/>
          <w:highlight w:val="none"/>
        </w:rPr>
        <w:fldChar w:fldCharType="begin"/>
      </w:r>
      <w:r>
        <w:rPr>
          <w:color w:val="auto"/>
          <w:highlight w:val="none"/>
        </w:rPr>
        <w:instrText xml:space="preserve"> PAGEREF _Toc517530814 \h </w:instrText>
      </w:r>
      <w:r>
        <w:rPr>
          <w:color w:val="auto"/>
          <w:highlight w:val="none"/>
        </w:rPr>
        <w:fldChar w:fldCharType="separate"/>
      </w:r>
      <w:r>
        <w:rPr>
          <w:color w:val="auto"/>
          <w:highlight w:val="none"/>
        </w:rPr>
        <w:t>47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"_Toc517530815"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7.2.2</w:t>
      </w:r>
      <w:r>
        <w:rPr>
          <w:rStyle w:val="17"/>
          <w:rFonts w:hint="eastAsia" w:ascii="宋体" w:hAnsi="宋体" w:cs="宋体"/>
          <w:b/>
          <w:bCs/>
          <w:color w:val="auto"/>
          <w:highlight w:val="none"/>
        </w:rPr>
        <w:t>未能按期办妥永久占地的征用手续</w:t>
      </w:r>
      <w:r>
        <w:rPr>
          <w:color w:val="auto"/>
          <w:highlight w:val="none"/>
        </w:rPr>
        <w:tab/>
      </w:r>
      <w:r>
        <w:rPr>
          <w:color w:val="auto"/>
          <w:highlight w:val="none"/>
        </w:rPr>
        <w:fldChar w:fldCharType="begin"/>
      </w:r>
      <w:r>
        <w:rPr>
          <w:color w:val="auto"/>
          <w:highlight w:val="none"/>
        </w:rPr>
        <w:instrText xml:space="preserve"> PAGEREF _Toc517530815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"_Toc517530816"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7.2.3</w:t>
      </w:r>
      <w:r>
        <w:rPr>
          <w:rStyle w:val="17"/>
          <w:rFonts w:hint="eastAsia" w:ascii="宋体" w:hAnsi="宋体" w:cs="宋体"/>
          <w:b/>
          <w:bCs/>
          <w:color w:val="auto"/>
          <w:highlight w:val="none"/>
        </w:rPr>
        <w:t>临时占地的租用</w:t>
      </w:r>
      <w:r>
        <w:rPr>
          <w:color w:val="auto"/>
          <w:highlight w:val="none"/>
        </w:rPr>
        <w:tab/>
      </w:r>
      <w:r>
        <w:rPr>
          <w:color w:val="auto"/>
          <w:highlight w:val="none"/>
        </w:rPr>
        <w:fldChar w:fldCharType="begin"/>
      </w:r>
      <w:r>
        <w:rPr>
          <w:color w:val="auto"/>
          <w:highlight w:val="none"/>
        </w:rPr>
        <w:instrText xml:space="preserve"> PAGEREF _Toc517530816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"_Toc517530817"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7.3</w:t>
      </w:r>
      <w:r>
        <w:rPr>
          <w:rStyle w:val="17"/>
          <w:rFonts w:hint="eastAsia" w:ascii="宋体" w:hAnsi="宋体" w:cs="宋体"/>
          <w:b/>
          <w:bCs/>
          <w:color w:val="auto"/>
          <w:highlight w:val="none"/>
        </w:rPr>
        <w:t>工程的开工</w:t>
      </w:r>
      <w:r>
        <w:rPr>
          <w:color w:val="auto"/>
          <w:highlight w:val="none"/>
        </w:rPr>
        <w:tab/>
      </w:r>
      <w:r>
        <w:rPr>
          <w:color w:val="auto"/>
          <w:highlight w:val="none"/>
        </w:rPr>
        <w:fldChar w:fldCharType="begin"/>
      </w:r>
      <w:r>
        <w:rPr>
          <w:color w:val="auto"/>
          <w:highlight w:val="none"/>
        </w:rPr>
        <w:instrText xml:space="preserve"> PAGEREF _Toc517530817 \h </w:instrText>
      </w:r>
      <w:r>
        <w:rPr>
          <w:color w:val="auto"/>
          <w:highlight w:val="none"/>
        </w:rPr>
        <w:fldChar w:fldCharType="separate"/>
      </w:r>
      <w:r>
        <w:rPr>
          <w:color w:val="auto"/>
          <w:highlight w:val="none"/>
        </w:rPr>
        <w:t>48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"_Toc517530818"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7.4</w:t>
      </w:r>
      <w:r>
        <w:rPr>
          <w:rStyle w:val="17"/>
          <w:rFonts w:hint="eastAsia" w:ascii="宋体" w:hAnsi="宋体" w:cs="宋体"/>
          <w:b/>
          <w:bCs/>
          <w:color w:val="auto"/>
          <w:highlight w:val="none"/>
        </w:rPr>
        <w:t>测量和放线</w:t>
      </w:r>
      <w:r>
        <w:rPr>
          <w:color w:val="auto"/>
          <w:highlight w:val="none"/>
        </w:rPr>
        <w:tab/>
      </w:r>
      <w:r>
        <w:rPr>
          <w:color w:val="auto"/>
          <w:highlight w:val="none"/>
        </w:rPr>
        <w:fldChar w:fldCharType="begin"/>
      </w:r>
      <w:r>
        <w:rPr>
          <w:color w:val="auto"/>
          <w:highlight w:val="none"/>
        </w:rPr>
        <w:instrText xml:space="preserve"> PAGEREF _Toc517530818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"_Toc517530819"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7.5</w:t>
      </w:r>
      <w:r>
        <w:rPr>
          <w:rStyle w:val="17"/>
          <w:rFonts w:hint="eastAsia" w:ascii="宋体" w:hAnsi="宋体" w:cs="宋体"/>
          <w:b/>
          <w:bCs/>
          <w:color w:val="auto"/>
          <w:highlight w:val="none"/>
        </w:rPr>
        <w:t>钻孔和勘探性开挖</w:t>
      </w:r>
      <w:r>
        <w:rPr>
          <w:color w:val="auto"/>
          <w:highlight w:val="none"/>
        </w:rPr>
        <w:tab/>
      </w:r>
      <w:r>
        <w:rPr>
          <w:color w:val="auto"/>
          <w:highlight w:val="none"/>
        </w:rPr>
        <w:fldChar w:fldCharType="begin"/>
      </w:r>
      <w:r>
        <w:rPr>
          <w:color w:val="auto"/>
          <w:highlight w:val="none"/>
        </w:rPr>
        <w:instrText xml:space="preserve"> PAGEREF _Toc517530819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"_Toc517530820"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7.6 </w:t>
      </w:r>
      <w:r>
        <w:rPr>
          <w:rStyle w:val="17"/>
          <w:rFonts w:hint="eastAsia" w:ascii="宋体" w:hAnsi="宋体" w:cs="宋体"/>
          <w:b/>
          <w:bCs/>
          <w:color w:val="auto"/>
          <w:highlight w:val="none"/>
        </w:rPr>
        <w:t>工期延误</w:t>
      </w:r>
      <w:r>
        <w:rPr>
          <w:color w:val="auto"/>
          <w:highlight w:val="none"/>
        </w:rPr>
        <w:tab/>
      </w:r>
      <w:r>
        <w:rPr>
          <w:color w:val="auto"/>
          <w:highlight w:val="none"/>
        </w:rPr>
        <w:fldChar w:fldCharType="begin"/>
      </w:r>
      <w:r>
        <w:rPr>
          <w:color w:val="auto"/>
          <w:highlight w:val="none"/>
        </w:rPr>
        <w:instrText xml:space="preserve"> PAGEREF _Toc517530820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"_Toc517530821"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7.6.1</w:t>
      </w:r>
      <w:r>
        <w:rPr>
          <w:rStyle w:val="17"/>
          <w:rFonts w:hint="eastAsia" w:ascii="宋体" w:hAnsi="宋体" w:cs="宋体"/>
          <w:b/>
          <w:bCs/>
          <w:color w:val="auto"/>
          <w:highlight w:val="none"/>
        </w:rPr>
        <w:t>工期的延长</w:t>
      </w:r>
      <w:r>
        <w:rPr>
          <w:color w:val="auto"/>
          <w:highlight w:val="none"/>
        </w:rPr>
        <w:tab/>
      </w:r>
      <w:r>
        <w:rPr>
          <w:color w:val="auto"/>
          <w:highlight w:val="none"/>
        </w:rPr>
        <w:fldChar w:fldCharType="begin"/>
      </w:r>
      <w:r>
        <w:rPr>
          <w:color w:val="auto"/>
          <w:highlight w:val="none"/>
        </w:rPr>
        <w:instrText xml:space="preserve"> PAGEREF _Toc517530821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"_Toc517530822"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7.6.2</w:t>
      </w:r>
      <w:r>
        <w:rPr>
          <w:rStyle w:val="17"/>
          <w:rFonts w:hint="eastAsia" w:ascii="宋体" w:hAnsi="宋体" w:cs="宋体"/>
          <w:b/>
          <w:bCs/>
          <w:color w:val="auto"/>
          <w:highlight w:val="none"/>
        </w:rPr>
        <w:t>延期申请与审批</w:t>
      </w:r>
      <w:r>
        <w:rPr>
          <w:color w:val="auto"/>
          <w:highlight w:val="none"/>
        </w:rPr>
        <w:tab/>
      </w:r>
      <w:r>
        <w:rPr>
          <w:color w:val="auto"/>
          <w:highlight w:val="none"/>
        </w:rPr>
        <w:fldChar w:fldCharType="begin"/>
      </w:r>
      <w:r>
        <w:rPr>
          <w:color w:val="auto"/>
          <w:highlight w:val="none"/>
        </w:rPr>
        <w:instrText xml:space="preserve"> PAGEREF _Toc517530822 \h </w:instrText>
      </w:r>
      <w:r>
        <w:rPr>
          <w:color w:val="auto"/>
          <w:highlight w:val="none"/>
        </w:rPr>
        <w:fldChar w:fldCharType="separate"/>
      </w:r>
      <w:r>
        <w:rPr>
          <w:color w:val="auto"/>
          <w:highlight w:val="none"/>
        </w:rPr>
        <w:t>49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"_Toc517530823"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7.6.3</w:t>
      </w:r>
      <w:r>
        <w:rPr>
          <w:rStyle w:val="17"/>
          <w:rFonts w:hint="eastAsia" w:ascii="宋体" w:hAnsi="宋体" w:cs="宋体"/>
          <w:b/>
          <w:bCs/>
          <w:color w:val="auto"/>
          <w:highlight w:val="none"/>
        </w:rPr>
        <w:t>延长工期的暂时决定</w:t>
      </w:r>
      <w:r>
        <w:rPr>
          <w:color w:val="auto"/>
          <w:highlight w:val="none"/>
        </w:rPr>
        <w:tab/>
      </w:r>
      <w:r>
        <w:rPr>
          <w:color w:val="auto"/>
          <w:highlight w:val="none"/>
        </w:rPr>
        <w:fldChar w:fldCharType="begin"/>
      </w:r>
      <w:r>
        <w:rPr>
          <w:color w:val="auto"/>
          <w:highlight w:val="none"/>
        </w:rPr>
        <w:instrText xml:space="preserve"> PAGEREF _Toc517530823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"_Toc517530824"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7.6.4</w:t>
      </w:r>
      <w:r>
        <w:rPr>
          <w:rStyle w:val="17"/>
          <w:rFonts w:hint="eastAsia" w:ascii="宋体" w:hAnsi="宋体" w:cs="宋体"/>
          <w:b/>
          <w:bCs/>
          <w:color w:val="auto"/>
          <w:highlight w:val="none"/>
        </w:rPr>
        <w:t>工程进度过慢</w:t>
      </w:r>
      <w:r>
        <w:rPr>
          <w:color w:val="auto"/>
          <w:highlight w:val="none"/>
        </w:rPr>
        <w:tab/>
      </w:r>
      <w:r>
        <w:rPr>
          <w:color w:val="auto"/>
          <w:highlight w:val="none"/>
        </w:rPr>
        <w:fldChar w:fldCharType="begin"/>
      </w:r>
      <w:r>
        <w:rPr>
          <w:color w:val="auto"/>
          <w:highlight w:val="none"/>
        </w:rPr>
        <w:instrText xml:space="preserve"> PAGEREF _Toc517530824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"_Toc517530825"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7.6.5</w:t>
      </w:r>
      <w:r>
        <w:rPr>
          <w:rStyle w:val="17"/>
          <w:rFonts w:hint="eastAsia" w:ascii="宋体" w:hAnsi="宋体" w:cs="宋体"/>
          <w:b/>
          <w:bCs/>
          <w:color w:val="auto"/>
          <w:highlight w:val="none"/>
        </w:rPr>
        <w:t>工期拖延</w:t>
      </w:r>
      <w:r>
        <w:rPr>
          <w:color w:val="auto"/>
          <w:highlight w:val="none"/>
        </w:rPr>
        <w:tab/>
      </w:r>
      <w:r>
        <w:rPr>
          <w:color w:val="auto"/>
          <w:highlight w:val="none"/>
        </w:rPr>
        <w:fldChar w:fldCharType="begin"/>
      </w:r>
      <w:r>
        <w:rPr>
          <w:color w:val="auto"/>
          <w:highlight w:val="none"/>
        </w:rPr>
        <w:instrText xml:space="preserve"> PAGEREF _Toc517530825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"_Toc517530826"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7.6.6</w:t>
      </w:r>
      <w:r>
        <w:rPr>
          <w:rStyle w:val="17"/>
          <w:rFonts w:hint="eastAsia" w:ascii="宋体" w:hAnsi="宋体" w:cs="宋体"/>
          <w:b/>
          <w:bCs/>
          <w:color w:val="auto"/>
          <w:highlight w:val="none"/>
        </w:rPr>
        <w:t>拖期损失赔偿金</w:t>
      </w:r>
      <w:r>
        <w:rPr>
          <w:color w:val="auto"/>
          <w:highlight w:val="none"/>
        </w:rPr>
        <w:tab/>
      </w:r>
      <w:r>
        <w:rPr>
          <w:color w:val="auto"/>
          <w:highlight w:val="none"/>
        </w:rPr>
        <w:fldChar w:fldCharType="begin"/>
      </w:r>
      <w:r>
        <w:rPr>
          <w:color w:val="auto"/>
          <w:highlight w:val="none"/>
        </w:rPr>
        <w:instrText xml:space="preserve"> PAGEREF _Toc517530826 \h </w:instrText>
      </w:r>
      <w:r>
        <w:rPr>
          <w:color w:val="auto"/>
          <w:highlight w:val="none"/>
        </w:rPr>
        <w:fldChar w:fldCharType="separate"/>
      </w:r>
      <w:r>
        <w:rPr>
          <w:color w:val="auto"/>
          <w:highlight w:val="none"/>
        </w:rPr>
        <w:t>50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"_Toc517530827"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7.7</w:t>
      </w:r>
      <w:r>
        <w:rPr>
          <w:rStyle w:val="17"/>
          <w:rFonts w:hint="eastAsia" w:ascii="宋体" w:hAnsi="宋体" w:cs="宋体"/>
          <w:b/>
          <w:bCs/>
          <w:color w:val="auto"/>
          <w:highlight w:val="none"/>
        </w:rPr>
        <w:t>不利的外界障碍或条件</w:t>
      </w:r>
      <w:r>
        <w:rPr>
          <w:color w:val="auto"/>
          <w:highlight w:val="none"/>
        </w:rPr>
        <w:tab/>
      </w:r>
      <w:r>
        <w:rPr>
          <w:color w:val="auto"/>
          <w:highlight w:val="none"/>
        </w:rPr>
        <w:fldChar w:fldCharType="begin"/>
      </w:r>
      <w:r>
        <w:rPr>
          <w:color w:val="auto"/>
          <w:highlight w:val="none"/>
        </w:rPr>
        <w:instrText xml:space="preserve"> PAGEREF _Toc517530827 \h </w:instrText>
      </w:r>
      <w:r>
        <w:rPr>
          <w:color w:val="auto"/>
          <w:highlight w:val="none"/>
        </w:rPr>
        <w:fldChar w:fldCharType="separate"/>
      </w:r>
      <w:r>
        <w:rPr>
          <w:color w:val="auto"/>
          <w:highlight w:val="none"/>
        </w:rPr>
        <w:t>51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"_Toc517530828"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7.8</w:t>
      </w:r>
      <w:r>
        <w:rPr>
          <w:rStyle w:val="17"/>
          <w:rFonts w:hint="eastAsia" w:ascii="宋体" w:hAnsi="宋体" w:cs="宋体"/>
          <w:b/>
          <w:bCs/>
          <w:color w:val="auto"/>
          <w:highlight w:val="none"/>
        </w:rPr>
        <w:t>暂停施工</w:t>
      </w:r>
      <w:r>
        <w:rPr>
          <w:color w:val="auto"/>
          <w:highlight w:val="none"/>
        </w:rPr>
        <w:tab/>
      </w:r>
      <w:r>
        <w:rPr>
          <w:color w:val="auto"/>
          <w:highlight w:val="none"/>
        </w:rPr>
        <w:fldChar w:fldCharType="begin"/>
      </w:r>
      <w:r>
        <w:rPr>
          <w:color w:val="auto"/>
          <w:highlight w:val="none"/>
        </w:rPr>
        <w:instrText xml:space="preserve"> PAGEREF _Toc517530828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"_Toc517530829"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7.8.1</w:t>
      </w:r>
      <w:r>
        <w:rPr>
          <w:rStyle w:val="17"/>
          <w:rFonts w:hint="eastAsia" w:ascii="宋体" w:hAnsi="宋体" w:cs="宋体"/>
          <w:b/>
          <w:bCs/>
          <w:color w:val="auto"/>
          <w:highlight w:val="none"/>
        </w:rPr>
        <w:t>暂时停工</w:t>
      </w:r>
      <w:r>
        <w:rPr>
          <w:color w:val="auto"/>
          <w:highlight w:val="none"/>
        </w:rPr>
        <w:tab/>
      </w:r>
      <w:r>
        <w:rPr>
          <w:color w:val="auto"/>
          <w:highlight w:val="none"/>
        </w:rPr>
        <w:fldChar w:fldCharType="begin"/>
      </w:r>
      <w:r>
        <w:rPr>
          <w:color w:val="auto"/>
          <w:highlight w:val="none"/>
        </w:rPr>
        <w:instrText xml:space="preserve"> PAGEREF _Toc517530829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"_Toc517530830"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7.8.2</w:t>
      </w:r>
      <w:r>
        <w:rPr>
          <w:rStyle w:val="17"/>
          <w:rFonts w:hint="eastAsia" w:ascii="宋体" w:hAnsi="宋体" w:cs="宋体"/>
          <w:b/>
          <w:bCs/>
          <w:color w:val="auto"/>
          <w:highlight w:val="none"/>
        </w:rPr>
        <w:t>暂时停工后监理人的决定</w:t>
      </w:r>
      <w:r>
        <w:rPr>
          <w:color w:val="auto"/>
          <w:highlight w:val="none"/>
        </w:rPr>
        <w:tab/>
      </w:r>
      <w:r>
        <w:rPr>
          <w:color w:val="auto"/>
          <w:highlight w:val="none"/>
        </w:rPr>
        <w:fldChar w:fldCharType="begin"/>
      </w:r>
      <w:r>
        <w:rPr>
          <w:color w:val="auto"/>
          <w:highlight w:val="none"/>
        </w:rPr>
        <w:instrText xml:space="preserve"> PAGEREF _Toc517530830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"_Toc517530831"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7.8.3</w:t>
      </w:r>
      <w:r>
        <w:rPr>
          <w:rStyle w:val="17"/>
          <w:rFonts w:hint="eastAsia" w:ascii="宋体" w:hAnsi="宋体" w:cs="宋体"/>
          <w:b/>
          <w:bCs/>
          <w:color w:val="auto"/>
          <w:highlight w:val="none"/>
        </w:rPr>
        <w:t>暂时停工持续</w:t>
      </w:r>
      <w:r>
        <w:rPr>
          <w:rStyle w:val="17"/>
          <w:rFonts w:ascii="宋体" w:hAnsi="宋体" w:cs="宋体"/>
          <w:b/>
          <w:bCs/>
          <w:color w:val="auto"/>
          <w:highlight w:val="none"/>
        </w:rPr>
        <w:t>63</w:t>
      </w:r>
      <w:r>
        <w:rPr>
          <w:rStyle w:val="17"/>
          <w:rFonts w:hint="eastAsia" w:ascii="宋体" w:hAnsi="宋体" w:cs="宋体"/>
          <w:b/>
          <w:bCs/>
          <w:color w:val="auto"/>
          <w:highlight w:val="none"/>
        </w:rPr>
        <w:t>天以上</w:t>
      </w:r>
      <w:r>
        <w:rPr>
          <w:color w:val="auto"/>
          <w:highlight w:val="none"/>
        </w:rPr>
        <w:tab/>
      </w:r>
      <w:r>
        <w:rPr>
          <w:color w:val="auto"/>
          <w:highlight w:val="none"/>
        </w:rPr>
        <w:fldChar w:fldCharType="begin"/>
      </w:r>
      <w:r>
        <w:rPr>
          <w:color w:val="auto"/>
          <w:highlight w:val="none"/>
        </w:rPr>
        <w:instrText xml:space="preserve"> PAGEREF _Toc517530831 \h </w:instrText>
      </w:r>
      <w:r>
        <w:rPr>
          <w:color w:val="auto"/>
          <w:highlight w:val="none"/>
        </w:rPr>
        <w:fldChar w:fldCharType="separate"/>
      </w:r>
      <w:r>
        <w:rPr>
          <w:color w:val="auto"/>
          <w:highlight w:val="none"/>
        </w:rPr>
        <w:t>52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"_Toc517530832"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7.9</w:t>
      </w:r>
      <w:r>
        <w:rPr>
          <w:rStyle w:val="17"/>
          <w:rFonts w:hint="eastAsia" w:ascii="宋体" w:hAnsi="宋体" w:cs="宋体"/>
          <w:b/>
          <w:bCs/>
          <w:color w:val="auto"/>
          <w:highlight w:val="none"/>
        </w:rPr>
        <w:t>工程复工</w:t>
      </w:r>
      <w:r>
        <w:rPr>
          <w:color w:val="auto"/>
          <w:highlight w:val="none"/>
        </w:rPr>
        <w:tab/>
      </w:r>
      <w:r>
        <w:rPr>
          <w:color w:val="auto"/>
          <w:highlight w:val="none"/>
        </w:rPr>
        <w:fldChar w:fldCharType="begin"/>
      </w:r>
      <w:r>
        <w:rPr>
          <w:color w:val="auto"/>
          <w:highlight w:val="none"/>
        </w:rPr>
        <w:instrText xml:space="preserve"> PAGEREF _Toc517530832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"_Toc517530833"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8. </w:t>
      </w:r>
      <w:r>
        <w:rPr>
          <w:rStyle w:val="17"/>
          <w:rFonts w:hint="eastAsia" w:ascii="宋体" w:hAnsi="宋体" w:cs="宋体"/>
          <w:b/>
          <w:bCs/>
          <w:color w:val="auto"/>
          <w:highlight w:val="none"/>
        </w:rPr>
        <w:t>材料与设备</w:t>
      </w:r>
      <w:r>
        <w:rPr>
          <w:color w:val="auto"/>
          <w:highlight w:val="none"/>
        </w:rPr>
        <w:tab/>
      </w:r>
      <w:r>
        <w:rPr>
          <w:color w:val="auto"/>
          <w:highlight w:val="none"/>
        </w:rPr>
        <w:fldChar w:fldCharType="begin"/>
      </w:r>
      <w:r>
        <w:rPr>
          <w:color w:val="auto"/>
          <w:highlight w:val="none"/>
        </w:rPr>
        <w:instrText xml:space="preserve"> PAGEREF _Toc517530833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"_Toc517530834"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8.1</w:t>
      </w:r>
      <w:r>
        <w:rPr>
          <w:rStyle w:val="17"/>
          <w:rFonts w:hint="eastAsia" w:ascii="宋体" w:hAnsi="宋体" w:cs="宋体"/>
          <w:b/>
          <w:bCs/>
          <w:color w:val="auto"/>
          <w:highlight w:val="none"/>
        </w:rPr>
        <w:t>承包人采购或提供材料与工程设备</w:t>
      </w:r>
      <w:r>
        <w:rPr>
          <w:color w:val="auto"/>
          <w:highlight w:val="none"/>
        </w:rPr>
        <w:tab/>
      </w:r>
      <w:r>
        <w:rPr>
          <w:color w:val="auto"/>
          <w:highlight w:val="none"/>
        </w:rPr>
        <w:fldChar w:fldCharType="begin"/>
      </w:r>
      <w:r>
        <w:rPr>
          <w:color w:val="auto"/>
          <w:highlight w:val="none"/>
        </w:rPr>
        <w:instrText xml:space="preserve"> PAGEREF _Toc517530834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"_Toc517530835"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8.1.1</w:t>
      </w:r>
      <w:r>
        <w:rPr>
          <w:rStyle w:val="17"/>
          <w:rFonts w:hint="eastAsia" w:ascii="宋体" w:hAnsi="宋体" w:cs="宋体"/>
          <w:b/>
          <w:bCs/>
          <w:color w:val="auto"/>
          <w:highlight w:val="none"/>
        </w:rPr>
        <w:t>材料与工程设备的提供和专用</w:t>
      </w:r>
      <w:r>
        <w:rPr>
          <w:color w:val="auto"/>
          <w:highlight w:val="none"/>
        </w:rPr>
        <w:tab/>
      </w:r>
      <w:r>
        <w:rPr>
          <w:color w:val="auto"/>
          <w:highlight w:val="none"/>
        </w:rPr>
        <w:fldChar w:fldCharType="begin"/>
      </w:r>
      <w:r>
        <w:rPr>
          <w:color w:val="auto"/>
          <w:highlight w:val="none"/>
        </w:rPr>
        <w:instrText xml:space="preserve"> PAGEREF _Toc517530835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"_Toc517530836"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8.1.2</w:t>
      </w:r>
      <w:r>
        <w:rPr>
          <w:rStyle w:val="17"/>
          <w:rFonts w:hint="eastAsia" w:ascii="宋体" w:hAnsi="宋体" w:cs="宋体"/>
          <w:b/>
          <w:bCs/>
          <w:color w:val="auto"/>
          <w:highlight w:val="none"/>
        </w:rPr>
        <w:t>材料、设备的品牌</w:t>
      </w:r>
      <w:r>
        <w:rPr>
          <w:color w:val="auto"/>
          <w:highlight w:val="none"/>
        </w:rPr>
        <w:tab/>
      </w:r>
      <w:r>
        <w:rPr>
          <w:color w:val="auto"/>
          <w:highlight w:val="none"/>
        </w:rPr>
        <w:fldChar w:fldCharType="begin"/>
      </w:r>
      <w:r>
        <w:rPr>
          <w:color w:val="auto"/>
          <w:highlight w:val="none"/>
        </w:rPr>
        <w:instrText xml:space="preserve"> PAGEREF _Toc517530836 \h </w:instrText>
      </w:r>
      <w:r>
        <w:rPr>
          <w:color w:val="auto"/>
          <w:highlight w:val="none"/>
        </w:rPr>
        <w:fldChar w:fldCharType="separate"/>
      </w:r>
      <w:r>
        <w:rPr>
          <w:color w:val="auto"/>
          <w:highlight w:val="none"/>
        </w:rPr>
        <w:t>53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"_Toc517530837"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8.1.3</w:t>
      </w:r>
      <w:r>
        <w:rPr>
          <w:rStyle w:val="17"/>
          <w:rFonts w:hint="eastAsia" w:ascii="宋体" w:hAnsi="宋体" w:cs="宋体"/>
          <w:b/>
          <w:bCs/>
          <w:color w:val="auto"/>
          <w:highlight w:val="none"/>
        </w:rPr>
        <w:t>混凝土使用</w:t>
      </w:r>
      <w:r>
        <w:rPr>
          <w:color w:val="auto"/>
          <w:highlight w:val="none"/>
        </w:rPr>
        <w:tab/>
      </w:r>
      <w:r>
        <w:rPr>
          <w:color w:val="auto"/>
          <w:highlight w:val="none"/>
        </w:rPr>
        <w:fldChar w:fldCharType="begin"/>
      </w:r>
      <w:r>
        <w:rPr>
          <w:color w:val="auto"/>
          <w:highlight w:val="none"/>
        </w:rPr>
        <w:instrText xml:space="preserve"> PAGEREF _Toc517530837 \h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"_Toc517530838"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8.1.4</w:t>
      </w:r>
      <w:r>
        <w:rPr>
          <w:rStyle w:val="17"/>
          <w:rFonts w:hint="eastAsia" w:ascii="宋体" w:hAnsi="宋体" w:cs="宋体"/>
          <w:b/>
          <w:bCs/>
          <w:color w:val="auto"/>
          <w:highlight w:val="none"/>
        </w:rPr>
        <w:t>材料的批准</w:t>
      </w:r>
      <w:r>
        <w:rPr>
          <w:color w:val="auto"/>
          <w:highlight w:val="none"/>
        </w:rPr>
        <w:tab/>
      </w:r>
      <w:r>
        <w:rPr>
          <w:color w:val="auto"/>
          <w:highlight w:val="none"/>
        </w:rPr>
        <w:fldChar w:fldCharType="begin"/>
      </w:r>
      <w:r>
        <w:rPr>
          <w:color w:val="auto"/>
          <w:highlight w:val="none"/>
        </w:rPr>
        <w:instrText xml:space="preserve"> PAGEREF _Toc517530838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"_Toc517530839"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8.1.5</w:t>
      </w:r>
      <w:r>
        <w:rPr>
          <w:rStyle w:val="17"/>
          <w:rFonts w:hint="eastAsia" w:ascii="宋体" w:hAnsi="宋体" w:cs="宋体"/>
          <w:b/>
          <w:bCs/>
          <w:color w:val="auto"/>
          <w:highlight w:val="none"/>
        </w:rPr>
        <w:t>为发包人提供交通设施服务</w:t>
      </w:r>
      <w:r>
        <w:rPr>
          <w:color w:val="auto"/>
          <w:highlight w:val="none"/>
        </w:rPr>
        <w:tab/>
      </w:r>
      <w:r>
        <w:rPr>
          <w:color w:val="auto"/>
          <w:highlight w:val="none"/>
        </w:rPr>
        <w:fldChar w:fldCharType="begin"/>
      </w:r>
      <w:r>
        <w:rPr>
          <w:color w:val="auto"/>
          <w:highlight w:val="none"/>
        </w:rPr>
        <w:instrText xml:space="preserve"> PAGEREF _Toc517530839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"_Toc517530840"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8.1.6</w:t>
      </w:r>
      <w:r>
        <w:rPr>
          <w:rStyle w:val="17"/>
          <w:rFonts w:hint="eastAsia" w:ascii="宋体" w:hAnsi="宋体" w:cs="宋体"/>
          <w:b/>
          <w:bCs/>
          <w:color w:val="auto"/>
          <w:highlight w:val="none"/>
        </w:rPr>
        <w:t>发包人的免责</w:t>
      </w:r>
      <w:r>
        <w:rPr>
          <w:color w:val="auto"/>
          <w:highlight w:val="none"/>
        </w:rPr>
        <w:tab/>
      </w:r>
      <w:r>
        <w:rPr>
          <w:color w:val="auto"/>
          <w:highlight w:val="none"/>
        </w:rPr>
        <w:fldChar w:fldCharType="begin"/>
      </w:r>
      <w:r>
        <w:rPr>
          <w:color w:val="auto"/>
          <w:highlight w:val="none"/>
        </w:rPr>
        <w:instrText xml:space="preserve"> PAGEREF _Toc517530840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"_Toc517530841"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8.1.7</w:t>
      </w:r>
      <w:r>
        <w:rPr>
          <w:rStyle w:val="17"/>
          <w:rFonts w:hint="eastAsia" w:ascii="宋体" w:hAnsi="宋体" w:cs="宋体"/>
          <w:b/>
          <w:bCs/>
          <w:color w:val="auto"/>
          <w:highlight w:val="none"/>
        </w:rPr>
        <w:t>承包人装备的继续租用</w:t>
      </w:r>
      <w:r>
        <w:rPr>
          <w:color w:val="auto"/>
          <w:highlight w:val="none"/>
        </w:rPr>
        <w:tab/>
      </w:r>
      <w:r>
        <w:rPr>
          <w:color w:val="auto"/>
          <w:highlight w:val="none"/>
        </w:rPr>
        <w:fldChar w:fldCharType="begin"/>
      </w:r>
      <w:r>
        <w:rPr>
          <w:color w:val="auto"/>
          <w:highlight w:val="none"/>
        </w:rPr>
        <w:instrText xml:space="preserve"> PAGEREF _Toc517530841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"_Toc517530842"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8.1.8</w:t>
      </w:r>
      <w:r>
        <w:rPr>
          <w:rStyle w:val="17"/>
          <w:rFonts w:hint="eastAsia" w:ascii="宋体" w:hAnsi="宋体" w:cs="宋体"/>
          <w:b/>
          <w:bCs/>
          <w:color w:val="auto"/>
          <w:highlight w:val="none"/>
        </w:rPr>
        <w:t>列入分包合同</w:t>
      </w:r>
      <w:r>
        <w:rPr>
          <w:color w:val="auto"/>
          <w:highlight w:val="none"/>
        </w:rPr>
        <w:tab/>
      </w:r>
      <w:r>
        <w:rPr>
          <w:color w:val="auto"/>
          <w:highlight w:val="none"/>
        </w:rPr>
        <w:fldChar w:fldCharType="begin"/>
      </w:r>
      <w:r>
        <w:rPr>
          <w:color w:val="auto"/>
          <w:highlight w:val="none"/>
        </w:rPr>
        <w:instrText xml:space="preserve"> PAGEREF _Toc517530842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"_Toc517530843"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8.1.9</w:t>
      </w:r>
      <w:r>
        <w:rPr>
          <w:rStyle w:val="17"/>
          <w:rFonts w:hint="eastAsia" w:ascii="宋体" w:hAnsi="宋体" w:cs="宋体"/>
          <w:b/>
          <w:bCs/>
          <w:color w:val="auto"/>
          <w:highlight w:val="none"/>
        </w:rPr>
        <w:t>料场使用费</w:t>
      </w:r>
      <w:r>
        <w:rPr>
          <w:color w:val="auto"/>
          <w:highlight w:val="none"/>
        </w:rPr>
        <w:tab/>
      </w:r>
      <w:r>
        <w:rPr>
          <w:color w:val="auto"/>
          <w:highlight w:val="none"/>
        </w:rPr>
        <w:fldChar w:fldCharType="begin"/>
      </w:r>
      <w:r>
        <w:rPr>
          <w:color w:val="auto"/>
          <w:highlight w:val="none"/>
        </w:rPr>
        <w:instrText xml:space="preserve"> PAGEREF _Toc517530843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"_Toc517530844"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8.2</w:t>
      </w:r>
      <w:r>
        <w:rPr>
          <w:rStyle w:val="17"/>
          <w:rFonts w:hint="eastAsia" w:ascii="宋体" w:hAnsi="宋体" w:cs="宋体"/>
          <w:b/>
          <w:bCs/>
          <w:color w:val="auto"/>
          <w:highlight w:val="none"/>
        </w:rPr>
        <w:t>材料与工程设备的保管与使用</w:t>
      </w:r>
      <w:r>
        <w:rPr>
          <w:color w:val="auto"/>
          <w:highlight w:val="none"/>
        </w:rPr>
        <w:tab/>
      </w:r>
      <w:r>
        <w:rPr>
          <w:color w:val="auto"/>
          <w:highlight w:val="none"/>
        </w:rPr>
        <w:fldChar w:fldCharType="begin"/>
      </w:r>
      <w:r>
        <w:rPr>
          <w:color w:val="auto"/>
          <w:highlight w:val="none"/>
        </w:rPr>
        <w:instrText xml:space="preserve"> PAGEREF _Toc517530844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"_Toc517530845"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8.2.1</w:t>
      </w:r>
      <w:r>
        <w:rPr>
          <w:rStyle w:val="17"/>
          <w:rFonts w:hint="eastAsia" w:ascii="宋体" w:hAnsi="宋体" w:cs="宋体"/>
          <w:b/>
          <w:bCs/>
          <w:color w:val="auto"/>
          <w:highlight w:val="none"/>
        </w:rPr>
        <w:t>工程的照管</w:t>
      </w:r>
      <w:r>
        <w:rPr>
          <w:color w:val="auto"/>
          <w:highlight w:val="none"/>
        </w:rPr>
        <w:tab/>
      </w:r>
      <w:r>
        <w:rPr>
          <w:color w:val="auto"/>
          <w:highlight w:val="none"/>
        </w:rPr>
        <w:fldChar w:fldCharType="begin"/>
      </w:r>
      <w:r>
        <w:rPr>
          <w:color w:val="auto"/>
          <w:highlight w:val="none"/>
        </w:rPr>
        <w:instrText xml:space="preserve"> PAGEREF _Toc517530845 \h </w:instrText>
      </w:r>
      <w:r>
        <w:rPr>
          <w:color w:val="auto"/>
          <w:highlight w:val="none"/>
        </w:rPr>
        <w:fldChar w:fldCharType="separate"/>
      </w:r>
      <w:r>
        <w:rPr>
          <w:color w:val="auto"/>
          <w:highlight w:val="none"/>
        </w:rPr>
        <w:t>55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"_Toc517530846"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8.2.2</w:t>
      </w:r>
      <w:r>
        <w:rPr>
          <w:rStyle w:val="17"/>
          <w:rFonts w:hint="eastAsia" w:ascii="宋体" w:hAnsi="宋体" w:cs="宋体"/>
          <w:b/>
          <w:bCs/>
          <w:color w:val="auto"/>
          <w:highlight w:val="none"/>
        </w:rPr>
        <w:t>承包人在设备、材料管理的责任</w:t>
      </w:r>
      <w:r>
        <w:rPr>
          <w:color w:val="auto"/>
          <w:highlight w:val="none"/>
        </w:rPr>
        <w:tab/>
      </w:r>
      <w:r>
        <w:rPr>
          <w:color w:val="auto"/>
          <w:highlight w:val="none"/>
        </w:rPr>
        <w:fldChar w:fldCharType="begin"/>
      </w:r>
      <w:r>
        <w:rPr>
          <w:color w:val="auto"/>
          <w:highlight w:val="none"/>
        </w:rPr>
        <w:instrText xml:space="preserve"> PAGEREF _Toc517530846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"_Toc517530847"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8.2.3</w:t>
      </w:r>
      <w:r>
        <w:rPr>
          <w:rStyle w:val="17"/>
          <w:rFonts w:hint="eastAsia" w:ascii="宋体" w:hAnsi="宋体" w:cs="宋体"/>
          <w:b/>
          <w:bCs/>
          <w:color w:val="auto"/>
          <w:highlight w:val="none"/>
        </w:rPr>
        <w:t>成品、半成品保护</w:t>
      </w:r>
      <w:r>
        <w:rPr>
          <w:color w:val="auto"/>
          <w:highlight w:val="none"/>
        </w:rPr>
        <w:tab/>
      </w:r>
      <w:r>
        <w:rPr>
          <w:color w:val="auto"/>
          <w:highlight w:val="none"/>
        </w:rPr>
        <w:fldChar w:fldCharType="begin"/>
      </w:r>
      <w:r>
        <w:rPr>
          <w:color w:val="auto"/>
          <w:highlight w:val="none"/>
        </w:rPr>
        <w:instrText xml:space="preserve"> PAGEREF _Toc517530847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"_Toc517530848"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8.2.4</w:t>
      </w:r>
      <w:r>
        <w:rPr>
          <w:rStyle w:val="17"/>
          <w:rFonts w:hint="eastAsia" w:ascii="宋体" w:hAnsi="宋体" w:cs="宋体"/>
          <w:b/>
          <w:bCs/>
          <w:color w:val="auto"/>
          <w:highlight w:val="none"/>
        </w:rPr>
        <w:t>弥补损失的责任</w:t>
      </w:r>
      <w:r>
        <w:rPr>
          <w:color w:val="auto"/>
          <w:highlight w:val="none"/>
        </w:rPr>
        <w:tab/>
      </w:r>
      <w:r>
        <w:rPr>
          <w:color w:val="auto"/>
          <w:highlight w:val="none"/>
        </w:rPr>
        <w:fldChar w:fldCharType="begin"/>
      </w:r>
      <w:r>
        <w:rPr>
          <w:color w:val="auto"/>
          <w:highlight w:val="none"/>
        </w:rPr>
        <w:instrText xml:space="preserve"> PAGEREF _Toc517530848 \h </w:instrText>
      </w:r>
      <w:r>
        <w:rPr>
          <w:color w:val="auto"/>
          <w:highlight w:val="none"/>
        </w:rPr>
        <w:fldChar w:fldCharType="separate"/>
      </w:r>
      <w:r>
        <w:rPr>
          <w:color w:val="auto"/>
          <w:highlight w:val="none"/>
        </w:rPr>
        <w:t>56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"_Toc517530849"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8.2.5</w:t>
      </w:r>
      <w:r>
        <w:rPr>
          <w:rStyle w:val="17"/>
          <w:rFonts w:hint="eastAsia" w:ascii="宋体" w:hAnsi="宋体" w:cs="宋体"/>
          <w:b/>
          <w:bCs/>
          <w:color w:val="auto"/>
          <w:highlight w:val="none"/>
        </w:rPr>
        <w:t>由于发包人风险所造成的损失或损害</w:t>
      </w:r>
      <w:r>
        <w:rPr>
          <w:color w:val="auto"/>
          <w:highlight w:val="none"/>
        </w:rPr>
        <w:tab/>
      </w:r>
      <w:r>
        <w:rPr>
          <w:color w:val="auto"/>
          <w:highlight w:val="none"/>
        </w:rPr>
        <w:fldChar w:fldCharType="begin"/>
      </w:r>
      <w:r>
        <w:rPr>
          <w:color w:val="auto"/>
          <w:highlight w:val="none"/>
        </w:rPr>
        <w:instrText xml:space="preserve"> PAGEREF _Toc517530849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"_Toc517530850"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8.2.6</w:t>
      </w:r>
      <w:r>
        <w:rPr>
          <w:rStyle w:val="17"/>
          <w:rFonts w:hint="eastAsia" w:ascii="宋体" w:hAnsi="宋体" w:cs="宋体"/>
          <w:b/>
          <w:bCs/>
          <w:color w:val="auto"/>
          <w:highlight w:val="none"/>
        </w:rPr>
        <w:t>发包人的风险</w:t>
      </w:r>
      <w:r>
        <w:rPr>
          <w:color w:val="auto"/>
          <w:highlight w:val="none"/>
        </w:rPr>
        <w:tab/>
      </w:r>
      <w:r>
        <w:rPr>
          <w:color w:val="auto"/>
          <w:highlight w:val="none"/>
        </w:rPr>
        <w:fldChar w:fldCharType="begin"/>
      </w:r>
      <w:r>
        <w:rPr>
          <w:color w:val="auto"/>
          <w:highlight w:val="none"/>
        </w:rPr>
        <w:instrText xml:space="preserve"> PAGEREF _Toc517530850 \h </w:instrText>
      </w:r>
      <w:r>
        <w:rPr>
          <w:color w:val="auto"/>
          <w:highlight w:val="none"/>
        </w:rPr>
        <w:fldChar w:fldCharType="separate"/>
      </w:r>
      <w:r>
        <w:rPr>
          <w:color w:val="auto"/>
          <w:highlight w:val="none"/>
        </w:rPr>
        <w:t>57</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"_Toc517530851"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9. </w:t>
      </w:r>
      <w:r>
        <w:rPr>
          <w:rStyle w:val="17"/>
          <w:rFonts w:hint="eastAsia" w:ascii="宋体" w:hAnsi="宋体" w:cs="宋体"/>
          <w:b/>
          <w:bCs/>
          <w:color w:val="auto"/>
          <w:highlight w:val="none"/>
        </w:rPr>
        <w:t>试验与检验</w:t>
      </w:r>
      <w:r>
        <w:rPr>
          <w:color w:val="auto"/>
          <w:highlight w:val="none"/>
        </w:rPr>
        <w:tab/>
      </w:r>
      <w:r>
        <w:rPr>
          <w:color w:val="auto"/>
          <w:highlight w:val="none"/>
        </w:rPr>
        <w:fldChar w:fldCharType="begin"/>
      </w:r>
      <w:r>
        <w:rPr>
          <w:color w:val="auto"/>
          <w:highlight w:val="none"/>
        </w:rPr>
        <w:instrText xml:space="preserve"> PAGEREF _Toc517530851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"_Toc517530852"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9.1</w:t>
      </w:r>
      <w:r>
        <w:rPr>
          <w:rStyle w:val="17"/>
          <w:rFonts w:hint="eastAsia" w:ascii="宋体" w:hAnsi="宋体" w:cs="宋体"/>
          <w:b/>
          <w:bCs/>
          <w:color w:val="auto"/>
          <w:highlight w:val="none"/>
        </w:rPr>
        <w:t>材料、设备和操作工艺的质量</w:t>
      </w:r>
      <w:r>
        <w:rPr>
          <w:color w:val="auto"/>
          <w:highlight w:val="none"/>
        </w:rPr>
        <w:tab/>
      </w:r>
      <w:r>
        <w:rPr>
          <w:color w:val="auto"/>
          <w:highlight w:val="none"/>
        </w:rPr>
        <w:fldChar w:fldCharType="begin"/>
      </w:r>
      <w:r>
        <w:rPr>
          <w:color w:val="auto"/>
          <w:highlight w:val="none"/>
        </w:rPr>
        <w:instrText xml:space="preserve"> PAGEREF _Toc517530852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"_Toc517530853"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9.2</w:t>
      </w:r>
      <w:r>
        <w:rPr>
          <w:rStyle w:val="17"/>
          <w:rFonts w:hint="eastAsia" w:ascii="宋体" w:hAnsi="宋体" w:cs="宋体"/>
          <w:b/>
          <w:bCs/>
          <w:color w:val="auto"/>
          <w:highlight w:val="none"/>
        </w:rPr>
        <w:t>检查与检验</w:t>
      </w:r>
      <w:r>
        <w:rPr>
          <w:color w:val="auto"/>
          <w:highlight w:val="none"/>
        </w:rPr>
        <w:tab/>
      </w:r>
      <w:r>
        <w:rPr>
          <w:color w:val="auto"/>
          <w:highlight w:val="none"/>
        </w:rPr>
        <w:fldChar w:fldCharType="begin"/>
      </w:r>
      <w:r>
        <w:rPr>
          <w:color w:val="auto"/>
          <w:highlight w:val="none"/>
        </w:rPr>
        <w:instrText xml:space="preserve"> PAGEREF _Toc517530853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"_Toc517530854"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9.2.1</w:t>
      </w:r>
      <w:r>
        <w:rPr>
          <w:rStyle w:val="17"/>
          <w:rFonts w:hint="eastAsia" w:ascii="宋体" w:hAnsi="宋体" w:cs="宋体"/>
          <w:b/>
          <w:bCs/>
          <w:color w:val="auto"/>
          <w:highlight w:val="none"/>
        </w:rPr>
        <w:t>作业的检查</w:t>
      </w:r>
      <w:r>
        <w:rPr>
          <w:color w:val="auto"/>
          <w:highlight w:val="none"/>
        </w:rPr>
        <w:tab/>
      </w:r>
      <w:r>
        <w:rPr>
          <w:color w:val="auto"/>
          <w:highlight w:val="none"/>
        </w:rPr>
        <w:fldChar w:fldCharType="begin"/>
      </w:r>
      <w:r>
        <w:rPr>
          <w:color w:val="auto"/>
          <w:highlight w:val="none"/>
        </w:rPr>
        <w:instrText xml:space="preserve"> PAGEREF _Toc517530854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"_Toc517530855"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9.2.2</w:t>
      </w:r>
      <w:r>
        <w:rPr>
          <w:rStyle w:val="17"/>
          <w:rFonts w:hint="eastAsia" w:ascii="宋体" w:hAnsi="宋体" w:cs="宋体"/>
          <w:b/>
          <w:bCs/>
          <w:color w:val="auto"/>
          <w:highlight w:val="none"/>
        </w:rPr>
        <w:t>检查和检验的日期</w:t>
      </w:r>
      <w:r>
        <w:rPr>
          <w:color w:val="auto"/>
          <w:highlight w:val="none"/>
        </w:rPr>
        <w:tab/>
      </w:r>
      <w:r>
        <w:rPr>
          <w:color w:val="auto"/>
          <w:highlight w:val="none"/>
        </w:rPr>
        <w:fldChar w:fldCharType="begin"/>
      </w:r>
      <w:r>
        <w:rPr>
          <w:color w:val="auto"/>
          <w:highlight w:val="none"/>
        </w:rPr>
        <w:instrText xml:space="preserve"> PAGEREF _Toc517530855 \h </w:instrText>
      </w:r>
      <w:r>
        <w:rPr>
          <w:color w:val="auto"/>
          <w:highlight w:val="none"/>
        </w:rPr>
        <w:fldChar w:fldCharType="separate"/>
      </w:r>
      <w:r>
        <w:rPr>
          <w:color w:val="auto"/>
          <w:highlight w:val="none"/>
        </w:rPr>
        <w:t>58</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"_Toc517530856"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9.2.3 </w:t>
      </w:r>
      <w:r>
        <w:rPr>
          <w:rStyle w:val="17"/>
          <w:rFonts w:hint="eastAsia" w:ascii="宋体" w:hAnsi="宋体" w:cs="宋体"/>
          <w:b/>
          <w:bCs/>
          <w:color w:val="auto"/>
          <w:highlight w:val="none"/>
        </w:rPr>
        <w:t>检验不合格的处理</w:t>
      </w:r>
      <w:r>
        <w:rPr>
          <w:color w:val="auto"/>
          <w:highlight w:val="none"/>
        </w:rPr>
        <w:tab/>
      </w:r>
      <w:r>
        <w:rPr>
          <w:color w:val="auto"/>
          <w:highlight w:val="none"/>
        </w:rPr>
        <w:fldChar w:fldCharType="begin"/>
      </w:r>
      <w:r>
        <w:rPr>
          <w:color w:val="auto"/>
          <w:highlight w:val="none"/>
        </w:rPr>
        <w:instrText xml:space="preserve"> PAGEREF _Toc517530856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"_Toc517530860"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9.3</w:t>
      </w:r>
      <w:r>
        <w:rPr>
          <w:rStyle w:val="17"/>
          <w:rFonts w:hint="eastAsia" w:ascii="宋体" w:hAnsi="宋体" w:cs="宋体"/>
          <w:b/>
          <w:bCs/>
          <w:color w:val="auto"/>
          <w:highlight w:val="none"/>
        </w:rPr>
        <w:t>工程覆盖前的检查</w:t>
      </w:r>
      <w:r>
        <w:rPr>
          <w:color w:val="auto"/>
          <w:highlight w:val="none"/>
        </w:rPr>
        <w:tab/>
      </w:r>
      <w:r>
        <w:rPr>
          <w:color w:val="auto"/>
          <w:highlight w:val="none"/>
        </w:rPr>
        <w:fldChar w:fldCharType="begin"/>
      </w:r>
      <w:r>
        <w:rPr>
          <w:color w:val="auto"/>
          <w:highlight w:val="none"/>
        </w:rPr>
        <w:instrText xml:space="preserve"> PAGEREF _Toc517530860 \h </w:instrText>
      </w:r>
      <w:r>
        <w:rPr>
          <w:color w:val="auto"/>
          <w:highlight w:val="none"/>
        </w:rPr>
        <w:fldChar w:fldCharType="separate"/>
      </w:r>
      <w:r>
        <w:rPr>
          <w:color w:val="auto"/>
          <w:highlight w:val="none"/>
        </w:rPr>
        <w:t>59</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"_Toc517530861"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9.4</w:t>
      </w:r>
      <w:r>
        <w:rPr>
          <w:rStyle w:val="17"/>
          <w:rFonts w:hint="eastAsia" w:ascii="宋体" w:hAnsi="宋体" w:cs="宋体"/>
          <w:b/>
          <w:bCs/>
          <w:color w:val="auto"/>
          <w:highlight w:val="none"/>
        </w:rPr>
        <w:t>剥开和开孔</w:t>
      </w:r>
      <w:r>
        <w:rPr>
          <w:color w:val="auto"/>
          <w:highlight w:val="none"/>
        </w:rPr>
        <w:tab/>
      </w:r>
      <w:r>
        <w:rPr>
          <w:color w:val="auto"/>
          <w:highlight w:val="none"/>
        </w:rPr>
        <w:fldChar w:fldCharType="begin"/>
      </w:r>
      <w:r>
        <w:rPr>
          <w:color w:val="auto"/>
          <w:highlight w:val="none"/>
        </w:rPr>
        <w:instrText xml:space="preserve"> PAGEREF _Toc517530861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"_Toc517530862"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9.5</w:t>
      </w:r>
      <w:r>
        <w:rPr>
          <w:rStyle w:val="17"/>
          <w:rFonts w:hint="eastAsia" w:ascii="宋体" w:hAnsi="宋体" w:cs="宋体"/>
          <w:b/>
          <w:bCs/>
          <w:color w:val="auto"/>
          <w:highlight w:val="none"/>
        </w:rPr>
        <w:t>委托检查</w:t>
      </w:r>
      <w:r>
        <w:rPr>
          <w:color w:val="auto"/>
          <w:highlight w:val="none"/>
        </w:rPr>
        <w:tab/>
      </w:r>
      <w:r>
        <w:rPr>
          <w:color w:val="auto"/>
          <w:highlight w:val="none"/>
        </w:rPr>
        <w:fldChar w:fldCharType="begin"/>
      </w:r>
      <w:r>
        <w:rPr>
          <w:color w:val="auto"/>
          <w:highlight w:val="none"/>
        </w:rPr>
        <w:instrText xml:space="preserve"> PAGEREF _Toc517530862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"_Toc517530863"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9.6</w:t>
      </w:r>
      <w:r>
        <w:rPr>
          <w:rStyle w:val="17"/>
          <w:rFonts w:hint="eastAsia" w:ascii="宋体" w:hAnsi="宋体" w:cs="宋体"/>
          <w:b/>
          <w:bCs/>
          <w:color w:val="auto"/>
          <w:highlight w:val="none"/>
        </w:rPr>
        <w:t>检验费用</w:t>
      </w:r>
      <w:r>
        <w:rPr>
          <w:color w:val="auto"/>
          <w:highlight w:val="none"/>
        </w:rPr>
        <w:tab/>
      </w:r>
      <w:r>
        <w:rPr>
          <w:color w:val="auto"/>
          <w:highlight w:val="none"/>
        </w:rPr>
        <w:fldChar w:fldCharType="begin"/>
      </w:r>
      <w:r>
        <w:rPr>
          <w:color w:val="auto"/>
          <w:highlight w:val="none"/>
        </w:rPr>
        <w:instrText xml:space="preserve"> PAGEREF _Toc517530863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"_Toc517530864"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9.6.1</w:t>
      </w:r>
      <w:r>
        <w:rPr>
          <w:rStyle w:val="17"/>
          <w:rFonts w:hint="eastAsia" w:ascii="宋体" w:hAnsi="宋体" w:cs="宋体"/>
          <w:b/>
          <w:bCs/>
          <w:color w:val="auto"/>
          <w:highlight w:val="none"/>
        </w:rPr>
        <w:t>有约定的检验费用</w:t>
      </w:r>
      <w:r>
        <w:rPr>
          <w:color w:val="auto"/>
          <w:highlight w:val="none"/>
        </w:rPr>
        <w:tab/>
      </w:r>
      <w:r>
        <w:rPr>
          <w:color w:val="auto"/>
          <w:highlight w:val="none"/>
        </w:rPr>
        <w:fldChar w:fldCharType="begin"/>
      </w:r>
      <w:r>
        <w:rPr>
          <w:color w:val="auto"/>
          <w:highlight w:val="none"/>
        </w:rPr>
        <w:instrText xml:space="preserve"> PAGEREF _Toc517530864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"_Toc517530865"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9.6.2</w:t>
      </w:r>
      <w:r>
        <w:rPr>
          <w:rStyle w:val="17"/>
          <w:rFonts w:hint="eastAsia" w:ascii="宋体" w:hAnsi="宋体" w:cs="宋体"/>
          <w:b/>
          <w:bCs/>
          <w:color w:val="auto"/>
          <w:highlight w:val="none"/>
        </w:rPr>
        <w:t>未约定的检验费用</w:t>
      </w:r>
      <w:r>
        <w:rPr>
          <w:color w:val="auto"/>
          <w:highlight w:val="none"/>
        </w:rPr>
        <w:tab/>
      </w:r>
      <w:r>
        <w:rPr>
          <w:color w:val="auto"/>
          <w:highlight w:val="none"/>
        </w:rPr>
        <w:fldChar w:fldCharType="begin"/>
      </w:r>
      <w:r>
        <w:rPr>
          <w:color w:val="auto"/>
          <w:highlight w:val="none"/>
        </w:rPr>
        <w:instrText xml:space="preserve"> PAGEREF _Toc517530865 \h </w:instrText>
      </w:r>
      <w:r>
        <w:rPr>
          <w:color w:val="auto"/>
          <w:highlight w:val="none"/>
        </w:rPr>
        <w:fldChar w:fldCharType="separate"/>
      </w:r>
      <w:r>
        <w:rPr>
          <w:color w:val="auto"/>
          <w:highlight w:val="none"/>
        </w:rPr>
        <w:t>60</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"_Toc517530866"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9.6.3</w:t>
      </w:r>
      <w:r>
        <w:rPr>
          <w:rStyle w:val="17"/>
          <w:rFonts w:hint="eastAsia" w:ascii="宋体" w:hAnsi="宋体" w:cs="宋体"/>
          <w:b/>
          <w:bCs/>
          <w:color w:val="auto"/>
          <w:highlight w:val="none"/>
        </w:rPr>
        <w:t>监理人未规定的检验的决定</w:t>
      </w:r>
      <w:r>
        <w:rPr>
          <w:color w:val="auto"/>
          <w:highlight w:val="none"/>
        </w:rPr>
        <w:tab/>
      </w:r>
      <w:r>
        <w:rPr>
          <w:color w:val="auto"/>
          <w:highlight w:val="none"/>
        </w:rPr>
        <w:fldChar w:fldCharType="begin"/>
      </w:r>
      <w:r>
        <w:rPr>
          <w:color w:val="auto"/>
          <w:highlight w:val="none"/>
        </w:rPr>
        <w:instrText xml:space="preserve"> PAGEREF _Toc517530866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"_Toc517530867"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9.7</w:t>
      </w:r>
      <w:r>
        <w:rPr>
          <w:rStyle w:val="17"/>
          <w:rFonts w:hint="eastAsia" w:ascii="宋体" w:hAnsi="宋体" w:cs="宋体"/>
          <w:b/>
          <w:bCs/>
          <w:color w:val="auto"/>
          <w:highlight w:val="none"/>
        </w:rPr>
        <w:t>样品</w:t>
      </w:r>
      <w:r>
        <w:rPr>
          <w:color w:val="auto"/>
          <w:highlight w:val="none"/>
        </w:rPr>
        <w:tab/>
      </w:r>
      <w:r>
        <w:rPr>
          <w:color w:val="auto"/>
          <w:highlight w:val="none"/>
        </w:rPr>
        <w:fldChar w:fldCharType="begin"/>
      </w:r>
      <w:r>
        <w:rPr>
          <w:color w:val="auto"/>
          <w:highlight w:val="none"/>
        </w:rPr>
        <w:instrText xml:space="preserve"> PAGEREF _Toc517530867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"_Toc517530868"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10. </w:t>
      </w:r>
      <w:r>
        <w:rPr>
          <w:rStyle w:val="17"/>
          <w:rFonts w:hint="eastAsia" w:ascii="宋体" w:hAnsi="宋体" w:cs="宋体"/>
          <w:b/>
          <w:bCs/>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_Toc517530868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"_Toc517530869"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10.1</w:t>
      </w:r>
      <w:r>
        <w:rPr>
          <w:rStyle w:val="17"/>
          <w:rFonts w:hint="eastAsia" w:ascii="宋体" w:hAnsi="宋体" w:cs="宋体"/>
          <w:b/>
          <w:bCs/>
          <w:color w:val="auto"/>
          <w:highlight w:val="none"/>
        </w:rPr>
        <w:t>变更的范围和权限</w:t>
      </w:r>
      <w:r>
        <w:rPr>
          <w:color w:val="auto"/>
          <w:highlight w:val="none"/>
        </w:rPr>
        <w:tab/>
      </w:r>
      <w:r>
        <w:rPr>
          <w:color w:val="auto"/>
          <w:highlight w:val="none"/>
        </w:rPr>
        <w:fldChar w:fldCharType="begin"/>
      </w:r>
      <w:r>
        <w:rPr>
          <w:color w:val="auto"/>
          <w:highlight w:val="none"/>
        </w:rPr>
        <w:instrText xml:space="preserve"> PAGEREF _Toc517530869 \h </w:instrText>
      </w:r>
      <w:r>
        <w:rPr>
          <w:color w:val="auto"/>
          <w:highlight w:val="none"/>
        </w:rPr>
        <w:fldChar w:fldCharType="separate"/>
      </w:r>
      <w:r>
        <w:rPr>
          <w:color w:val="auto"/>
          <w:highlight w:val="none"/>
        </w:rPr>
        <w:t>61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"_Toc517530870"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10.2</w:t>
      </w:r>
      <w:r>
        <w:rPr>
          <w:rStyle w:val="17"/>
          <w:rFonts w:hint="eastAsia" w:ascii="宋体" w:hAnsi="宋体" w:cs="宋体"/>
          <w:b/>
          <w:bCs/>
          <w:color w:val="auto"/>
          <w:highlight w:val="none"/>
        </w:rPr>
        <w:t>变更的指令</w:t>
      </w:r>
      <w:r>
        <w:rPr>
          <w:color w:val="auto"/>
          <w:highlight w:val="none"/>
        </w:rPr>
        <w:tab/>
      </w:r>
      <w:r>
        <w:rPr>
          <w:color w:val="auto"/>
          <w:highlight w:val="none"/>
        </w:rPr>
        <w:fldChar w:fldCharType="begin"/>
      </w:r>
      <w:r>
        <w:rPr>
          <w:color w:val="auto"/>
          <w:highlight w:val="none"/>
        </w:rPr>
        <w:instrText xml:space="preserve"> PAGEREF _Toc517530870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"_Toc517530871"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10.3</w:t>
      </w:r>
      <w:r>
        <w:rPr>
          <w:rStyle w:val="17"/>
          <w:rFonts w:hint="eastAsia" w:ascii="宋体" w:hAnsi="宋体" w:cs="宋体"/>
          <w:b/>
          <w:bCs/>
          <w:color w:val="auto"/>
          <w:highlight w:val="none"/>
        </w:rPr>
        <w:t>变更的估价</w:t>
      </w:r>
      <w:r>
        <w:rPr>
          <w:color w:val="auto"/>
          <w:highlight w:val="none"/>
        </w:rPr>
        <w:tab/>
      </w:r>
      <w:r>
        <w:rPr>
          <w:color w:val="auto"/>
          <w:highlight w:val="none"/>
        </w:rPr>
        <w:fldChar w:fldCharType="begin"/>
      </w:r>
      <w:r>
        <w:rPr>
          <w:color w:val="auto"/>
          <w:highlight w:val="none"/>
        </w:rPr>
        <w:instrText xml:space="preserve"> PAGEREF _Toc517530871 \h </w:instrText>
      </w:r>
      <w:r>
        <w:rPr>
          <w:color w:val="auto"/>
          <w:highlight w:val="none"/>
        </w:rPr>
        <w:fldChar w:fldCharType="separate"/>
      </w:r>
      <w:r>
        <w:rPr>
          <w:color w:val="auto"/>
          <w:highlight w:val="none"/>
        </w:rPr>
        <w:t>62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"_Toc517530872"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10.4</w:t>
      </w:r>
      <w:r>
        <w:rPr>
          <w:rStyle w:val="17"/>
          <w:rFonts w:hint="eastAsia" w:ascii="宋体" w:hAnsi="宋体" w:cs="宋体"/>
          <w:b/>
          <w:bCs/>
          <w:color w:val="auto"/>
          <w:highlight w:val="none"/>
        </w:rPr>
        <w:t>计日工</w:t>
      </w:r>
      <w:r>
        <w:rPr>
          <w:color w:val="auto"/>
          <w:highlight w:val="none"/>
        </w:rPr>
        <w:tab/>
      </w:r>
      <w:r>
        <w:rPr>
          <w:color w:val="auto"/>
          <w:highlight w:val="none"/>
        </w:rPr>
        <w:fldChar w:fldCharType="begin"/>
      </w:r>
      <w:r>
        <w:rPr>
          <w:color w:val="auto"/>
          <w:highlight w:val="none"/>
        </w:rPr>
        <w:instrText xml:space="preserve"> PAGEREF _Toc517530872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"_Toc517530873"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 </w:t>
      </w:r>
      <w:r>
        <w:rPr>
          <w:rStyle w:val="17"/>
          <w:rFonts w:hint="eastAsia" w:ascii="宋体" w:hAnsi="宋体" w:cs="宋体"/>
          <w:b/>
          <w:bCs/>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_Toc517530873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"_Toc517530874"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11.1 </w:t>
      </w:r>
      <w:r>
        <w:rPr>
          <w:rStyle w:val="17"/>
          <w:rFonts w:hint="eastAsia" w:ascii="宋体" w:hAnsi="宋体" w:cs="宋体"/>
          <w:b/>
          <w:bCs/>
          <w:color w:val="auto"/>
          <w:highlight w:val="none"/>
        </w:rPr>
        <w:t>市场变化引起的费用的增加或减少</w:t>
      </w:r>
      <w:r>
        <w:rPr>
          <w:color w:val="auto"/>
          <w:highlight w:val="none"/>
        </w:rPr>
        <w:tab/>
      </w:r>
      <w:r>
        <w:rPr>
          <w:color w:val="auto"/>
          <w:highlight w:val="none"/>
        </w:rPr>
        <w:fldChar w:fldCharType="begin"/>
      </w:r>
      <w:r>
        <w:rPr>
          <w:color w:val="auto"/>
          <w:highlight w:val="none"/>
        </w:rPr>
        <w:instrText xml:space="preserve"> PAGEREF _Toc517530874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"_Toc517530875"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11.2 </w:t>
      </w:r>
      <w:r>
        <w:rPr>
          <w:rStyle w:val="17"/>
          <w:rFonts w:hint="eastAsia" w:ascii="宋体" w:hAnsi="宋体" w:cs="宋体"/>
          <w:b/>
          <w:bCs/>
          <w:color w:val="auto"/>
          <w:highlight w:val="none"/>
        </w:rPr>
        <w:t>法规变更的影响</w:t>
      </w:r>
      <w:r>
        <w:rPr>
          <w:color w:val="auto"/>
          <w:highlight w:val="none"/>
        </w:rPr>
        <w:tab/>
      </w:r>
      <w:r>
        <w:rPr>
          <w:color w:val="auto"/>
          <w:highlight w:val="none"/>
        </w:rPr>
        <w:fldChar w:fldCharType="begin"/>
      </w:r>
      <w:r>
        <w:rPr>
          <w:color w:val="auto"/>
          <w:highlight w:val="none"/>
        </w:rPr>
        <w:instrText xml:space="preserve"> PAGEREF _Toc517530875 \h </w:instrText>
      </w:r>
      <w:r>
        <w:rPr>
          <w:color w:val="auto"/>
          <w:highlight w:val="none"/>
        </w:rPr>
        <w:fldChar w:fldCharType="separate"/>
      </w:r>
      <w:r>
        <w:rPr>
          <w:color w:val="auto"/>
          <w:highlight w:val="none"/>
        </w:rPr>
        <w:t>63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"_Toc517530876"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11.3 </w:t>
      </w:r>
      <w:r>
        <w:rPr>
          <w:rStyle w:val="17"/>
          <w:rFonts w:hint="eastAsia" w:ascii="宋体" w:hAnsi="宋体" w:cs="宋体"/>
          <w:b/>
          <w:bCs/>
          <w:color w:val="auto"/>
          <w:highlight w:val="none"/>
        </w:rPr>
        <w:t>合同价格的调整方式</w:t>
      </w:r>
      <w:r>
        <w:rPr>
          <w:color w:val="auto"/>
          <w:highlight w:val="none"/>
        </w:rPr>
        <w:tab/>
      </w:r>
      <w:r>
        <w:rPr>
          <w:color w:val="auto"/>
          <w:highlight w:val="none"/>
        </w:rPr>
        <w:fldChar w:fldCharType="begin"/>
      </w:r>
      <w:r>
        <w:rPr>
          <w:color w:val="auto"/>
          <w:highlight w:val="none"/>
        </w:rPr>
        <w:instrText xml:space="preserve"> PAGEREF _Toc517530876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"_Toc517530877"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12. </w:t>
      </w:r>
      <w:r>
        <w:rPr>
          <w:rStyle w:val="17"/>
          <w:rFonts w:hint="eastAsia" w:ascii="宋体" w:hAnsi="宋体" w:cs="宋体"/>
          <w:b/>
          <w:bCs/>
          <w:color w:val="auto"/>
          <w:highlight w:val="none"/>
        </w:rPr>
        <w:t>合同价格、计量与支付</w:t>
      </w:r>
      <w:r>
        <w:rPr>
          <w:color w:val="auto"/>
          <w:highlight w:val="none"/>
        </w:rPr>
        <w:tab/>
      </w:r>
      <w:r>
        <w:rPr>
          <w:color w:val="auto"/>
          <w:highlight w:val="none"/>
        </w:rPr>
        <w:fldChar w:fldCharType="begin"/>
      </w:r>
      <w:r>
        <w:rPr>
          <w:color w:val="auto"/>
          <w:highlight w:val="none"/>
        </w:rPr>
        <w:instrText xml:space="preserve"> PAGEREF _Toc517530877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"_Toc517530878"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12.1 </w:t>
      </w:r>
      <w:r>
        <w:rPr>
          <w:rStyle w:val="17"/>
          <w:rFonts w:hint="eastAsia" w:ascii="宋体" w:hAnsi="宋体" w:cs="宋体"/>
          <w:b/>
          <w:bCs/>
          <w:color w:val="auto"/>
          <w:highlight w:val="none"/>
        </w:rPr>
        <w:t>合同价格和费用</w:t>
      </w:r>
      <w:r>
        <w:rPr>
          <w:color w:val="auto"/>
          <w:highlight w:val="none"/>
        </w:rPr>
        <w:tab/>
      </w:r>
      <w:r>
        <w:rPr>
          <w:color w:val="auto"/>
          <w:highlight w:val="none"/>
        </w:rPr>
        <w:fldChar w:fldCharType="begin"/>
      </w:r>
      <w:r>
        <w:rPr>
          <w:color w:val="auto"/>
          <w:highlight w:val="none"/>
        </w:rPr>
        <w:instrText xml:space="preserve"> PAGEREF _Toc517530878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"_Toc517530879"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12.1.1</w:t>
      </w:r>
      <w:r>
        <w:rPr>
          <w:rStyle w:val="17"/>
          <w:rFonts w:hint="eastAsia" w:ascii="宋体" w:hAnsi="宋体" w:cs="宋体"/>
          <w:b/>
          <w:bCs/>
          <w:color w:val="auto"/>
          <w:highlight w:val="none"/>
        </w:rPr>
        <w:t>合同价格的合理性</w:t>
      </w:r>
      <w:r>
        <w:rPr>
          <w:color w:val="auto"/>
          <w:highlight w:val="none"/>
        </w:rPr>
        <w:tab/>
      </w:r>
      <w:r>
        <w:rPr>
          <w:color w:val="auto"/>
          <w:highlight w:val="none"/>
        </w:rPr>
        <w:fldChar w:fldCharType="begin"/>
      </w:r>
      <w:r>
        <w:rPr>
          <w:color w:val="auto"/>
          <w:highlight w:val="none"/>
        </w:rPr>
        <w:instrText xml:space="preserve"> PAGEREF _Toc517530879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"_Toc517530880"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12.1.2</w:t>
      </w:r>
      <w:r>
        <w:rPr>
          <w:rStyle w:val="17"/>
          <w:rFonts w:hint="eastAsia" w:ascii="宋体" w:hAnsi="宋体" w:cs="宋体"/>
          <w:b/>
          <w:bCs/>
          <w:color w:val="auto"/>
          <w:highlight w:val="none"/>
        </w:rPr>
        <w:t>总额</w:t>
      </w:r>
      <w:r>
        <w:rPr>
          <w:rStyle w:val="17"/>
          <w:rFonts w:ascii="宋体" w:hAnsi="宋体" w:cs="宋体"/>
          <w:b/>
          <w:bCs/>
          <w:color w:val="auto"/>
          <w:highlight w:val="none"/>
        </w:rPr>
        <w:t>(</w:t>
      </w:r>
      <w:r>
        <w:rPr>
          <w:rStyle w:val="17"/>
          <w:rFonts w:hint="eastAsia" w:ascii="宋体" w:hAnsi="宋体" w:cs="宋体"/>
          <w:b/>
          <w:bCs/>
          <w:color w:val="auto"/>
          <w:highlight w:val="none"/>
        </w:rPr>
        <w:t>包干</w:t>
      </w:r>
      <w:r>
        <w:rPr>
          <w:rStyle w:val="17"/>
          <w:rFonts w:ascii="宋体" w:hAnsi="宋体" w:cs="宋体"/>
          <w:b/>
          <w:bCs/>
          <w:color w:val="auto"/>
          <w:highlight w:val="none"/>
        </w:rPr>
        <w:t>)</w:t>
      </w:r>
      <w:r>
        <w:rPr>
          <w:rStyle w:val="17"/>
          <w:rFonts w:hint="eastAsia" w:ascii="宋体" w:hAnsi="宋体" w:cs="宋体"/>
          <w:b/>
          <w:bCs/>
          <w:color w:val="auto"/>
          <w:highlight w:val="none"/>
        </w:rPr>
        <w:t>支付项的分目</w:t>
      </w:r>
      <w:r>
        <w:rPr>
          <w:color w:val="auto"/>
          <w:highlight w:val="none"/>
        </w:rPr>
        <w:tab/>
      </w:r>
      <w:r>
        <w:rPr>
          <w:color w:val="auto"/>
          <w:highlight w:val="none"/>
        </w:rPr>
        <w:fldChar w:fldCharType="begin"/>
      </w:r>
      <w:r>
        <w:rPr>
          <w:color w:val="auto"/>
          <w:highlight w:val="none"/>
        </w:rPr>
        <w:instrText xml:space="preserve"> PAGEREF _Toc517530880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"_Toc517530881"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12.1.3</w:t>
      </w:r>
      <w:r>
        <w:rPr>
          <w:rStyle w:val="17"/>
          <w:rFonts w:hint="eastAsia" w:ascii="宋体" w:hAnsi="宋体" w:cs="宋体"/>
          <w:b/>
          <w:bCs/>
          <w:color w:val="auto"/>
          <w:highlight w:val="none"/>
        </w:rPr>
        <w:t>专业工程暂估价的最后确定</w:t>
      </w:r>
      <w:r>
        <w:rPr>
          <w:color w:val="auto"/>
          <w:highlight w:val="none"/>
        </w:rPr>
        <w:tab/>
      </w:r>
      <w:r>
        <w:rPr>
          <w:color w:val="auto"/>
          <w:highlight w:val="none"/>
        </w:rPr>
        <w:fldChar w:fldCharType="begin"/>
      </w:r>
      <w:r>
        <w:rPr>
          <w:color w:val="auto"/>
          <w:highlight w:val="none"/>
        </w:rPr>
        <w:instrText xml:space="preserve"> PAGEREF _Toc517530881 \h </w:instrText>
      </w:r>
      <w:r>
        <w:rPr>
          <w:color w:val="auto"/>
          <w:highlight w:val="none"/>
        </w:rPr>
        <w:fldChar w:fldCharType="separate"/>
      </w:r>
      <w:r>
        <w:rPr>
          <w:color w:val="auto"/>
          <w:highlight w:val="none"/>
        </w:rPr>
        <w:t>64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"_Toc517530882"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12.1.4</w:t>
      </w:r>
      <w:r>
        <w:rPr>
          <w:rStyle w:val="17"/>
          <w:rFonts w:hint="eastAsia" w:ascii="宋体" w:hAnsi="宋体" w:cs="宋体"/>
          <w:b/>
          <w:bCs/>
          <w:color w:val="auto"/>
          <w:highlight w:val="none"/>
        </w:rPr>
        <w:t>材料设备暂估价的最后确定</w:t>
      </w:r>
      <w:r>
        <w:rPr>
          <w:color w:val="auto"/>
          <w:highlight w:val="none"/>
        </w:rPr>
        <w:tab/>
      </w:r>
      <w:r>
        <w:rPr>
          <w:color w:val="auto"/>
          <w:highlight w:val="none"/>
        </w:rPr>
        <w:fldChar w:fldCharType="begin"/>
      </w:r>
      <w:r>
        <w:rPr>
          <w:color w:val="auto"/>
          <w:highlight w:val="none"/>
        </w:rPr>
        <w:instrText xml:space="preserve"> PAGEREF _Toc517530882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"_Toc517530883"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12.1.5</w:t>
      </w:r>
      <w:r>
        <w:rPr>
          <w:rStyle w:val="17"/>
          <w:rFonts w:hint="eastAsia" w:ascii="宋体" w:hAnsi="宋体" w:cs="宋体"/>
          <w:b/>
          <w:bCs/>
          <w:color w:val="auto"/>
          <w:highlight w:val="none"/>
        </w:rPr>
        <w:t>暂列金额的最后确定</w:t>
      </w:r>
      <w:r>
        <w:rPr>
          <w:color w:val="auto"/>
          <w:highlight w:val="none"/>
        </w:rPr>
        <w:tab/>
      </w:r>
      <w:r>
        <w:rPr>
          <w:color w:val="auto"/>
          <w:highlight w:val="none"/>
        </w:rPr>
        <w:fldChar w:fldCharType="begin"/>
      </w:r>
      <w:r>
        <w:rPr>
          <w:color w:val="auto"/>
          <w:highlight w:val="none"/>
        </w:rPr>
        <w:instrText xml:space="preserve"> PAGEREF _Toc517530883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"_Toc517530884"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12.2</w:t>
      </w:r>
      <w:r>
        <w:rPr>
          <w:rStyle w:val="17"/>
          <w:rFonts w:hint="eastAsia" w:ascii="宋体" w:hAnsi="宋体" w:cs="宋体"/>
          <w:b/>
          <w:bCs/>
          <w:color w:val="auto"/>
          <w:highlight w:val="none"/>
        </w:rPr>
        <w:t>工程量</w:t>
      </w:r>
      <w:r>
        <w:rPr>
          <w:color w:val="auto"/>
          <w:highlight w:val="none"/>
        </w:rPr>
        <w:tab/>
      </w:r>
      <w:r>
        <w:rPr>
          <w:color w:val="auto"/>
          <w:highlight w:val="none"/>
        </w:rPr>
        <w:fldChar w:fldCharType="begin"/>
      </w:r>
      <w:r>
        <w:rPr>
          <w:color w:val="auto"/>
          <w:highlight w:val="none"/>
        </w:rPr>
        <w:instrText xml:space="preserve"> PAGEREF _Toc517530884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"_Toc517530885"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12.2.1</w:t>
      </w:r>
      <w:r>
        <w:rPr>
          <w:rStyle w:val="17"/>
          <w:rFonts w:hint="eastAsia" w:ascii="宋体" w:hAnsi="宋体" w:cs="宋体"/>
          <w:b/>
          <w:bCs/>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_Toc517530885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"_Toc517530886"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12.2.2</w:t>
      </w:r>
      <w:r>
        <w:rPr>
          <w:rStyle w:val="17"/>
          <w:rFonts w:hint="eastAsia" w:ascii="宋体" w:hAnsi="宋体" w:cs="宋体"/>
          <w:b/>
          <w:bCs/>
          <w:color w:val="auto"/>
          <w:highlight w:val="none"/>
        </w:rPr>
        <w:t>工程量清单的复核</w:t>
      </w:r>
      <w:r>
        <w:rPr>
          <w:color w:val="auto"/>
          <w:highlight w:val="none"/>
        </w:rPr>
        <w:tab/>
      </w:r>
      <w:r>
        <w:rPr>
          <w:color w:val="auto"/>
          <w:highlight w:val="none"/>
        </w:rPr>
        <w:fldChar w:fldCharType="begin"/>
      </w:r>
      <w:r>
        <w:rPr>
          <w:color w:val="auto"/>
          <w:highlight w:val="none"/>
        </w:rPr>
        <w:instrText xml:space="preserve"> PAGEREF _Toc517530886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"_Toc517530887"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12.2.3</w:t>
      </w:r>
      <w:r>
        <w:rPr>
          <w:rStyle w:val="17"/>
          <w:rFonts w:hint="eastAsia" w:ascii="宋体" w:hAnsi="宋体" w:cs="宋体"/>
          <w:b/>
          <w:bCs/>
          <w:color w:val="auto"/>
          <w:highlight w:val="none"/>
        </w:rPr>
        <w:t>工程计量</w:t>
      </w:r>
      <w:r>
        <w:rPr>
          <w:color w:val="auto"/>
          <w:highlight w:val="none"/>
        </w:rPr>
        <w:tab/>
      </w:r>
      <w:r>
        <w:rPr>
          <w:color w:val="auto"/>
          <w:highlight w:val="none"/>
        </w:rPr>
        <w:fldChar w:fldCharType="begin"/>
      </w:r>
      <w:r>
        <w:rPr>
          <w:color w:val="auto"/>
          <w:highlight w:val="none"/>
        </w:rPr>
        <w:instrText xml:space="preserve"> PAGEREF _Toc517530887 \h </w:instrText>
      </w:r>
      <w:r>
        <w:rPr>
          <w:color w:val="auto"/>
          <w:highlight w:val="none"/>
        </w:rPr>
        <w:fldChar w:fldCharType="separate"/>
      </w:r>
      <w:r>
        <w:rPr>
          <w:color w:val="auto"/>
          <w:highlight w:val="none"/>
        </w:rPr>
        <w:t>65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"_Toc517530888"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12.2.4</w:t>
      </w:r>
      <w:r>
        <w:rPr>
          <w:rStyle w:val="17"/>
          <w:rFonts w:hint="eastAsia" w:ascii="宋体" w:hAnsi="宋体" w:cs="宋体"/>
          <w:b/>
          <w:bCs/>
          <w:color w:val="auto"/>
          <w:highlight w:val="none"/>
        </w:rPr>
        <w:t>计量方法</w:t>
      </w:r>
      <w:r>
        <w:rPr>
          <w:color w:val="auto"/>
          <w:highlight w:val="none"/>
        </w:rPr>
        <w:tab/>
      </w:r>
      <w:r>
        <w:rPr>
          <w:color w:val="auto"/>
          <w:highlight w:val="none"/>
        </w:rPr>
        <w:fldChar w:fldCharType="begin"/>
      </w:r>
      <w:r>
        <w:rPr>
          <w:color w:val="auto"/>
          <w:highlight w:val="none"/>
        </w:rPr>
        <w:instrText xml:space="preserve"> PAGEREF _Toc517530888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"_Toc517530889"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12.3</w:t>
      </w:r>
      <w:r>
        <w:rPr>
          <w:rStyle w:val="17"/>
          <w:rFonts w:hint="eastAsia" w:ascii="宋体" w:hAnsi="宋体" w:cs="宋体"/>
          <w:b/>
          <w:bCs/>
          <w:color w:val="auto"/>
          <w:highlight w:val="none"/>
        </w:rPr>
        <w:t>工程款的支付</w:t>
      </w:r>
      <w:r>
        <w:rPr>
          <w:color w:val="auto"/>
          <w:highlight w:val="none"/>
        </w:rPr>
        <w:tab/>
      </w:r>
      <w:r>
        <w:rPr>
          <w:color w:val="auto"/>
          <w:highlight w:val="none"/>
        </w:rPr>
        <w:fldChar w:fldCharType="begin"/>
      </w:r>
      <w:r>
        <w:rPr>
          <w:color w:val="auto"/>
          <w:highlight w:val="none"/>
        </w:rPr>
        <w:instrText xml:space="preserve"> PAGEREF _Toc517530889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"_Toc517530890"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12.3.1</w:t>
      </w:r>
      <w:r>
        <w:rPr>
          <w:rStyle w:val="17"/>
          <w:rFonts w:hint="eastAsia" w:ascii="宋体" w:hAnsi="宋体" w:cs="宋体"/>
          <w:b/>
          <w:bCs/>
          <w:color w:val="auto"/>
          <w:highlight w:val="none"/>
        </w:rPr>
        <w:t>合同用款计划的提交</w:t>
      </w:r>
      <w:r>
        <w:rPr>
          <w:color w:val="auto"/>
          <w:highlight w:val="none"/>
        </w:rPr>
        <w:tab/>
      </w:r>
      <w:r>
        <w:rPr>
          <w:color w:val="auto"/>
          <w:highlight w:val="none"/>
        </w:rPr>
        <w:fldChar w:fldCharType="begin"/>
      </w:r>
      <w:r>
        <w:rPr>
          <w:color w:val="auto"/>
          <w:highlight w:val="none"/>
        </w:rPr>
        <w:instrText xml:space="preserve"> PAGEREF _Toc517530890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"_Toc517530891"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12.3.2</w:t>
      </w:r>
      <w:r>
        <w:rPr>
          <w:rStyle w:val="17"/>
          <w:rFonts w:hint="eastAsia" w:ascii="宋体" w:hAnsi="宋体" w:cs="宋体"/>
          <w:b/>
          <w:bCs/>
          <w:color w:val="auto"/>
          <w:highlight w:val="none"/>
        </w:rPr>
        <w:t>月结账单</w:t>
      </w:r>
      <w:r>
        <w:rPr>
          <w:color w:val="auto"/>
          <w:highlight w:val="none"/>
        </w:rPr>
        <w:tab/>
      </w:r>
      <w:r>
        <w:rPr>
          <w:color w:val="auto"/>
          <w:highlight w:val="none"/>
        </w:rPr>
        <w:fldChar w:fldCharType="begin"/>
      </w:r>
      <w:r>
        <w:rPr>
          <w:color w:val="auto"/>
          <w:highlight w:val="none"/>
        </w:rPr>
        <w:instrText xml:space="preserve"> PAGEREF _Toc517530891 \h </w:instrText>
      </w:r>
      <w:r>
        <w:rPr>
          <w:color w:val="auto"/>
          <w:highlight w:val="none"/>
        </w:rPr>
        <w:fldChar w:fldCharType="separate"/>
      </w:r>
      <w:r>
        <w:rPr>
          <w:color w:val="auto"/>
          <w:highlight w:val="none"/>
        </w:rPr>
        <w:t>66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"_Toc517530892"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12.3.3</w:t>
      </w:r>
      <w:r>
        <w:rPr>
          <w:rStyle w:val="17"/>
          <w:rFonts w:hint="eastAsia" w:ascii="宋体" w:hAnsi="宋体" w:cs="宋体"/>
          <w:b/>
          <w:bCs/>
          <w:color w:val="auto"/>
          <w:highlight w:val="none"/>
        </w:rPr>
        <w:t>月支付</w:t>
      </w:r>
      <w:r>
        <w:rPr>
          <w:color w:val="auto"/>
          <w:highlight w:val="none"/>
        </w:rPr>
        <w:tab/>
      </w:r>
      <w:r>
        <w:rPr>
          <w:color w:val="auto"/>
          <w:highlight w:val="none"/>
        </w:rPr>
        <w:fldChar w:fldCharType="begin"/>
      </w:r>
      <w:r>
        <w:rPr>
          <w:color w:val="auto"/>
          <w:highlight w:val="none"/>
        </w:rPr>
        <w:instrText xml:space="preserve"> PAGEREF _Toc517530892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"_Toc517530893"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12.3.4</w:t>
      </w:r>
      <w:r>
        <w:rPr>
          <w:rStyle w:val="17"/>
          <w:rFonts w:hint="eastAsia" w:ascii="宋体" w:hAnsi="宋体" w:cs="宋体"/>
          <w:b/>
          <w:bCs/>
          <w:color w:val="auto"/>
          <w:highlight w:val="none"/>
        </w:rPr>
        <w:t>开工预付款的支付</w:t>
      </w:r>
      <w:r>
        <w:rPr>
          <w:color w:val="auto"/>
          <w:highlight w:val="none"/>
        </w:rPr>
        <w:tab/>
      </w:r>
      <w:r>
        <w:rPr>
          <w:color w:val="auto"/>
          <w:highlight w:val="none"/>
        </w:rPr>
        <w:fldChar w:fldCharType="begin"/>
      </w:r>
      <w:r>
        <w:rPr>
          <w:color w:val="auto"/>
          <w:highlight w:val="none"/>
        </w:rPr>
        <w:instrText xml:space="preserve"> PAGEREF _Toc517530893 \h </w:instrText>
      </w:r>
      <w:r>
        <w:rPr>
          <w:color w:val="auto"/>
          <w:highlight w:val="none"/>
        </w:rPr>
        <w:fldChar w:fldCharType="separate"/>
      </w:r>
      <w:r>
        <w:rPr>
          <w:color w:val="auto"/>
          <w:highlight w:val="none"/>
        </w:rPr>
        <w:t>67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"_Toc517530894"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12.3.5</w:t>
      </w:r>
      <w:r>
        <w:rPr>
          <w:rStyle w:val="17"/>
          <w:rFonts w:hint="eastAsia" w:ascii="宋体" w:hAnsi="宋体" w:cs="宋体"/>
          <w:b/>
          <w:bCs/>
          <w:color w:val="auto"/>
          <w:highlight w:val="none"/>
        </w:rPr>
        <w:t>安全文明施工措施费分阶段支付</w:t>
      </w:r>
      <w:r>
        <w:rPr>
          <w:color w:val="auto"/>
          <w:highlight w:val="none"/>
        </w:rPr>
        <w:tab/>
      </w:r>
      <w:r>
        <w:rPr>
          <w:color w:val="auto"/>
          <w:highlight w:val="none"/>
        </w:rPr>
        <w:fldChar w:fldCharType="begin"/>
      </w:r>
      <w:r>
        <w:rPr>
          <w:color w:val="auto"/>
          <w:highlight w:val="none"/>
        </w:rPr>
        <w:instrText xml:space="preserve"> PAGEREF _Toc517530894 \h </w:instrText>
      </w:r>
      <w:r>
        <w:rPr>
          <w:color w:val="auto"/>
          <w:highlight w:val="none"/>
        </w:rPr>
        <w:fldChar w:fldCharType="separate"/>
      </w:r>
      <w:r>
        <w:rPr>
          <w:color w:val="auto"/>
          <w:highlight w:val="none"/>
        </w:rPr>
        <w:t>68</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"_Toc517530895"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12.3.6</w:t>
      </w:r>
      <w:r>
        <w:rPr>
          <w:rStyle w:val="17"/>
          <w:rFonts w:hint="eastAsia" w:ascii="宋体" w:hAnsi="宋体" w:cs="宋体"/>
          <w:b/>
          <w:bCs/>
          <w:color w:val="auto"/>
          <w:highlight w:val="none"/>
        </w:rPr>
        <w:t>材料、设备预付款的支付</w:t>
      </w:r>
      <w:r>
        <w:rPr>
          <w:color w:val="auto"/>
          <w:highlight w:val="none"/>
        </w:rPr>
        <w:tab/>
      </w:r>
      <w:r>
        <w:rPr>
          <w:color w:val="auto"/>
          <w:highlight w:val="none"/>
        </w:rPr>
        <w:fldChar w:fldCharType="begin"/>
      </w:r>
      <w:r>
        <w:rPr>
          <w:color w:val="auto"/>
          <w:highlight w:val="none"/>
        </w:rPr>
        <w:instrText xml:space="preserve"> PAGEREF _Toc517530895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"_Toc517530896"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12.3.7</w:t>
      </w:r>
      <w:r>
        <w:rPr>
          <w:rStyle w:val="17"/>
          <w:rFonts w:hint="eastAsia" w:ascii="宋体" w:hAnsi="宋体" w:cs="宋体"/>
          <w:b/>
          <w:bCs/>
          <w:color w:val="auto"/>
          <w:highlight w:val="none"/>
        </w:rPr>
        <w:t>证书的改正</w:t>
      </w:r>
      <w:r>
        <w:rPr>
          <w:color w:val="auto"/>
          <w:highlight w:val="none"/>
        </w:rPr>
        <w:tab/>
      </w:r>
      <w:r>
        <w:rPr>
          <w:color w:val="auto"/>
          <w:highlight w:val="none"/>
        </w:rPr>
        <w:fldChar w:fldCharType="begin"/>
      </w:r>
      <w:r>
        <w:rPr>
          <w:color w:val="auto"/>
          <w:highlight w:val="none"/>
        </w:rPr>
        <w:instrText xml:space="preserve"> PAGEREF _Toc517530896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"_Toc517530897"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12.3.8</w:t>
      </w:r>
      <w:r>
        <w:rPr>
          <w:rStyle w:val="17"/>
          <w:rFonts w:hint="eastAsia" w:ascii="宋体" w:hAnsi="宋体" w:cs="宋体"/>
          <w:b/>
          <w:bCs/>
          <w:color w:val="auto"/>
          <w:highlight w:val="none"/>
        </w:rPr>
        <w:t>期中支付</w:t>
      </w:r>
      <w:r>
        <w:rPr>
          <w:color w:val="auto"/>
          <w:highlight w:val="none"/>
        </w:rPr>
        <w:tab/>
      </w:r>
      <w:r>
        <w:rPr>
          <w:color w:val="auto"/>
          <w:highlight w:val="none"/>
        </w:rPr>
        <w:fldChar w:fldCharType="begin"/>
      </w:r>
      <w:r>
        <w:rPr>
          <w:color w:val="auto"/>
          <w:highlight w:val="none"/>
        </w:rPr>
        <w:instrText xml:space="preserve"> PAGEREF _Toc517530897 \h </w:instrText>
      </w:r>
      <w:r>
        <w:rPr>
          <w:color w:val="auto"/>
          <w:highlight w:val="none"/>
        </w:rPr>
        <w:fldChar w:fldCharType="separate"/>
      </w:r>
      <w:r>
        <w:rPr>
          <w:color w:val="auto"/>
          <w:highlight w:val="none"/>
        </w:rPr>
        <w:t>69</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"_Toc517530898"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12.3.9</w:t>
      </w:r>
      <w:r>
        <w:rPr>
          <w:rStyle w:val="17"/>
          <w:rFonts w:hint="eastAsia" w:ascii="宋体" w:hAnsi="宋体" w:cs="宋体"/>
          <w:b/>
          <w:bCs/>
          <w:color w:val="auto"/>
          <w:highlight w:val="none"/>
        </w:rPr>
        <w:t>解除履行合同时的付款</w:t>
      </w:r>
      <w:r>
        <w:rPr>
          <w:color w:val="auto"/>
          <w:highlight w:val="none"/>
        </w:rPr>
        <w:tab/>
      </w:r>
      <w:r>
        <w:rPr>
          <w:color w:val="auto"/>
          <w:highlight w:val="none"/>
        </w:rPr>
        <w:fldChar w:fldCharType="begin"/>
      </w:r>
      <w:r>
        <w:rPr>
          <w:color w:val="auto"/>
          <w:highlight w:val="none"/>
        </w:rPr>
        <w:instrText xml:space="preserve"> PAGEREF _Toc517530898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"_Toc517530899"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13. </w:t>
      </w:r>
      <w:r>
        <w:rPr>
          <w:rStyle w:val="17"/>
          <w:rFonts w:hint="eastAsia" w:ascii="宋体" w:hAnsi="宋体" w:cs="宋体"/>
          <w:b/>
          <w:bCs/>
          <w:color w:val="auto"/>
          <w:highlight w:val="none"/>
        </w:rPr>
        <w:t>竣工验收</w:t>
      </w:r>
      <w:r>
        <w:rPr>
          <w:color w:val="auto"/>
          <w:highlight w:val="none"/>
        </w:rPr>
        <w:tab/>
      </w:r>
      <w:r>
        <w:rPr>
          <w:color w:val="auto"/>
          <w:highlight w:val="none"/>
        </w:rPr>
        <w:fldChar w:fldCharType="begin"/>
      </w:r>
      <w:r>
        <w:rPr>
          <w:color w:val="auto"/>
          <w:highlight w:val="none"/>
        </w:rPr>
        <w:instrText xml:space="preserve"> PAGEREF _Toc517530899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"_Toc517530900"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13.1</w:t>
      </w:r>
      <w:r>
        <w:rPr>
          <w:rStyle w:val="17"/>
          <w:rFonts w:hint="eastAsia" w:ascii="宋体" w:hAnsi="宋体" w:cs="宋体"/>
          <w:b/>
          <w:bCs/>
          <w:color w:val="auto"/>
          <w:highlight w:val="none"/>
        </w:rPr>
        <w:t>交接证书</w:t>
      </w:r>
      <w:r>
        <w:rPr>
          <w:color w:val="auto"/>
          <w:highlight w:val="none"/>
        </w:rPr>
        <w:tab/>
      </w:r>
      <w:r>
        <w:rPr>
          <w:color w:val="auto"/>
          <w:highlight w:val="none"/>
        </w:rPr>
        <w:fldChar w:fldCharType="begin"/>
      </w:r>
      <w:r>
        <w:rPr>
          <w:color w:val="auto"/>
          <w:highlight w:val="none"/>
        </w:rPr>
        <w:instrText xml:space="preserve"> PAGEREF _Toc517530900 \h </w:instrText>
      </w:r>
      <w:r>
        <w:rPr>
          <w:color w:val="auto"/>
          <w:highlight w:val="none"/>
        </w:rPr>
        <w:fldChar w:fldCharType="separate"/>
      </w:r>
      <w:r>
        <w:rPr>
          <w:color w:val="auto"/>
          <w:highlight w:val="none"/>
        </w:rPr>
        <w:t>70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"_Toc517530901"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13.2</w:t>
      </w:r>
      <w:r>
        <w:rPr>
          <w:rStyle w:val="17"/>
          <w:rFonts w:hint="eastAsia" w:ascii="宋体" w:hAnsi="宋体" w:cs="宋体"/>
          <w:b/>
          <w:bCs/>
          <w:color w:val="auto"/>
          <w:highlight w:val="none"/>
        </w:rPr>
        <w:t>区段或单项工程的交工</w:t>
      </w:r>
      <w:r>
        <w:rPr>
          <w:color w:val="auto"/>
          <w:highlight w:val="none"/>
        </w:rPr>
        <w:tab/>
      </w:r>
      <w:r>
        <w:rPr>
          <w:color w:val="auto"/>
          <w:highlight w:val="none"/>
        </w:rPr>
        <w:fldChar w:fldCharType="begin"/>
      </w:r>
      <w:r>
        <w:rPr>
          <w:color w:val="auto"/>
          <w:highlight w:val="none"/>
        </w:rPr>
        <w:instrText xml:space="preserve"> PAGEREF _Toc517530901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"_Toc517530902"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13.3</w:t>
      </w:r>
      <w:r>
        <w:rPr>
          <w:rStyle w:val="17"/>
          <w:rFonts w:hint="eastAsia" w:ascii="宋体" w:hAnsi="宋体" w:cs="宋体"/>
          <w:b/>
          <w:bCs/>
          <w:color w:val="auto"/>
          <w:highlight w:val="none"/>
        </w:rPr>
        <w:t>工程移交和档案管理</w:t>
      </w:r>
      <w:r>
        <w:rPr>
          <w:color w:val="auto"/>
          <w:highlight w:val="none"/>
        </w:rPr>
        <w:tab/>
      </w:r>
      <w:r>
        <w:rPr>
          <w:color w:val="auto"/>
          <w:highlight w:val="none"/>
        </w:rPr>
        <w:fldChar w:fldCharType="begin"/>
      </w:r>
      <w:r>
        <w:rPr>
          <w:color w:val="auto"/>
          <w:highlight w:val="none"/>
        </w:rPr>
        <w:instrText xml:space="preserve"> PAGEREF _Toc517530902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"_Toc517530903"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14. </w:t>
      </w:r>
      <w:r>
        <w:rPr>
          <w:rStyle w:val="17"/>
          <w:rFonts w:hint="eastAsia" w:ascii="宋体" w:hAnsi="宋体" w:cs="宋体"/>
          <w:b/>
          <w:bCs/>
          <w:color w:val="auto"/>
          <w:highlight w:val="none"/>
        </w:rPr>
        <w:t>竣工结算</w:t>
      </w:r>
      <w:r>
        <w:rPr>
          <w:color w:val="auto"/>
          <w:highlight w:val="none"/>
        </w:rPr>
        <w:tab/>
      </w:r>
      <w:r>
        <w:rPr>
          <w:color w:val="auto"/>
          <w:highlight w:val="none"/>
        </w:rPr>
        <w:fldChar w:fldCharType="begin"/>
      </w:r>
      <w:r>
        <w:rPr>
          <w:color w:val="auto"/>
          <w:highlight w:val="none"/>
        </w:rPr>
        <w:instrText xml:space="preserve"> PAGEREF _Toc517530903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"_Toc517530904"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14.1</w:t>
      </w:r>
      <w:r>
        <w:rPr>
          <w:rStyle w:val="17"/>
          <w:rFonts w:hint="eastAsia" w:ascii="宋体" w:hAnsi="宋体" w:cs="宋体"/>
          <w:b/>
          <w:bCs/>
          <w:color w:val="auto"/>
          <w:highlight w:val="none"/>
        </w:rPr>
        <w:t>竣工结账单</w:t>
      </w:r>
      <w:r>
        <w:rPr>
          <w:color w:val="auto"/>
          <w:highlight w:val="none"/>
        </w:rPr>
        <w:tab/>
      </w:r>
      <w:r>
        <w:rPr>
          <w:color w:val="auto"/>
          <w:highlight w:val="none"/>
        </w:rPr>
        <w:fldChar w:fldCharType="begin"/>
      </w:r>
      <w:r>
        <w:rPr>
          <w:color w:val="auto"/>
          <w:highlight w:val="none"/>
        </w:rPr>
        <w:instrText xml:space="preserve"> PAGEREF _Toc517530904 \h </w:instrText>
      </w:r>
      <w:r>
        <w:rPr>
          <w:color w:val="auto"/>
          <w:highlight w:val="none"/>
        </w:rPr>
        <w:fldChar w:fldCharType="separate"/>
      </w:r>
      <w:r>
        <w:rPr>
          <w:color w:val="auto"/>
          <w:highlight w:val="none"/>
        </w:rPr>
        <w:t>71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"_Toc517530905"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14.2</w:t>
      </w:r>
      <w:r>
        <w:rPr>
          <w:rStyle w:val="17"/>
          <w:rFonts w:hint="eastAsia" w:ascii="宋体" w:hAnsi="宋体" w:cs="宋体"/>
          <w:b/>
          <w:bCs/>
          <w:color w:val="auto"/>
          <w:highlight w:val="none"/>
        </w:rPr>
        <w:t>签发履约证书</w:t>
      </w:r>
      <w:r>
        <w:rPr>
          <w:color w:val="auto"/>
          <w:highlight w:val="none"/>
        </w:rPr>
        <w:tab/>
      </w:r>
      <w:r>
        <w:rPr>
          <w:color w:val="auto"/>
          <w:highlight w:val="none"/>
        </w:rPr>
        <w:fldChar w:fldCharType="begin"/>
      </w:r>
      <w:r>
        <w:rPr>
          <w:color w:val="auto"/>
          <w:highlight w:val="none"/>
        </w:rPr>
        <w:instrText xml:space="preserve"> PAGEREF _Toc517530905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"_Toc517530906"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14.3</w:t>
      </w:r>
      <w:r>
        <w:rPr>
          <w:rStyle w:val="17"/>
          <w:rFonts w:hint="eastAsia" w:ascii="宋体" w:hAnsi="宋体" w:cs="宋体"/>
          <w:b/>
          <w:bCs/>
          <w:color w:val="auto"/>
          <w:highlight w:val="none"/>
        </w:rPr>
        <w:t>最后结账单</w:t>
      </w:r>
      <w:r>
        <w:rPr>
          <w:color w:val="auto"/>
          <w:highlight w:val="none"/>
        </w:rPr>
        <w:tab/>
      </w:r>
      <w:r>
        <w:rPr>
          <w:color w:val="auto"/>
          <w:highlight w:val="none"/>
        </w:rPr>
        <w:fldChar w:fldCharType="begin"/>
      </w:r>
      <w:r>
        <w:rPr>
          <w:color w:val="auto"/>
          <w:highlight w:val="none"/>
        </w:rPr>
        <w:instrText xml:space="preserve"> PAGEREF _Toc517530906 \h </w:instrText>
      </w:r>
      <w:r>
        <w:rPr>
          <w:color w:val="auto"/>
          <w:highlight w:val="none"/>
        </w:rPr>
        <w:fldChar w:fldCharType="separate"/>
      </w:r>
      <w:r>
        <w:rPr>
          <w:color w:val="auto"/>
          <w:highlight w:val="none"/>
        </w:rPr>
        <w:t>72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"_Toc517530907"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14.4</w:t>
      </w:r>
      <w:r>
        <w:rPr>
          <w:rStyle w:val="17"/>
          <w:rFonts w:hint="eastAsia" w:ascii="宋体" w:hAnsi="宋体" w:cs="宋体"/>
          <w:b/>
          <w:bCs/>
          <w:color w:val="auto"/>
          <w:highlight w:val="none"/>
        </w:rPr>
        <w:t>清账单</w:t>
      </w:r>
      <w:r>
        <w:rPr>
          <w:color w:val="auto"/>
          <w:highlight w:val="none"/>
        </w:rPr>
        <w:tab/>
      </w:r>
      <w:r>
        <w:rPr>
          <w:color w:val="auto"/>
          <w:highlight w:val="none"/>
        </w:rPr>
        <w:fldChar w:fldCharType="begin"/>
      </w:r>
      <w:r>
        <w:rPr>
          <w:color w:val="auto"/>
          <w:highlight w:val="none"/>
        </w:rPr>
        <w:instrText xml:space="preserve"> PAGEREF _Toc517530907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"_Toc517530908"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14.5</w:t>
      </w:r>
      <w:r>
        <w:rPr>
          <w:rStyle w:val="17"/>
          <w:rFonts w:hint="eastAsia" w:ascii="宋体" w:hAnsi="宋体" w:cs="宋体"/>
          <w:b/>
          <w:bCs/>
          <w:color w:val="auto"/>
          <w:highlight w:val="none"/>
        </w:rPr>
        <w:t>甩项竣工协议</w:t>
      </w:r>
      <w:r>
        <w:rPr>
          <w:color w:val="auto"/>
          <w:highlight w:val="none"/>
        </w:rPr>
        <w:tab/>
      </w:r>
      <w:r>
        <w:rPr>
          <w:color w:val="auto"/>
          <w:highlight w:val="none"/>
        </w:rPr>
        <w:fldChar w:fldCharType="begin"/>
      </w:r>
      <w:r>
        <w:rPr>
          <w:color w:val="auto"/>
          <w:highlight w:val="none"/>
        </w:rPr>
        <w:instrText xml:space="preserve"> PAGEREF _Toc517530908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"_Toc517530909"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14.6</w:t>
      </w:r>
      <w:r>
        <w:rPr>
          <w:rStyle w:val="17"/>
          <w:rFonts w:hint="eastAsia" w:ascii="宋体" w:hAnsi="宋体" w:cs="宋体"/>
          <w:b/>
          <w:bCs/>
          <w:color w:val="auto"/>
          <w:highlight w:val="none"/>
        </w:rPr>
        <w:t>最后支付证书</w:t>
      </w:r>
      <w:r>
        <w:rPr>
          <w:color w:val="auto"/>
          <w:highlight w:val="none"/>
        </w:rPr>
        <w:tab/>
      </w:r>
      <w:r>
        <w:rPr>
          <w:color w:val="auto"/>
          <w:highlight w:val="none"/>
        </w:rPr>
        <w:fldChar w:fldCharType="begin"/>
      </w:r>
      <w:r>
        <w:rPr>
          <w:color w:val="auto"/>
          <w:highlight w:val="none"/>
        </w:rPr>
        <w:instrText xml:space="preserve"> PAGEREF _Toc517530909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"_Toc517530910"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14.7</w:t>
      </w:r>
      <w:r>
        <w:rPr>
          <w:rStyle w:val="17"/>
          <w:rFonts w:hint="eastAsia" w:ascii="宋体" w:hAnsi="宋体" w:cs="宋体"/>
          <w:b/>
          <w:bCs/>
          <w:color w:val="auto"/>
          <w:highlight w:val="none"/>
        </w:rPr>
        <w:t>发包人责任的终止</w:t>
      </w:r>
      <w:r>
        <w:rPr>
          <w:color w:val="auto"/>
          <w:highlight w:val="none"/>
        </w:rPr>
        <w:tab/>
      </w:r>
      <w:r>
        <w:rPr>
          <w:color w:val="auto"/>
          <w:highlight w:val="none"/>
        </w:rPr>
        <w:fldChar w:fldCharType="begin"/>
      </w:r>
      <w:r>
        <w:rPr>
          <w:color w:val="auto"/>
          <w:highlight w:val="none"/>
        </w:rPr>
        <w:instrText xml:space="preserve"> PAGEREF _Toc517530910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"_Toc517530911"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15. </w:t>
      </w:r>
      <w:r>
        <w:rPr>
          <w:rStyle w:val="17"/>
          <w:rFonts w:hint="eastAsia" w:ascii="宋体" w:hAnsi="宋体" w:cs="宋体"/>
          <w:b/>
          <w:bCs/>
          <w:color w:val="auto"/>
          <w:highlight w:val="none"/>
        </w:rPr>
        <w:t>缺陷责任与保修</w:t>
      </w:r>
      <w:r>
        <w:rPr>
          <w:color w:val="auto"/>
          <w:highlight w:val="none"/>
        </w:rPr>
        <w:tab/>
      </w:r>
      <w:r>
        <w:rPr>
          <w:color w:val="auto"/>
          <w:highlight w:val="none"/>
        </w:rPr>
        <w:fldChar w:fldCharType="begin"/>
      </w:r>
      <w:r>
        <w:rPr>
          <w:color w:val="auto"/>
          <w:highlight w:val="none"/>
        </w:rPr>
        <w:instrText xml:space="preserve"> PAGEREF _Toc517530911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"_Toc517530912"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15.1</w:t>
      </w:r>
      <w:r>
        <w:rPr>
          <w:rStyle w:val="17"/>
          <w:rFonts w:hint="eastAsia" w:ascii="宋体" w:hAnsi="宋体" w:cs="宋体"/>
          <w:b/>
          <w:bCs/>
          <w:color w:val="auto"/>
          <w:highlight w:val="none"/>
        </w:rPr>
        <w:t>完成未完工作和修复缺陷</w:t>
      </w:r>
      <w:r>
        <w:rPr>
          <w:color w:val="auto"/>
          <w:highlight w:val="none"/>
        </w:rPr>
        <w:tab/>
      </w:r>
      <w:r>
        <w:rPr>
          <w:color w:val="auto"/>
          <w:highlight w:val="none"/>
        </w:rPr>
        <w:fldChar w:fldCharType="begin"/>
      </w:r>
      <w:r>
        <w:rPr>
          <w:color w:val="auto"/>
          <w:highlight w:val="none"/>
        </w:rPr>
        <w:instrText xml:space="preserve"> PAGEREF _Toc517530912 \h </w:instrText>
      </w:r>
      <w:r>
        <w:rPr>
          <w:color w:val="auto"/>
          <w:highlight w:val="none"/>
        </w:rPr>
        <w:fldChar w:fldCharType="separate"/>
      </w:r>
      <w:r>
        <w:rPr>
          <w:color w:val="auto"/>
          <w:highlight w:val="none"/>
        </w:rPr>
        <w:t>73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"_Toc517530913"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15.2</w:t>
      </w:r>
      <w:r>
        <w:rPr>
          <w:rStyle w:val="17"/>
          <w:rFonts w:hint="eastAsia" w:ascii="宋体" w:hAnsi="宋体" w:cs="宋体"/>
          <w:b/>
          <w:bCs/>
          <w:color w:val="auto"/>
          <w:highlight w:val="none"/>
        </w:rPr>
        <w:t>缺陷的调查</w:t>
      </w:r>
      <w:r>
        <w:rPr>
          <w:color w:val="auto"/>
          <w:highlight w:val="none"/>
        </w:rPr>
        <w:tab/>
      </w:r>
      <w:r>
        <w:rPr>
          <w:color w:val="auto"/>
          <w:highlight w:val="none"/>
        </w:rPr>
        <w:fldChar w:fldCharType="begin"/>
      </w:r>
      <w:r>
        <w:rPr>
          <w:color w:val="auto"/>
          <w:highlight w:val="none"/>
        </w:rPr>
        <w:instrText xml:space="preserve"> PAGEREF _Toc517530913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"_Toc517530914"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15.3</w:t>
      </w:r>
      <w:r>
        <w:rPr>
          <w:rStyle w:val="17"/>
          <w:rFonts w:hint="eastAsia" w:ascii="宋体" w:hAnsi="宋体" w:cs="宋体"/>
          <w:b/>
          <w:bCs/>
          <w:color w:val="auto"/>
          <w:highlight w:val="none"/>
        </w:rPr>
        <w:t>缺陷修复的费用</w:t>
      </w:r>
      <w:r>
        <w:rPr>
          <w:color w:val="auto"/>
          <w:highlight w:val="none"/>
        </w:rPr>
        <w:tab/>
      </w:r>
      <w:r>
        <w:rPr>
          <w:color w:val="auto"/>
          <w:highlight w:val="none"/>
        </w:rPr>
        <w:fldChar w:fldCharType="begin"/>
      </w:r>
      <w:r>
        <w:rPr>
          <w:color w:val="auto"/>
          <w:highlight w:val="none"/>
        </w:rPr>
        <w:instrText xml:space="preserve"> PAGEREF _Toc517530914 \h </w:instrText>
      </w:r>
      <w:r>
        <w:rPr>
          <w:color w:val="auto"/>
          <w:highlight w:val="none"/>
        </w:rPr>
        <w:fldChar w:fldCharType="separate"/>
      </w:r>
      <w:r>
        <w:rPr>
          <w:color w:val="auto"/>
          <w:highlight w:val="none"/>
        </w:rPr>
        <w:t>74</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"_Toc517530915"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15.4</w:t>
      </w:r>
      <w:r>
        <w:rPr>
          <w:rStyle w:val="17"/>
          <w:rFonts w:hint="eastAsia" w:ascii="宋体" w:hAnsi="宋体" w:cs="宋体"/>
          <w:b/>
          <w:bCs/>
          <w:color w:val="auto"/>
          <w:highlight w:val="none"/>
        </w:rPr>
        <w:t>履约期满后的缺陷责任</w:t>
      </w:r>
      <w:r>
        <w:rPr>
          <w:color w:val="auto"/>
          <w:highlight w:val="none"/>
        </w:rPr>
        <w:tab/>
      </w:r>
      <w:r>
        <w:rPr>
          <w:color w:val="auto"/>
          <w:highlight w:val="none"/>
        </w:rPr>
        <w:fldChar w:fldCharType="begin"/>
      </w:r>
      <w:r>
        <w:rPr>
          <w:color w:val="auto"/>
          <w:highlight w:val="none"/>
        </w:rPr>
        <w:instrText xml:space="preserve"> PAGEREF _Toc517530915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"_Toc517530916"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15.5</w:t>
      </w:r>
      <w:r>
        <w:rPr>
          <w:rStyle w:val="17"/>
          <w:rFonts w:hint="eastAsia" w:ascii="宋体" w:hAnsi="宋体" w:cs="宋体"/>
          <w:b/>
          <w:bCs/>
          <w:color w:val="auto"/>
          <w:highlight w:val="none"/>
        </w:rPr>
        <w:t>质量保证金的扣留</w:t>
      </w:r>
      <w:r>
        <w:rPr>
          <w:color w:val="auto"/>
          <w:highlight w:val="none"/>
        </w:rPr>
        <w:tab/>
      </w:r>
      <w:r>
        <w:rPr>
          <w:color w:val="auto"/>
          <w:highlight w:val="none"/>
        </w:rPr>
        <w:fldChar w:fldCharType="begin"/>
      </w:r>
      <w:r>
        <w:rPr>
          <w:color w:val="auto"/>
          <w:highlight w:val="none"/>
        </w:rPr>
        <w:instrText xml:space="preserve"> PAGEREF _Toc517530916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"_Toc517530917"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15.6</w:t>
      </w:r>
      <w:r>
        <w:rPr>
          <w:rStyle w:val="17"/>
          <w:rFonts w:hint="eastAsia" w:ascii="宋体" w:hAnsi="宋体" w:cs="宋体"/>
          <w:b/>
          <w:bCs/>
          <w:color w:val="auto"/>
          <w:highlight w:val="none"/>
        </w:rPr>
        <w:t>质量保证金的退还</w:t>
      </w:r>
      <w:r>
        <w:rPr>
          <w:color w:val="auto"/>
          <w:highlight w:val="none"/>
        </w:rPr>
        <w:tab/>
      </w:r>
      <w:r>
        <w:rPr>
          <w:color w:val="auto"/>
          <w:highlight w:val="none"/>
        </w:rPr>
        <w:fldChar w:fldCharType="begin"/>
      </w:r>
      <w:r>
        <w:rPr>
          <w:color w:val="auto"/>
          <w:highlight w:val="none"/>
        </w:rPr>
        <w:instrText xml:space="preserve"> PAGEREF _Toc517530917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"_Toc517530918"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16. </w:t>
      </w:r>
      <w:r>
        <w:rPr>
          <w:rStyle w:val="17"/>
          <w:rFonts w:hint="eastAsia" w:ascii="宋体" w:hAnsi="宋体" w:cs="宋体"/>
          <w:b/>
          <w:bCs/>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_Toc517530918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"_Toc517530919"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16.1 </w:t>
      </w:r>
      <w:r>
        <w:rPr>
          <w:rStyle w:val="17"/>
          <w:rFonts w:hint="eastAsia" w:ascii="宋体" w:hAnsi="宋体" w:cs="宋体"/>
          <w:b/>
          <w:bCs/>
          <w:color w:val="auto"/>
          <w:highlight w:val="none"/>
        </w:rPr>
        <w:t>发包人违约</w:t>
      </w:r>
      <w:r>
        <w:rPr>
          <w:color w:val="auto"/>
          <w:highlight w:val="none"/>
        </w:rPr>
        <w:tab/>
      </w:r>
      <w:r>
        <w:rPr>
          <w:color w:val="auto"/>
          <w:highlight w:val="none"/>
        </w:rPr>
        <w:fldChar w:fldCharType="begin"/>
      </w:r>
      <w:r>
        <w:rPr>
          <w:color w:val="auto"/>
          <w:highlight w:val="none"/>
        </w:rPr>
        <w:instrText xml:space="preserve"> PAGEREF _Toc517530919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"_Toc517530920"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16.1.1</w:t>
      </w:r>
      <w:r>
        <w:rPr>
          <w:rStyle w:val="17"/>
          <w:rFonts w:hint="eastAsia" w:ascii="宋体" w:hAnsi="宋体" w:cs="宋体"/>
          <w:b/>
          <w:bCs/>
          <w:color w:val="auto"/>
          <w:highlight w:val="none"/>
        </w:rPr>
        <w:t>发包人的违约</w:t>
      </w:r>
      <w:r>
        <w:rPr>
          <w:color w:val="auto"/>
          <w:highlight w:val="none"/>
        </w:rPr>
        <w:tab/>
      </w:r>
      <w:r>
        <w:rPr>
          <w:color w:val="auto"/>
          <w:highlight w:val="none"/>
        </w:rPr>
        <w:fldChar w:fldCharType="begin"/>
      </w:r>
      <w:r>
        <w:rPr>
          <w:color w:val="auto"/>
          <w:highlight w:val="none"/>
        </w:rPr>
        <w:instrText xml:space="preserve"> PAGEREF _Toc517530920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"_Toc517530921"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16.1.2</w:t>
      </w:r>
      <w:r>
        <w:rPr>
          <w:rStyle w:val="17"/>
          <w:rFonts w:hint="eastAsia" w:ascii="宋体" w:hAnsi="宋体" w:cs="宋体"/>
          <w:b/>
          <w:bCs/>
          <w:color w:val="auto"/>
          <w:highlight w:val="none"/>
        </w:rPr>
        <w:t>承包人装备的撤离</w:t>
      </w:r>
      <w:r>
        <w:rPr>
          <w:color w:val="auto"/>
          <w:highlight w:val="none"/>
        </w:rPr>
        <w:tab/>
      </w:r>
      <w:r>
        <w:rPr>
          <w:color w:val="auto"/>
          <w:highlight w:val="none"/>
        </w:rPr>
        <w:fldChar w:fldCharType="begin"/>
      </w:r>
      <w:r>
        <w:rPr>
          <w:color w:val="auto"/>
          <w:highlight w:val="none"/>
        </w:rPr>
        <w:instrText xml:space="preserve"> PAGEREF _Toc517530921 \h </w:instrText>
      </w:r>
      <w:r>
        <w:rPr>
          <w:color w:val="auto"/>
          <w:highlight w:val="none"/>
        </w:rPr>
        <w:fldChar w:fldCharType="separate"/>
      </w:r>
      <w:r>
        <w:rPr>
          <w:color w:val="auto"/>
          <w:highlight w:val="none"/>
        </w:rPr>
        <w:t>75</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"_Toc517530922"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16.1.3</w:t>
      </w:r>
      <w:r>
        <w:rPr>
          <w:rStyle w:val="17"/>
          <w:rFonts w:hint="eastAsia" w:ascii="宋体" w:hAnsi="宋体" w:cs="宋体"/>
          <w:b/>
          <w:bCs/>
          <w:color w:val="auto"/>
          <w:highlight w:val="none"/>
        </w:rPr>
        <w:t>合同终止时的支付</w:t>
      </w:r>
      <w:r>
        <w:rPr>
          <w:color w:val="auto"/>
          <w:highlight w:val="none"/>
        </w:rPr>
        <w:tab/>
      </w:r>
      <w:r>
        <w:rPr>
          <w:color w:val="auto"/>
          <w:highlight w:val="none"/>
        </w:rPr>
        <w:fldChar w:fldCharType="begin"/>
      </w:r>
      <w:r>
        <w:rPr>
          <w:color w:val="auto"/>
          <w:highlight w:val="none"/>
        </w:rPr>
        <w:instrText xml:space="preserve"> PAGEREF _Toc517530922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"_Toc517530923"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16.1.4</w:t>
      </w:r>
      <w:r>
        <w:rPr>
          <w:rStyle w:val="17"/>
          <w:rFonts w:hint="eastAsia" w:ascii="宋体" w:hAnsi="宋体" w:cs="宋体"/>
          <w:b/>
          <w:bCs/>
          <w:color w:val="auto"/>
          <w:highlight w:val="none"/>
        </w:rPr>
        <w:t>承包人暂停工程的权利</w:t>
      </w:r>
      <w:r>
        <w:rPr>
          <w:color w:val="auto"/>
          <w:highlight w:val="none"/>
        </w:rPr>
        <w:tab/>
      </w:r>
      <w:r>
        <w:rPr>
          <w:color w:val="auto"/>
          <w:highlight w:val="none"/>
        </w:rPr>
        <w:fldChar w:fldCharType="begin"/>
      </w:r>
      <w:r>
        <w:rPr>
          <w:color w:val="auto"/>
          <w:highlight w:val="none"/>
        </w:rPr>
        <w:instrText xml:space="preserve"> PAGEREF _Toc517530923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"_Toc517530924"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16.1.5</w:t>
      </w:r>
      <w:r>
        <w:rPr>
          <w:rStyle w:val="17"/>
          <w:rFonts w:hint="eastAsia" w:ascii="宋体" w:hAnsi="宋体" w:cs="宋体"/>
          <w:b/>
          <w:bCs/>
          <w:color w:val="auto"/>
          <w:highlight w:val="none"/>
        </w:rPr>
        <w:t>工程的复工</w:t>
      </w:r>
      <w:r>
        <w:rPr>
          <w:color w:val="auto"/>
          <w:highlight w:val="none"/>
        </w:rPr>
        <w:tab/>
      </w:r>
      <w:r>
        <w:rPr>
          <w:color w:val="auto"/>
          <w:highlight w:val="none"/>
        </w:rPr>
        <w:fldChar w:fldCharType="begin"/>
      </w:r>
      <w:r>
        <w:rPr>
          <w:color w:val="auto"/>
          <w:highlight w:val="none"/>
        </w:rPr>
        <w:instrText xml:space="preserve"> PAGEREF _Toc517530924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"_Toc517530925"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16.2 </w:t>
      </w:r>
      <w:r>
        <w:rPr>
          <w:rStyle w:val="17"/>
          <w:rFonts w:hint="eastAsia" w:ascii="宋体" w:hAnsi="宋体" w:cs="宋体"/>
          <w:b/>
          <w:bCs/>
          <w:color w:val="auto"/>
          <w:highlight w:val="none"/>
        </w:rPr>
        <w:t>承包人违约</w:t>
      </w:r>
      <w:r>
        <w:rPr>
          <w:color w:val="auto"/>
          <w:highlight w:val="none"/>
        </w:rPr>
        <w:tab/>
      </w:r>
      <w:r>
        <w:rPr>
          <w:color w:val="auto"/>
          <w:highlight w:val="none"/>
        </w:rPr>
        <w:fldChar w:fldCharType="begin"/>
      </w:r>
      <w:r>
        <w:rPr>
          <w:color w:val="auto"/>
          <w:highlight w:val="none"/>
        </w:rPr>
        <w:instrText xml:space="preserve"> PAGEREF _Toc517530925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"_Toc517530926"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16.2.1</w:t>
      </w:r>
      <w:r>
        <w:rPr>
          <w:rStyle w:val="17"/>
          <w:rFonts w:hint="eastAsia" w:ascii="宋体" w:hAnsi="宋体" w:cs="宋体"/>
          <w:b/>
          <w:bCs/>
          <w:color w:val="auto"/>
          <w:highlight w:val="none"/>
        </w:rPr>
        <w:t>承包人的违约</w:t>
      </w:r>
      <w:r>
        <w:rPr>
          <w:color w:val="auto"/>
          <w:highlight w:val="none"/>
        </w:rPr>
        <w:tab/>
      </w:r>
      <w:r>
        <w:rPr>
          <w:color w:val="auto"/>
          <w:highlight w:val="none"/>
        </w:rPr>
        <w:fldChar w:fldCharType="begin"/>
      </w:r>
      <w:r>
        <w:rPr>
          <w:color w:val="auto"/>
          <w:highlight w:val="none"/>
        </w:rPr>
        <w:instrText xml:space="preserve"> PAGEREF _Toc517530926 \h </w:instrText>
      </w:r>
      <w:r>
        <w:rPr>
          <w:color w:val="auto"/>
          <w:highlight w:val="none"/>
        </w:rPr>
        <w:fldChar w:fldCharType="separate"/>
      </w:r>
      <w:r>
        <w:rPr>
          <w:color w:val="auto"/>
          <w:highlight w:val="none"/>
        </w:rPr>
        <w:t>76</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"_Toc517530927"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16.2.2</w:t>
      </w:r>
      <w:r>
        <w:rPr>
          <w:rStyle w:val="17"/>
          <w:rFonts w:hint="eastAsia" w:ascii="宋体" w:hAnsi="宋体" w:cs="宋体"/>
          <w:b/>
          <w:bCs/>
          <w:color w:val="auto"/>
          <w:highlight w:val="none"/>
        </w:rPr>
        <w:t>合同终止之日的估价</w:t>
      </w:r>
      <w:r>
        <w:rPr>
          <w:color w:val="auto"/>
          <w:highlight w:val="none"/>
        </w:rPr>
        <w:tab/>
      </w:r>
      <w:r>
        <w:rPr>
          <w:color w:val="auto"/>
          <w:highlight w:val="none"/>
        </w:rPr>
        <w:fldChar w:fldCharType="begin"/>
      </w:r>
      <w:r>
        <w:rPr>
          <w:color w:val="auto"/>
          <w:highlight w:val="none"/>
        </w:rPr>
        <w:instrText xml:space="preserve"> PAGEREF _Toc517530927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"_Toc517530928"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16.2.3</w:t>
      </w:r>
      <w:r>
        <w:rPr>
          <w:rStyle w:val="17"/>
          <w:rFonts w:hint="eastAsia" w:ascii="宋体" w:hAnsi="宋体" w:cs="宋体"/>
          <w:b/>
          <w:bCs/>
          <w:color w:val="auto"/>
          <w:highlight w:val="none"/>
        </w:rPr>
        <w:t>合同终止后的支付</w:t>
      </w:r>
      <w:r>
        <w:rPr>
          <w:color w:val="auto"/>
          <w:highlight w:val="none"/>
        </w:rPr>
        <w:tab/>
      </w:r>
      <w:r>
        <w:rPr>
          <w:color w:val="auto"/>
          <w:highlight w:val="none"/>
        </w:rPr>
        <w:fldChar w:fldCharType="begin"/>
      </w:r>
      <w:r>
        <w:rPr>
          <w:color w:val="auto"/>
          <w:highlight w:val="none"/>
        </w:rPr>
        <w:instrText xml:space="preserve"> PAGEREF _Toc517530928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"_Toc517530929"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16.2.4</w:t>
      </w:r>
      <w:r>
        <w:rPr>
          <w:rStyle w:val="17"/>
          <w:rFonts w:hint="eastAsia" w:ascii="宋体" w:hAnsi="宋体" w:cs="宋体"/>
          <w:b/>
          <w:bCs/>
          <w:color w:val="auto"/>
          <w:highlight w:val="none"/>
        </w:rPr>
        <w:t>契约利益的转让</w:t>
      </w:r>
      <w:r>
        <w:rPr>
          <w:color w:val="auto"/>
          <w:highlight w:val="none"/>
        </w:rPr>
        <w:tab/>
      </w:r>
      <w:r>
        <w:rPr>
          <w:color w:val="auto"/>
          <w:highlight w:val="none"/>
        </w:rPr>
        <w:fldChar w:fldCharType="begin"/>
      </w:r>
      <w:r>
        <w:rPr>
          <w:color w:val="auto"/>
          <w:highlight w:val="none"/>
        </w:rPr>
        <w:instrText xml:space="preserve"> PAGEREF _Toc517530929 \h </w:instrText>
      </w:r>
      <w:r>
        <w:rPr>
          <w:color w:val="auto"/>
          <w:highlight w:val="none"/>
        </w:rPr>
        <w:fldChar w:fldCharType="separate"/>
      </w:r>
      <w:r>
        <w:rPr>
          <w:color w:val="auto"/>
          <w:highlight w:val="none"/>
        </w:rPr>
        <w:t>77</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"_Toc517530930"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16.2.5</w:t>
      </w:r>
      <w:r>
        <w:rPr>
          <w:rStyle w:val="17"/>
          <w:rFonts w:hint="eastAsia" w:ascii="宋体" w:hAnsi="宋体" w:cs="宋体"/>
          <w:b/>
          <w:bCs/>
          <w:color w:val="auto"/>
          <w:highlight w:val="none"/>
        </w:rPr>
        <w:t>紧急补救工作</w:t>
      </w:r>
      <w:r>
        <w:rPr>
          <w:color w:val="auto"/>
          <w:highlight w:val="none"/>
        </w:rPr>
        <w:tab/>
      </w:r>
      <w:r>
        <w:rPr>
          <w:color w:val="auto"/>
          <w:highlight w:val="none"/>
        </w:rPr>
        <w:fldChar w:fldCharType="begin"/>
      </w:r>
      <w:r>
        <w:rPr>
          <w:color w:val="auto"/>
          <w:highlight w:val="none"/>
        </w:rPr>
        <w:instrText xml:space="preserve"> PAGEREF _Toc517530930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"_Toc517530931"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w:t>
      </w:r>
      <w:r>
        <w:rPr>
          <w:rStyle w:val="17"/>
          <w:rFonts w:hint="eastAsia" w:ascii="宋体" w:hAnsi="宋体" w:cs="宋体"/>
          <w:b/>
          <w:bCs/>
          <w:color w:val="auto"/>
          <w:highlight w:val="none"/>
        </w:rPr>
        <w:t>特殊风险</w:t>
      </w:r>
      <w:r>
        <w:rPr>
          <w:color w:val="auto"/>
          <w:highlight w:val="none"/>
        </w:rPr>
        <w:tab/>
      </w:r>
      <w:r>
        <w:rPr>
          <w:color w:val="auto"/>
          <w:highlight w:val="none"/>
        </w:rPr>
        <w:fldChar w:fldCharType="begin"/>
      </w:r>
      <w:r>
        <w:rPr>
          <w:color w:val="auto"/>
          <w:highlight w:val="none"/>
        </w:rPr>
        <w:instrText xml:space="preserve"> PAGEREF _Toc517530931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"_Toc517530932"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17.1</w:t>
      </w:r>
      <w:r>
        <w:rPr>
          <w:rStyle w:val="17"/>
          <w:rFonts w:hint="eastAsia" w:ascii="宋体" w:hAnsi="宋体" w:cs="宋体"/>
          <w:b/>
          <w:bCs/>
          <w:color w:val="auto"/>
          <w:highlight w:val="none"/>
        </w:rPr>
        <w:t>特殊风险</w:t>
      </w:r>
      <w:r>
        <w:rPr>
          <w:color w:val="auto"/>
          <w:highlight w:val="none"/>
        </w:rPr>
        <w:tab/>
      </w:r>
      <w:r>
        <w:rPr>
          <w:color w:val="auto"/>
          <w:highlight w:val="none"/>
        </w:rPr>
        <w:fldChar w:fldCharType="begin"/>
      </w:r>
      <w:r>
        <w:rPr>
          <w:color w:val="auto"/>
          <w:highlight w:val="none"/>
        </w:rPr>
        <w:instrText xml:space="preserve"> PAGEREF _Toc517530932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"_Toc517530933"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17.2</w:t>
      </w:r>
      <w:r>
        <w:rPr>
          <w:rStyle w:val="17"/>
          <w:rFonts w:hint="eastAsia" w:ascii="宋体" w:hAnsi="宋体" w:cs="宋体"/>
          <w:b/>
          <w:bCs/>
          <w:color w:val="auto"/>
          <w:highlight w:val="none"/>
        </w:rPr>
        <w:t>承包人对特殊风险不承担责任</w:t>
      </w:r>
      <w:r>
        <w:rPr>
          <w:color w:val="auto"/>
          <w:highlight w:val="none"/>
        </w:rPr>
        <w:tab/>
      </w:r>
      <w:r>
        <w:rPr>
          <w:color w:val="auto"/>
          <w:highlight w:val="none"/>
        </w:rPr>
        <w:fldChar w:fldCharType="begin"/>
      </w:r>
      <w:r>
        <w:rPr>
          <w:color w:val="auto"/>
          <w:highlight w:val="none"/>
        </w:rPr>
        <w:instrText xml:space="preserve"> PAGEREF _Toc517530933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"_Toc517530934"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17.3</w:t>
      </w:r>
      <w:r>
        <w:rPr>
          <w:rStyle w:val="17"/>
          <w:rFonts w:hint="eastAsia" w:ascii="宋体" w:hAnsi="宋体" w:cs="宋体"/>
          <w:b/>
          <w:bCs/>
          <w:color w:val="auto"/>
          <w:highlight w:val="none"/>
        </w:rPr>
        <w:t>特殊风险对工程的损害</w:t>
      </w:r>
      <w:r>
        <w:rPr>
          <w:color w:val="auto"/>
          <w:highlight w:val="none"/>
        </w:rPr>
        <w:tab/>
      </w:r>
      <w:r>
        <w:rPr>
          <w:color w:val="auto"/>
          <w:highlight w:val="none"/>
        </w:rPr>
        <w:fldChar w:fldCharType="begin"/>
      </w:r>
      <w:r>
        <w:rPr>
          <w:color w:val="auto"/>
          <w:highlight w:val="none"/>
        </w:rPr>
        <w:instrText xml:space="preserve"> PAGEREF _Toc517530934 \h </w:instrText>
      </w:r>
      <w:r>
        <w:rPr>
          <w:color w:val="auto"/>
          <w:highlight w:val="none"/>
        </w:rPr>
        <w:fldChar w:fldCharType="separate"/>
      </w:r>
      <w:r>
        <w:rPr>
          <w:color w:val="auto"/>
          <w:highlight w:val="none"/>
        </w:rPr>
        <w:t>78</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"_Toc517530935"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17.4</w:t>
      </w:r>
      <w:r>
        <w:rPr>
          <w:rStyle w:val="17"/>
          <w:rFonts w:hint="eastAsia" w:ascii="宋体" w:hAnsi="宋体" w:cs="宋体"/>
          <w:b/>
          <w:bCs/>
          <w:color w:val="auto"/>
          <w:highlight w:val="none"/>
        </w:rPr>
        <w:t>由特殊风险引起的费用增加</w:t>
      </w:r>
      <w:r>
        <w:rPr>
          <w:color w:val="auto"/>
          <w:highlight w:val="none"/>
        </w:rPr>
        <w:tab/>
      </w:r>
      <w:r>
        <w:rPr>
          <w:color w:val="auto"/>
          <w:highlight w:val="none"/>
        </w:rPr>
        <w:fldChar w:fldCharType="begin"/>
      </w:r>
      <w:r>
        <w:rPr>
          <w:color w:val="auto"/>
          <w:highlight w:val="none"/>
        </w:rPr>
        <w:instrText xml:space="preserve"> PAGEREF _Toc517530935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"_Toc517530936"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17.5</w:t>
      </w:r>
      <w:r>
        <w:rPr>
          <w:rStyle w:val="17"/>
          <w:rFonts w:hint="eastAsia" w:ascii="宋体" w:hAnsi="宋体" w:cs="宋体"/>
          <w:b/>
          <w:bCs/>
          <w:color w:val="auto"/>
          <w:highlight w:val="none"/>
        </w:rPr>
        <w:t>由特殊风险而终止合同</w:t>
      </w:r>
      <w:r>
        <w:rPr>
          <w:color w:val="auto"/>
          <w:highlight w:val="none"/>
        </w:rPr>
        <w:tab/>
      </w:r>
      <w:r>
        <w:rPr>
          <w:color w:val="auto"/>
          <w:highlight w:val="none"/>
        </w:rPr>
        <w:fldChar w:fldCharType="begin"/>
      </w:r>
      <w:r>
        <w:rPr>
          <w:color w:val="auto"/>
          <w:highlight w:val="none"/>
        </w:rPr>
        <w:instrText xml:space="preserve"> PAGEREF _Toc517530936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"_Toc517530937"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17.6</w:t>
      </w:r>
      <w:r>
        <w:rPr>
          <w:rStyle w:val="17"/>
          <w:rFonts w:hint="eastAsia" w:ascii="宋体" w:hAnsi="宋体" w:cs="宋体"/>
          <w:b/>
          <w:bCs/>
          <w:color w:val="auto"/>
          <w:highlight w:val="none"/>
        </w:rPr>
        <w:t>终止合同时承包人装备的撤离</w:t>
      </w:r>
      <w:r>
        <w:rPr>
          <w:color w:val="auto"/>
          <w:highlight w:val="none"/>
        </w:rPr>
        <w:tab/>
      </w:r>
      <w:r>
        <w:rPr>
          <w:color w:val="auto"/>
          <w:highlight w:val="none"/>
        </w:rPr>
        <w:fldChar w:fldCharType="begin"/>
      </w:r>
      <w:r>
        <w:rPr>
          <w:color w:val="auto"/>
          <w:highlight w:val="none"/>
        </w:rPr>
        <w:instrText xml:space="preserve"> PAGEREF _Toc517530937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"_Toc517530938"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17.7</w:t>
      </w:r>
      <w:r>
        <w:rPr>
          <w:rStyle w:val="17"/>
          <w:rFonts w:hint="eastAsia" w:ascii="宋体" w:hAnsi="宋体" w:cs="宋体"/>
          <w:b/>
          <w:bCs/>
          <w:color w:val="auto"/>
          <w:highlight w:val="none"/>
        </w:rPr>
        <w:t>终止合同的支付</w:t>
      </w:r>
      <w:r>
        <w:rPr>
          <w:color w:val="auto"/>
          <w:highlight w:val="none"/>
        </w:rPr>
        <w:tab/>
      </w:r>
      <w:r>
        <w:rPr>
          <w:color w:val="auto"/>
          <w:highlight w:val="none"/>
        </w:rPr>
        <w:fldChar w:fldCharType="begin"/>
      </w:r>
      <w:r>
        <w:rPr>
          <w:color w:val="auto"/>
          <w:highlight w:val="none"/>
        </w:rPr>
        <w:instrText xml:space="preserve"> PAGEREF _Toc517530938 \h </w:instrText>
      </w:r>
      <w:r>
        <w:rPr>
          <w:color w:val="auto"/>
          <w:highlight w:val="none"/>
        </w:rPr>
        <w:fldChar w:fldCharType="separate"/>
      </w:r>
      <w:r>
        <w:rPr>
          <w:color w:val="auto"/>
          <w:highlight w:val="none"/>
        </w:rPr>
        <w:t>79</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"_Toc517530939"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18. </w:t>
      </w:r>
      <w:r>
        <w:rPr>
          <w:rStyle w:val="17"/>
          <w:rFonts w:hint="eastAsia" w:ascii="宋体" w:hAnsi="宋体" w:cs="宋体"/>
          <w:b/>
          <w:bCs/>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_Toc517530939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"_Toc517530940"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18.1</w:t>
      </w:r>
      <w:r>
        <w:rPr>
          <w:rStyle w:val="17"/>
          <w:rFonts w:hint="eastAsia" w:ascii="宋体" w:hAnsi="宋体" w:cs="宋体"/>
          <w:b/>
          <w:bCs/>
          <w:color w:val="auto"/>
          <w:highlight w:val="none"/>
        </w:rPr>
        <w:t>工程的保险</w:t>
      </w:r>
      <w:r>
        <w:rPr>
          <w:color w:val="auto"/>
          <w:highlight w:val="none"/>
        </w:rPr>
        <w:tab/>
      </w:r>
      <w:r>
        <w:rPr>
          <w:color w:val="auto"/>
          <w:highlight w:val="none"/>
        </w:rPr>
        <w:fldChar w:fldCharType="begin"/>
      </w:r>
      <w:r>
        <w:rPr>
          <w:color w:val="auto"/>
          <w:highlight w:val="none"/>
        </w:rPr>
        <w:instrText xml:space="preserve"> PAGEREF _Toc517530940 \h </w:instrText>
      </w:r>
      <w:r>
        <w:rPr>
          <w:color w:val="auto"/>
          <w:highlight w:val="none"/>
        </w:rPr>
        <w:fldChar w:fldCharType="separate"/>
      </w:r>
      <w:r>
        <w:rPr>
          <w:color w:val="auto"/>
          <w:highlight w:val="none"/>
        </w:rPr>
        <w:t>80</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"_Toc517530941"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18.2</w:t>
      </w:r>
      <w:r>
        <w:rPr>
          <w:rStyle w:val="17"/>
          <w:rFonts w:hint="eastAsia" w:ascii="宋体" w:hAnsi="宋体" w:cs="宋体"/>
          <w:b/>
          <w:bCs/>
          <w:color w:val="auto"/>
          <w:highlight w:val="none"/>
        </w:rPr>
        <w:t>发包人与承包人约定的工程保险事项</w:t>
      </w:r>
      <w:r>
        <w:rPr>
          <w:color w:val="auto"/>
          <w:highlight w:val="none"/>
        </w:rPr>
        <w:tab/>
      </w:r>
      <w:r>
        <w:rPr>
          <w:color w:val="auto"/>
          <w:highlight w:val="none"/>
        </w:rPr>
        <w:fldChar w:fldCharType="begin"/>
      </w:r>
      <w:r>
        <w:rPr>
          <w:color w:val="auto"/>
          <w:highlight w:val="none"/>
        </w:rPr>
        <w:instrText xml:space="preserve"> PAGEREF _Toc517530941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"_Toc517530942"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18.3</w:t>
      </w:r>
      <w:r>
        <w:rPr>
          <w:rStyle w:val="17"/>
          <w:rFonts w:hint="eastAsia" w:ascii="宋体" w:hAnsi="宋体" w:cs="宋体"/>
          <w:b/>
          <w:bCs/>
          <w:color w:val="auto"/>
          <w:highlight w:val="none"/>
        </w:rPr>
        <w:t>保险范围</w:t>
      </w:r>
      <w:r>
        <w:rPr>
          <w:color w:val="auto"/>
          <w:highlight w:val="none"/>
        </w:rPr>
        <w:tab/>
      </w:r>
      <w:r>
        <w:rPr>
          <w:color w:val="auto"/>
          <w:highlight w:val="none"/>
        </w:rPr>
        <w:fldChar w:fldCharType="begin"/>
      </w:r>
      <w:r>
        <w:rPr>
          <w:color w:val="auto"/>
          <w:highlight w:val="none"/>
        </w:rPr>
        <w:instrText xml:space="preserve"> PAGEREF _Toc517530942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"_Toc517530943"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18.4</w:t>
      </w:r>
      <w:r>
        <w:rPr>
          <w:rStyle w:val="17"/>
          <w:rFonts w:hint="eastAsia" w:ascii="宋体" w:hAnsi="宋体" w:cs="宋体"/>
          <w:b/>
          <w:bCs/>
          <w:color w:val="auto"/>
          <w:highlight w:val="none"/>
        </w:rPr>
        <w:t>承包人装备的保险</w:t>
      </w:r>
      <w:r>
        <w:rPr>
          <w:color w:val="auto"/>
          <w:highlight w:val="none"/>
        </w:rPr>
        <w:tab/>
      </w:r>
      <w:r>
        <w:rPr>
          <w:color w:val="auto"/>
          <w:highlight w:val="none"/>
        </w:rPr>
        <w:fldChar w:fldCharType="begin"/>
      </w:r>
      <w:r>
        <w:rPr>
          <w:color w:val="auto"/>
          <w:highlight w:val="none"/>
        </w:rPr>
        <w:instrText xml:space="preserve"> PAGEREF _Toc517530943 \h </w:instrText>
      </w:r>
      <w:r>
        <w:rPr>
          <w:color w:val="auto"/>
          <w:highlight w:val="none"/>
        </w:rPr>
        <w:fldChar w:fldCharType="separate"/>
      </w:r>
      <w:r>
        <w:rPr>
          <w:color w:val="auto"/>
          <w:highlight w:val="none"/>
        </w:rPr>
        <w:t>81</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"_Toc517530944"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18.5</w:t>
      </w:r>
      <w:r>
        <w:rPr>
          <w:rStyle w:val="17"/>
          <w:rFonts w:hint="eastAsia" w:ascii="宋体" w:hAnsi="宋体" w:cs="宋体"/>
          <w:b/>
          <w:bCs/>
          <w:color w:val="auto"/>
          <w:highlight w:val="none"/>
        </w:rPr>
        <w:t>对未能收回偿额的责任</w:t>
      </w:r>
      <w:r>
        <w:rPr>
          <w:color w:val="auto"/>
          <w:highlight w:val="none"/>
        </w:rPr>
        <w:tab/>
      </w:r>
      <w:r>
        <w:rPr>
          <w:color w:val="auto"/>
          <w:highlight w:val="none"/>
        </w:rPr>
        <w:fldChar w:fldCharType="begin"/>
      </w:r>
      <w:r>
        <w:rPr>
          <w:color w:val="auto"/>
          <w:highlight w:val="none"/>
        </w:rPr>
        <w:instrText xml:space="preserve"> PAGEREF _Toc517530944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"_Toc517530945"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18.6</w:t>
      </w:r>
      <w:r>
        <w:rPr>
          <w:rStyle w:val="17"/>
          <w:rFonts w:hint="eastAsia" w:ascii="宋体" w:hAnsi="宋体" w:cs="宋体"/>
          <w:b/>
          <w:bCs/>
          <w:color w:val="auto"/>
          <w:highlight w:val="none"/>
        </w:rPr>
        <w:t>第三者责任险</w:t>
      </w:r>
      <w:r>
        <w:rPr>
          <w:color w:val="auto"/>
          <w:highlight w:val="none"/>
        </w:rPr>
        <w:tab/>
      </w:r>
      <w:r>
        <w:rPr>
          <w:color w:val="auto"/>
          <w:highlight w:val="none"/>
        </w:rPr>
        <w:fldChar w:fldCharType="begin"/>
      </w:r>
      <w:r>
        <w:rPr>
          <w:color w:val="auto"/>
          <w:highlight w:val="none"/>
        </w:rPr>
        <w:instrText xml:space="preserve"> PAGEREF _Toc517530945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"_Toc517530946"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18.7</w:t>
      </w:r>
      <w:r>
        <w:rPr>
          <w:rStyle w:val="17"/>
          <w:rFonts w:hint="eastAsia" w:ascii="宋体" w:hAnsi="宋体" w:cs="宋体"/>
          <w:b/>
          <w:bCs/>
          <w:color w:val="auto"/>
          <w:highlight w:val="none"/>
        </w:rPr>
        <w:t>职工事故的保险</w:t>
      </w:r>
      <w:r>
        <w:rPr>
          <w:color w:val="auto"/>
          <w:highlight w:val="none"/>
        </w:rPr>
        <w:tab/>
      </w:r>
      <w:r>
        <w:rPr>
          <w:color w:val="auto"/>
          <w:highlight w:val="none"/>
        </w:rPr>
        <w:fldChar w:fldCharType="begin"/>
      </w:r>
      <w:r>
        <w:rPr>
          <w:color w:val="auto"/>
          <w:highlight w:val="none"/>
        </w:rPr>
        <w:instrText xml:space="preserve"> PAGEREF _Toc517530946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"_Toc517530947"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18.8</w:t>
      </w:r>
      <w:r>
        <w:rPr>
          <w:rStyle w:val="17"/>
          <w:rFonts w:hint="eastAsia" w:ascii="宋体" w:hAnsi="宋体" w:cs="宋体"/>
          <w:b/>
          <w:bCs/>
          <w:color w:val="auto"/>
          <w:highlight w:val="none"/>
        </w:rPr>
        <w:t>保险的凭证</w:t>
      </w:r>
      <w:r>
        <w:rPr>
          <w:color w:val="auto"/>
          <w:highlight w:val="none"/>
        </w:rPr>
        <w:tab/>
      </w:r>
      <w:r>
        <w:rPr>
          <w:color w:val="auto"/>
          <w:highlight w:val="none"/>
        </w:rPr>
        <w:fldChar w:fldCharType="begin"/>
      </w:r>
      <w:r>
        <w:rPr>
          <w:color w:val="auto"/>
          <w:highlight w:val="none"/>
        </w:rPr>
        <w:instrText xml:space="preserve"> PAGEREF _Toc517530947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"_Toc517530948"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18.9</w:t>
      </w:r>
      <w:r>
        <w:rPr>
          <w:rStyle w:val="17"/>
          <w:rFonts w:hint="eastAsia" w:ascii="宋体" w:hAnsi="宋体" w:cs="宋体"/>
          <w:b/>
          <w:bCs/>
          <w:color w:val="auto"/>
          <w:highlight w:val="none"/>
        </w:rPr>
        <w:t>足够的保险额</w:t>
      </w:r>
      <w:r>
        <w:rPr>
          <w:color w:val="auto"/>
          <w:highlight w:val="none"/>
        </w:rPr>
        <w:tab/>
      </w:r>
      <w:r>
        <w:rPr>
          <w:color w:val="auto"/>
          <w:highlight w:val="none"/>
        </w:rPr>
        <w:fldChar w:fldCharType="begin"/>
      </w:r>
      <w:r>
        <w:rPr>
          <w:color w:val="auto"/>
          <w:highlight w:val="none"/>
        </w:rPr>
        <w:instrText xml:space="preserve"> PAGEREF _Toc517530948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"_Toc517530949"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18.10</w:t>
      </w:r>
      <w:r>
        <w:rPr>
          <w:rStyle w:val="17"/>
          <w:rFonts w:hint="eastAsia" w:ascii="宋体" w:hAnsi="宋体" w:cs="宋体"/>
          <w:b/>
          <w:bCs/>
          <w:color w:val="auto"/>
          <w:highlight w:val="none"/>
        </w:rPr>
        <w:t>遵守保险单的条件</w:t>
      </w:r>
      <w:r>
        <w:rPr>
          <w:color w:val="auto"/>
          <w:highlight w:val="none"/>
        </w:rPr>
        <w:tab/>
      </w:r>
      <w:r>
        <w:rPr>
          <w:color w:val="auto"/>
          <w:highlight w:val="none"/>
        </w:rPr>
        <w:fldChar w:fldCharType="begin"/>
      </w:r>
      <w:r>
        <w:rPr>
          <w:color w:val="auto"/>
          <w:highlight w:val="none"/>
        </w:rPr>
        <w:instrText xml:space="preserve"> PAGEREF _Toc517530949 \h </w:instrText>
      </w:r>
      <w:r>
        <w:rPr>
          <w:color w:val="auto"/>
          <w:highlight w:val="none"/>
        </w:rPr>
        <w:fldChar w:fldCharType="separate"/>
      </w:r>
      <w:r>
        <w:rPr>
          <w:color w:val="auto"/>
          <w:highlight w:val="none"/>
        </w:rPr>
        <w:t>82</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"_Toc517530950"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19. </w:t>
      </w:r>
      <w:r>
        <w:rPr>
          <w:rStyle w:val="17"/>
          <w:rFonts w:hint="eastAsia" w:ascii="宋体" w:hAnsi="宋体" w:cs="宋体"/>
          <w:b/>
          <w:bCs/>
          <w:color w:val="auto"/>
          <w:highlight w:val="none"/>
        </w:rPr>
        <w:t>索赔</w:t>
      </w:r>
      <w:r>
        <w:rPr>
          <w:color w:val="auto"/>
          <w:highlight w:val="none"/>
        </w:rPr>
        <w:tab/>
      </w:r>
      <w:r>
        <w:rPr>
          <w:color w:val="auto"/>
          <w:highlight w:val="none"/>
        </w:rPr>
        <w:fldChar w:fldCharType="begin"/>
      </w:r>
      <w:r>
        <w:rPr>
          <w:color w:val="auto"/>
          <w:highlight w:val="none"/>
        </w:rPr>
        <w:instrText xml:space="preserve"> PAGEREF _Toc517530950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"_Toc517530951"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19.1</w:t>
      </w:r>
      <w:r>
        <w:rPr>
          <w:rStyle w:val="17"/>
          <w:rFonts w:hint="eastAsia" w:ascii="宋体" w:hAnsi="宋体" w:cs="宋体"/>
          <w:b/>
          <w:bCs/>
          <w:color w:val="auto"/>
          <w:highlight w:val="none"/>
        </w:rPr>
        <w:t>承包人的索赔</w:t>
      </w:r>
      <w:r>
        <w:rPr>
          <w:color w:val="auto"/>
          <w:highlight w:val="none"/>
        </w:rPr>
        <w:tab/>
      </w:r>
      <w:r>
        <w:rPr>
          <w:color w:val="auto"/>
          <w:highlight w:val="none"/>
        </w:rPr>
        <w:fldChar w:fldCharType="begin"/>
      </w:r>
      <w:r>
        <w:rPr>
          <w:color w:val="auto"/>
          <w:highlight w:val="none"/>
        </w:rPr>
        <w:instrText xml:space="preserve"> PAGEREF _Toc517530951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"_Toc517530952"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19.1.1</w:t>
      </w:r>
      <w:r>
        <w:rPr>
          <w:rStyle w:val="17"/>
          <w:rFonts w:hint="eastAsia" w:ascii="宋体" w:hAnsi="宋体" w:cs="宋体"/>
          <w:b/>
          <w:bCs/>
          <w:color w:val="auto"/>
          <w:highlight w:val="none"/>
        </w:rPr>
        <w:t>索赔通知</w:t>
      </w:r>
      <w:r>
        <w:rPr>
          <w:color w:val="auto"/>
          <w:highlight w:val="none"/>
        </w:rPr>
        <w:tab/>
      </w:r>
      <w:r>
        <w:rPr>
          <w:color w:val="auto"/>
          <w:highlight w:val="none"/>
        </w:rPr>
        <w:fldChar w:fldCharType="begin"/>
      </w:r>
      <w:r>
        <w:rPr>
          <w:color w:val="auto"/>
          <w:highlight w:val="none"/>
        </w:rPr>
        <w:instrText xml:space="preserve"> PAGEREF _Toc517530952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"_Toc517530953"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19.1.2</w:t>
      </w:r>
      <w:r>
        <w:rPr>
          <w:rStyle w:val="17"/>
          <w:rFonts w:hint="eastAsia" w:ascii="宋体" w:hAnsi="宋体" w:cs="宋体"/>
          <w:b/>
          <w:bCs/>
          <w:color w:val="auto"/>
          <w:highlight w:val="none"/>
        </w:rPr>
        <w:t>索赔的记录</w:t>
      </w:r>
      <w:r>
        <w:rPr>
          <w:color w:val="auto"/>
          <w:highlight w:val="none"/>
        </w:rPr>
        <w:tab/>
      </w:r>
      <w:r>
        <w:rPr>
          <w:color w:val="auto"/>
          <w:highlight w:val="none"/>
        </w:rPr>
        <w:fldChar w:fldCharType="begin"/>
      </w:r>
      <w:r>
        <w:rPr>
          <w:color w:val="auto"/>
          <w:highlight w:val="none"/>
        </w:rPr>
        <w:instrText xml:space="preserve"> PAGEREF _Toc517530953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"_Toc517530954"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19.1.3</w:t>
      </w:r>
      <w:r>
        <w:rPr>
          <w:rStyle w:val="17"/>
          <w:rFonts w:hint="eastAsia" w:ascii="宋体" w:hAnsi="宋体" w:cs="宋体"/>
          <w:b/>
          <w:bCs/>
          <w:color w:val="auto"/>
          <w:highlight w:val="none"/>
        </w:rPr>
        <w:t>索赔的证明</w:t>
      </w:r>
      <w:r>
        <w:rPr>
          <w:color w:val="auto"/>
          <w:highlight w:val="none"/>
        </w:rPr>
        <w:tab/>
      </w:r>
      <w:r>
        <w:rPr>
          <w:color w:val="auto"/>
          <w:highlight w:val="none"/>
        </w:rPr>
        <w:fldChar w:fldCharType="begin"/>
      </w:r>
      <w:r>
        <w:rPr>
          <w:color w:val="auto"/>
          <w:highlight w:val="none"/>
        </w:rPr>
        <w:instrText xml:space="preserve"> PAGEREF _Toc517530954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"_Toc517530955"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19.1.4</w:t>
      </w:r>
      <w:r>
        <w:rPr>
          <w:rStyle w:val="17"/>
          <w:rFonts w:hint="eastAsia" w:ascii="宋体" w:hAnsi="宋体" w:cs="宋体"/>
          <w:b/>
          <w:bCs/>
          <w:color w:val="auto"/>
          <w:highlight w:val="none"/>
        </w:rPr>
        <w:t>索赔限制</w:t>
      </w:r>
      <w:r>
        <w:rPr>
          <w:color w:val="auto"/>
          <w:highlight w:val="none"/>
        </w:rPr>
        <w:tab/>
      </w:r>
      <w:r>
        <w:rPr>
          <w:color w:val="auto"/>
          <w:highlight w:val="none"/>
        </w:rPr>
        <w:fldChar w:fldCharType="begin"/>
      </w:r>
      <w:r>
        <w:rPr>
          <w:color w:val="auto"/>
          <w:highlight w:val="none"/>
        </w:rPr>
        <w:instrText xml:space="preserve"> PAGEREF _Toc517530955 \h </w:instrText>
      </w:r>
      <w:r>
        <w:rPr>
          <w:color w:val="auto"/>
          <w:highlight w:val="none"/>
        </w:rPr>
        <w:fldChar w:fldCharType="separate"/>
      </w:r>
      <w:r>
        <w:rPr>
          <w:color w:val="auto"/>
          <w:highlight w:val="none"/>
        </w:rPr>
        <w:t>83</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"_Toc517530956"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19.1.5</w:t>
      </w:r>
      <w:r>
        <w:rPr>
          <w:rStyle w:val="17"/>
          <w:rFonts w:hint="eastAsia" w:ascii="宋体" w:hAnsi="宋体" w:cs="宋体"/>
          <w:b/>
          <w:bCs/>
          <w:color w:val="auto"/>
          <w:highlight w:val="none"/>
        </w:rPr>
        <w:t>索赔的支付</w:t>
      </w:r>
      <w:r>
        <w:rPr>
          <w:color w:val="auto"/>
          <w:highlight w:val="none"/>
        </w:rPr>
        <w:tab/>
      </w:r>
      <w:r>
        <w:rPr>
          <w:color w:val="auto"/>
          <w:highlight w:val="none"/>
        </w:rPr>
        <w:fldChar w:fldCharType="begin"/>
      </w:r>
      <w:r>
        <w:rPr>
          <w:color w:val="auto"/>
          <w:highlight w:val="none"/>
        </w:rPr>
        <w:instrText xml:space="preserve"> PAGEREF _Toc517530956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14"/>
        <w:tabs>
          <w:tab w:val="right" w:leader="dot" w:pos="8296"/>
        </w:tabs>
        <w:rPr>
          <w:rFonts w:cs="Times New Roman"/>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"_Toc517530957"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19.1.6</w:t>
      </w:r>
      <w:r>
        <w:rPr>
          <w:rStyle w:val="17"/>
          <w:rFonts w:hint="eastAsia" w:ascii="宋体" w:hAnsi="宋体" w:cs="宋体"/>
          <w:b/>
          <w:bCs/>
          <w:color w:val="auto"/>
          <w:highlight w:val="none"/>
        </w:rPr>
        <w:t>因发包人原因造成的停工</w:t>
      </w:r>
      <w:r>
        <w:rPr>
          <w:color w:val="auto"/>
          <w:highlight w:val="none"/>
        </w:rPr>
        <w:tab/>
      </w:r>
      <w:r>
        <w:rPr>
          <w:color w:val="auto"/>
          <w:highlight w:val="none"/>
        </w:rPr>
        <w:fldChar w:fldCharType="begin"/>
      </w:r>
      <w:r>
        <w:rPr>
          <w:color w:val="auto"/>
          <w:highlight w:val="none"/>
        </w:rPr>
        <w:instrText xml:space="preserve"> PAGEREF _Toc517530957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"_Toc517530958"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19.2</w:t>
      </w:r>
      <w:r>
        <w:rPr>
          <w:rStyle w:val="17"/>
          <w:rFonts w:hint="eastAsia" w:ascii="宋体" w:hAnsi="宋体" w:cs="宋体"/>
          <w:b/>
          <w:bCs/>
          <w:color w:val="auto"/>
          <w:highlight w:val="none"/>
        </w:rPr>
        <w:t>发包人的索赔</w:t>
      </w:r>
      <w:r>
        <w:rPr>
          <w:color w:val="auto"/>
          <w:highlight w:val="none"/>
        </w:rPr>
        <w:tab/>
      </w:r>
      <w:r>
        <w:rPr>
          <w:color w:val="auto"/>
          <w:highlight w:val="none"/>
        </w:rPr>
        <w:fldChar w:fldCharType="begin"/>
      </w:r>
      <w:r>
        <w:rPr>
          <w:color w:val="auto"/>
          <w:highlight w:val="none"/>
        </w:rPr>
        <w:instrText xml:space="preserve"> PAGEREF _Toc517530958 \h </w:instrText>
      </w:r>
      <w:r>
        <w:rPr>
          <w:color w:val="auto"/>
          <w:highlight w:val="none"/>
        </w:rPr>
        <w:fldChar w:fldCharType="separate"/>
      </w:r>
      <w:r>
        <w:rPr>
          <w:color w:val="auto"/>
          <w:highlight w:val="none"/>
        </w:rPr>
        <w:t>84</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"_Toc517530959"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20. </w:t>
      </w:r>
      <w:r>
        <w:rPr>
          <w:rStyle w:val="17"/>
          <w:rFonts w:hint="eastAsia" w:ascii="宋体" w:hAnsi="宋体" w:cs="宋体"/>
          <w:b/>
          <w:bCs/>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_Toc517530959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"_Toc517530960"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20.1</w:t>
      </w:r>
      <w:r>
        <w:rPr>
          <w:rStyle w:val="17"/>
          <w:rFonts w:hint="eastAsia" w:ascii="宋体" w:hAnsi="宋体" w:cs="宋体"/>
          <w:b/>
          <w:bCs/>
          <w:color w:val="auto"/>
          <w:highlight w:val="none"/>
        </w:rPr>
        <w:t>监理人的裁定</w:t>
      </w:r>
      <w:r>
        <w:rPr>
          <w:color w:val="auto"/>
          <w:highlight w:val="none"/>
        </w:rPr>
        <w:tab/>
      </w:r>
      <w:r>
        <w:rPr>
          <w:color w:val="auto"/>
          <w:highlight w:val="none"/>
        </w:rPr>
        <w:fldChar w:fldCharType="begin"/>
      </w:r>
      <w:r>
        <w:rPr>
          <w:color w:val="auto"/>
          <w:highlight w:val="none"/>
        </w:rPr>
        <w:instrText xml:space="preserve"> PAGEREF _Toc517530960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"_Toc517530961"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20.2</w:t>
      </w:r>
      <w:r>
        <w:rPr>
          <w:rStyle w:val="17"/>
          <w:rFonts w:hint="eastAsia" w:ascii="宋体" w:hAnsi="宋体" w:cs="宋体"/>
          <w:b/>
          <w:bCs/>
          <w:color w:val="auto"/>
          <w:highlight w:val="none"/>
        </w:rPr>
        <w:t>友好协商或上级调解</w:t>
      </w:r>
      <w:r>
        <w:rPr>
          <w:color w:val="auto"/>
          <w:highlight w:val="none"/>
        </w:rPr>
        <w:tab/>
      </w:r>
      <w:r>
        <w:rPr>
          <w:color w:val="auto"/>
          <w:highlight w:val="none"/>
        </w:rPr>
        <w:fldChar w:fldCharType="begin"/>
      </w:r>
      <w:r>
        <w:rPr>
          <w:color w:val="auto"/>
          <w:highlight w:val="none"/>
        </w:rPr>
        <w:instrText xml:space="preserve"> PAGEREF _Toc517530961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"_Toc517530962"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20.3</w:t>
      </w:r>
      <w:r>
        <w:rPr>
          <w:rStyle w:val="17"/>
          <w:rFonts w:hint="eastAsia" w:ascii="宋体" w:hAnsi="宋体" w:cs="宋体"/>
          <w:b/>
          <w:bCs/>
          <w:color w:val="auto"/>
          <w:highlight w:val="none"/>
        </w:rPr>
        <w:t>管辖及法律适用</w:t>
      </w:r>
      <w:r>
        <w:rPr>
          <w:color w:val="auto"/>
          <w:highlight w:val="none"/>
        </w:rPr>
        <w:tab/>
      </w:r>
      <w:r>
        <w:rPr>
          <w:color w:val="auto"/>
          <w:highlight w:val="none"/>
        </w:rPr>
        <w:fldChar w:fldCharType="begin"/>
      </w:r>
      <w:r>
        <w:rPr>
          <w:color w:val="auto"/>
          <w:highlight w:val="none"/>
        </w:rPr>
        <w:instrText xml:space="preserve"> PAGEREF _Toc517530962 \h </w:instrText>
      </w:r>
      <w:r>
        <w:rPr>
          <w:color w:val="auto"/>
          <w:highlight w:val="none"/>
        </w:rPr>
        <w:fldChar w:fldCharType="separate"/>
      </w:r>
      <w:r>
        <w:rPr>
          <w:color w:val="auto"/>
          <w:highlight w:val="none"/>
        </w:rPr>
        <w:t>85</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"_Toc517530963"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20.4</w:t>
      </w:r>
      <w:r>
        <w:rPr>
          <w:rStyle w:val="17"/>
          <w:rFonts w:hint="eastAsia" w:ascii="宋体" w:hAnsi="宋体" w:cs="宋体"/>
          <w:b/>
          <w:bCs/>
          <w:color w:val="auto"/>
          <w:highlight w:val="none"/>
        </w:rPr>
        <w:t>未能遵守裁定或协议</w:t>
      </w:r>
      <w:r>
        <w:rPr>
          <w:color w:val="auto"/>
          <w:highlight w:val="none"/>
        </w:rPr>
        <w:tab/>
      </w:r>
      <w:r>
        <w:rPr>
          <w:color w:val="auto"/>
          <w:highlight w:val="none"/>
        </w:rPr>
        <w:fldChar w:fldCharType="begin"/>
      </w:r>
      <w:r>
        <w:rPr>
          <w:color w:val="auto"/>
          <w:highlight w:val="none"/>
        </w:rPr>
        <w:instrText xml:space="preserve"> PAGEREF _Toc517530963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9"/>
        <w:tabs>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"_Toc517530964"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20.5</w:t>
      </w:r>
      <w:r>
        <w:rPr>
          <w:rStyle w:val="17"/>
          <w:rFonts w:hint="eastAsia" w:ascii="宋体" w:hAnsi="宋体" w:cs="宋体"/>
          <w:b/>
          <w:bCs/>
          <w:color w:val="auto"/>
          <w:highlight w:val="none"/>
        </w:rPr>
        <w:t>诉讼费用</w:t>
      </w:r>
      <w:r>
        <w:rPr>
          <w:color w:val="auto"/>
          <w:highlight w:val="none"/>
        </w:rPr>
        <w:tab/>
      </w:r>
      <w:r>
        <w:rPr>
          <w:color w:val="auto"/>
          <w:highlight w:val="none"/>
        </w:rPr>
        <w:fldChar w:fldCharType="begin"/>
      </w:r>
      <w:r>
        <w:rPr>
          <w:color w:val="auto"/>
          <w:highlight w:val="none"/>
        </w:rPr>
        <w:instrText xml:space="preserve"> PAGEREF _Toc517530964 \h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p>
    <w:p>
      <w:pPr>
        <w:tabs>
          <w:tab w:val="right" w:leader="dot" w:pos="8820"/>
        </w:tabs>
        <w:ind w:left="420"/>
        <w:jc w:val="left"/>
        <w:rPr>
          <w:rFonts w:hint="eastAsia"/>
          <w:i/>
          <w:iCs/>
          <w:color w:val="auto"/>
          <w:sz w:val="20"/>
          <w:szCs w:val="20"/>
          <w:highlight w:val="none"/>
        </w:rPr>
      </w:pPr>
      <w:r>
        <w:rPr>
          <w:i/>
          <w:iCs/>
          <w:color w:val="auto"/>
          <w:sz w:val="20"/>
          <w:szCs w:val="20"/>
          <w:highlight w:val="none"/>
        </w:rPr>
        <w:fldChar w:fldCharType="end"/>
      </w:r>
      <w:r>
        <w:rPr>
          <w:i/>
          <w:iCs/>
          <w:color w:val="auto"/>
          <w:sz w:val="20"/>
          <w:szCs w:val="20"/>
          <w:highlight w:val="none"/>
        </w:rPr>
        <w:br w:type="page"/>
      </w:r>
    </w:p>
    <w:p>
      <w:pPr>
        <w:keepNext/>
        <w:keepLines/>
        <w:spacing w:line="360" w:lineRule="auto"/>
        <w:ind w:firstLine="643"/>
        <w:jc w:val="center"/>
        <w:outlineLvl w:val="0"/>
        <w:rPr>
          <w:rFonts w:hint="eastAsia" w:ascii="宋体" w:hAnsi="宋体" w:cs="宋体"/>
          <w:b/>
          <w:bCs/>
          <w:color w:val="auto"/>
          <w:kern w:val="44"/>
          <w:szCs w:val="21"/>
          <w:highlight w:val="none"/>
        </w:rPr>
      </w:pPr>
      <w:bookmarkStart w:id="176" w:name="_Toc517529733"/>
      <w:bookmarkStart w:id="177" w:name="_Toc517528640"/>
      <w:bookmarkStart w:id="178" w:name="_Toc517531971"/>
      <w:bookmarkStart w:id="179" w:name="_Toc517530695"/>
      <w:r>
        <w:rPr>
          <w:rFonts w:hint="eastAsia" w:ascii="宋体" w:hAnsi="宋体" w:cs="宋体"/>
          <w:b/>
          <w:bCs/>
          <w:color w:val="auto"/>
          <w:kern w:val="44"/>
          <w:sz w:val="32"/>
          <w:szCs w:val="32"/>
          <w:highlight w:val="none"/>
        </w:rPr>
        <w:t>通用合同条款</w:t>
      </w:r>
      <w:bookmarkEnd w:id="166"/>
      <w:bookmarkEnd w:id="167"/>
      <w:bookmarkEnd w:id="168"/>
      <w:bookmarkEnd w:id="169"/>
      <w:bookmarkEnd w:id="170"/>
      <w:bookmarkEnd w:id="171"/>
      <w:bookmarkEnd w:id="172"/>
      <w:bookmarkEnd w:id="173"/>
      <w:bookmarkEnd w:id="174"/>
      <w:bookmarkEnd w:id="176"/>
      <w:bookmarkEnd w:id="177"/>
      <w:bookmarkEnd w:id="178"/>
      <w:bookmarkEnd w:id="179"/>
    </w:p>
    <w:p>
      <w:pPr>
        <w:keepNext/>
        <w:keepLines/>
        <w:spacing w:before="156" w:beforeLines="50" w:after="156" w:afterLines="50" w:line="360" w:lineRule="auto"/>
        <w:ind w:firstLine="602" w:firstLineChars="200"/>
        <w:outlineLvl w:val="1"/>
        <w:rPr>
          <w:rFonts w:hint="eastAsia" w:ascii="宋体" w:hAnsi="宋体" w:cs="宋体"/>
          <w:b/>
          <w:color w:val="auto"/>
          <w:sz w:val="30"/>
          <w:szCs w:val="30"/>
          <w:highlight w:val="none"/>
        </w:rPr>
      </w:pPr>
      <w:bookmarkStart w:id="180" w:name="_Toc296503027"/>
      <w:bookmarkStart w:id="181" w:name="_Toc351203495"/>
      <w:bookmarkStart w:id="182" w:name="_Toc296346528"/>
      <w:bookmarkStart w:id="183" w:name="_Toc18768"/>
      <w:bookmarkStart w:id="184" w:name="_Toc465237170"/>
      <w:bookmarkStart w:id="185" w:name="_Toc517528641"/>
      <w:bookmarkStart w:id="186" w:name="_Toc14264"/>
      <w:bookmarkStart w:id="187" w:name="_Toc10110"/>
      <w:bookmarkStart w:id="188" w:name="_Toc2130"/>
      <w:bookmarkStart w:id="189" w:name="_Toc13305"/>
      <w:bookmarkStart w:id="190" w:name="_Toc7304"/>
      <w:bookmarkStart w:id="191" w:name="_Toc3920"/>
      <w:bookmarkStart w:id="192" w:name="_Toc2304"/>
      <w:bookmarkStart w:id="193" w:name="_Toc7132"/>
      <w:bookmarkStart w:id="194" w:name="_Toc23490"/>
      <w:bookmarkStart w:id="195" w:name="_Toc21451"/>
      <w:bookmarkStart w:id="196" w:name="_Toc465237072"/>
      <w:bookmarkStart w:id="197" w:name="_Toc517529734"/>
      <w:bookmarkStart w:id="198" w:name="_Toc20726"/>
      <w:bookmarkStart w:id="199" w:name="_Toc14188"/>
      <w:bookmarkStart w:id="200" w:name="_Toc517531972"/>
      <w:bookmarkStart w:id="201" w:name="_Toc19794"/>
      <w:bookmarkStart w:id="202" w:name="_Toc29283"/>
      <w:bookmarkStart w:id="203" w:name="_Toc13267"/>
      <w:bookmarkStart w:id="204" w:name="_Toc517530696"/>
      <w:bookmarkStart w:id="205" w:name="_Toc26642"/>
      <w:bookmarkStart w:id="206" w:name="_Toc11766"/>
      <w:r>
        <w:rPr>
          <w:rFonts w:hint="eastAsia" w:ascii="宋体" w:hAnsi="宋体" w:cs="宋体"/>
          <w:b/>
          <w:color w:val="auto"/>
          <w:sz w:val="30"/>
          <w:szCs w:val="30"/>
          <w:highlight w:val="none"/>
        </w:rPr>
        <w:t>1.</w:t>
      </w:r>
      <w:bookmarkEnd w:id="180"/>
      <w:bookmarkEnd w:id="181"/>
      <w:bookmarkEnd w:id="182"/>
      <w:r>
        <w:rPr>
          <w:rFonts w:hint="eastAsia" w:ascii="宋体" w:hAnsi="宋体" w:cs="宋体"/>
          <w:b/>
          <w:color w:val="auto"/>
          <w:sz w:val="30"/>
          <w:szCs w:val="30"/>
          <w:highlight w:val="none"/>
        </w:rPr>
        <w:t xml:space="preserve"> 一般约定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07" w:name="_Toc465237073"/>
      <w:bookmarkStart w:id="208" w:name="_Toc465237171"/>
      <w:bookmarkStart w:id="209" w:name="_Toc11290"/>
      <w:bookmarkStart w:id="210" w:name="_Toc517528642"/>
      <w:bookmarkStart w:id="211" w:name="_Toc9450"/>
      <w:bookmarkStart w:id="212" w:name="_Toc25437"/>
      <w:bookmarkStart w:id="213" w:name="_Toc15314"/>
      <w:bookmarkStart w:id="214" w:name="_Toc12728"/>
      <w:bookmarkStart w:id="215" w:name="_Toc517530697"/>
      <w:bookmarkStart w:id="216" w:name="_Toc2050"/>
      <w:bookmarkStart w:id="217" w:name="_Toc7841"/>
      <w:bookmarkStart w:id="218" w:name="_Toc1586"/>
      <w:bookmarkStart w:id="219" w:name="_Toc26776"/>
      <w:bookmarkStart w:id="220" w:name="_Toc2202"/>
      <w:bookmarkStart w:id="221" w:name="_Toc25588"/>
      <w:bookmarkStart w:id="222" w:name="_Toc28730"/>
      <w:bookmarkStart w:id="223" w:name="_Toc24788"/>
      <w:bookmarkStart w:id="224" w:name="_Toc12991"/>
      <w:bookmarkStart w:id="225" w:name="_Toc21"/>
      <w:bookmarkStart w:id="226" w:name="_Toc16789"/>
      <w:bookmarkStart w:id="227" w:name="_Toc15102"/>
      <w:bookmarkStart w:id="228" w:name="_Toc23216"/>
      <w:bookmarkStart w:id="229" w:name="_Toc517531973"/>
      <w:r>
        <w:rPr>
          <w:rFonts w:hint="eastAsia" w:ascii="宋体" w:hAnsi="宋体" w:cs="宋体"/>
          <w:b/>
          <w:bCs/>
          <w:color w:val="auto"/>
          <w:sz w:val="28"/>
          <w:szCs w:val="28"/>
          <w:highlight w:val="none"/>
        </w:rPr>
        <w:t>1.1定义</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pPr>
        <w:tabs>
          <w:tab w:val="left" w:pos="1050"/>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在本合同中，下列名词或术语，除文中另有要求和说明外，应具有本条所指的含义：</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30" w:name="_Toc15190"/>
      <w:bookmarkStart w:id="231" w:name="_Toc517531974"/>
      <w:bookmarkStart w:id="232" w:name="_Toc23326"/>
      <w:bookmarkStart w:id="233" w:name="_Toc27794"/>
      <w:bookmarkStart w:id="234" w:name="_Toc12229"/>
      <w:bookmarkStart w:id="235" w:name="_Toc17818"/>
      <w:bookmarkStart w:id="236" w:name="_Toc22585"/>
      <w:bookmarkStart w:id="237" w:name="_Toc2259"/>
      <w:bookmarkStart w:id="238" w:name="_Toc29021"/>
      <w:bookmarkStart w:id="239" w:name="_Toc25301"/>
      <w:bookmarkStart w:id="240" w:name="_Toc13051"/>
      <w:bookmarkStart w:id="241" w:name="_Toc10179"/>
      <w:bookmarkStart w:id="242" w:name="_Toc20718"/>
      <w:bookmarkStart w:id="243" w:name="_Toc517530698"/>
      <w:bookmarkStart w:id="244" w:name="_Toc22656"/>
      <w:bookmarkStart w:id="245" w:name="_Toc27428"/>
      <w:bookmarkStart w:id="246" w:name="_Toc2906"/>
      <w:bookmarkStart w:id="247" w:name="_Toc4378"/>
      <w:bookmarkStart w:id="248" w:name="_Toc13743"/>
      <w:bookmarkStart w:id="249" w:name="_Toc10325"/>
      <w:r>
        <w:rPr>
          <w:rFonts w:hint="eastAsia" w:ascii="宋体" w:hAnsi="宋体" w:cs="宋体"/>
          <w:b/>
          <w:bCs/>
          <w:color w:val="auto"/>
          <w:sz w:val="24"/>
          <w:szCs w:val="24"/>
          <w:highlight w:val="none"/>
        </w:rPr>
        <w:t>1.1.1 合同</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pPr>
        <w:tabs>
          <w:tab w:val="left" w:pos="147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（1）“合同”指合同条款、技术规范、图纸、工程量清单、投标文件、中标通知书、合同协议书以及构成合同组成部分的其他文件。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（2）“规范”指合同中约定的工程技术规范及对技术规范的有效修改或补充。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（3）“图纸”指发包人按照合同约定提供或经发包人批准的设计文件、施工图、鸟瞰图及模型等，以及在合同履行过程中形成的图纸文件。图纸应当按照法律规定审查合格。</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（4）“工程量清单”指投标文件中已标价的工程量清单。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（5）“投标文件”指承包人按照合同约定为实施并完成本合同工程及其缺陷的修复而向发包人提交的、包含了为中标通知书所接受的报价的相关文件。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（6）“中标通知书”指发包人对投标文件的正式接受函件。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（7）“合同协议书”指第3.1.1条所指的合同协议书。</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（8）“投标函附件”指构成投标文件的附件。</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50" w:name="_Toc20429"/>
      <w:bookmarkStart w:id="251" w:name="_Toc12599"/>
      <w:bookmarkStart w:id="252" w:name="_Toc3759"/>
      <w:bookmarkStart w:id="253" w:name="_Toc732"/>
      <w:bookmarkStart w:id="254" w:name="_Toc9937"/>
      <w:bookmarkStart w:id="255" w:name="_Toc27136"/>
      <w:bookmarkStart w:id="256" w:name="_Toc7900"/>
      <w:bookmarkStart w:id="257" w:name="_Toc25830"/>
      <w:bookmarkStart w:id="258" w:name="_Toc20499"/>
      <w:bookmarkStart w:id="259" w:name="_Toc1904"/>
      <w:bookmarkStart w:id="260" w:name="_Toc8204"/>
      <w:bookmarkStart w:id="261" w:name="_Toc10233"/>
      <w:bookmarkStart w:id="262" w:name="_Toc18254"/>
      <w:bookmarkStart w:id="263" w:name="_Toc2147"/>
      <w:bookmarkStart w:id="264" w:name="_Toc5475"/>
      <w:bookmarkStart w:id="265" w:name="_Toc18247"/>
      <w:bookmarkStart w:id="266" w:name="_Toc517531975"/>
      <w:bookmarkStart w:id="267" w:name="_Toc15129"/>
      <w:bookmarkStart w:id="268" w:name="_Toc3403"/>
      <w:bookmarkStart w:id="269" w:name="_Toc517530699"/>
      <w:r>
        <w:rPr>
          <w:rFonts w:hint="eastAsia" w:ascii="宋体" w:hAnsi="宋体" w:cs="宋体"/>
          <w:b/>
          <w:bCs/>
          <w:color w:val="auto"/>
          <w:sz w:val="24"/>
          <w:szCs w:val="24"/>
          <w:highlight w:val="none"/>
        </w:rPr>
        <w:t>1.1.2 合同当事人及相关各方</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（1）“发包人”指本合同条款指名的执行本建设项目投资计划的单位或其他指定的负责管理本建设项目的代表机构。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本合同的发包人是</w:t>
      </w:r>
      <w:r>
        <w:rPr>
          <w:rFonts w:hint="eastAsia" w:ascii="宋体" w:hAnsi="宋体" w:cs="宋体"/>
          <w:color w:val="auto"/>
          <w:szCs w:val="21"/>
          <w:highlight w:val="none"/>
          <w:u w:val="single"/>
        </w:rPr>
        <w:t>深圳市建筑工务署</w:t>
      </w:r>
      <w:r>
        <w:rPr>
          <w:rFonts w:hint="eastAsia" w:ascii="宋体" w:hAnsi="宋体" w:cs="宋体"/>
          <w:color w:val="auto"/>
          <w:szCs w:val="21"/>
          <w:highlight w:val="none"/>
          <w:u w:val="single"/>
          <w:lang w:val="en-US" w:eastAsia="zh-CN"/>
        </w:rPr>
        <w:t>教育工程管理中心</w:t>
      </w:r>
      <w:r>
        <w:rPr>
          <w:rFonts w:hint="eastAsia" w:ascii="宋体" w:hAnsi="宋体" w:cs="宋体"/>
          <w:color w:val="auto"/>
          <w:szCs w:val="21"/>
          <w:highlight w:val="none"/>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（2）“项目主任”指发包人派驻施工现场履行合同的代表。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（3）“承包人”指与发包人签订合同协议书的，具有相应工程施工承包资质的当事人及取得该当事人资格的合法继承人。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（4）“指定专业工程承包人”指与发包人签订了合同协议书承建本项目指定专业工程的单位，以及取得该当事人（单位）资格的合法继承人（单位）。</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（5）“分包人”指按照法律规定和合同约定，分包部分工程或工作，并与承包人签订分包合同的具有相应资质的当事人及取得该当事人资格的合法继承人。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（6）“监理人”指在专用合同条款中指名的，受发包人委托按照法律规定进行工程监督管理的法人或其他组织。</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（7）“总监理工程师”指由监理人任命并派驻施工现场进行工程监理的总负责人。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（8）“项目经理”指由承包人书面委派常驻现场负责执行本合同和管理本合同工程的代表。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（9）“项目技术负责人”指由承包人书面委派常驻现场负责管理本合同工程的总工程师或技术总负责人。</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70" w:name="_Toc16542"/>
      <w:bookmarkStart w:id="271" w:name="_Toc32144"/>
      <w:bookmarkStart w:id="272" w:name="_Toc15971"/>
      <w:bookmarkStart w:id="273" w:name="_Toc14037"/>
      <w:bookmarkStart w:id="274" w:name="_Toc12197"/>
      <w:bookmarkStart w:id="275" w:name="_Toc10966"/>
      <w:bookmarkStart w:id="276" w:name="_Toc26029"/>
      <w:bookmarkStart w:id="277" w:name="_Toc11867"/>
      <w:bookmarkStart w:id="278" w:name="_Toc17304"/>
      <w:bookmarkStart w:id="279" w:name="_Toc32093"/>
      <w:bookmarkStart w:id="280" w:name="_Toc517531976"/>
      <w:bookmarkStart w:id="281" w:name="_Toc23194"/>
      <w:bookmarkStart w:id="282" w:name="_Toc28078"/>
      <w:bookmarkStart w:id="283" w:name="_Toc4911"/>
      <w:bookmarkStart w:id="284" w:name="_Toc802"/>
      <w:bookmarkStart w:id="285" w:name="_Toc517530700"/>
      <w:bookmarkStart w:id="286" w:name="_Toc28404"/>
      <w:bookmarkStart w:id="287" w:name="_Toc31407"/>
      <w:bookmarkStart w:id="288" w:name="_Toc20458"/>
      <w:bookmarkStart w:id="289" w:name="_Toc4500"/>
      <w:r>
        <w:rPr>
          <w:rFonts w:hint="eastAsia" w:ascii="宋体" w:hAnsi="宋体" w:cs="宋体"/>
          <w:b/>
          <w:bCs/>
          <w:color w:val="auto"/>
          <w:sz w:val="24"/>
          <w:szCs w:val="24"/>
          <w:highlight w:val="none"/>
        </w:rPr>
        <w:t>1.1.3 工程与设备</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（1）“工程”指永久工程和（或）临时工程。</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（2）“永久工程”指根据合同规定应实施的永久性工程（包括下文所指的设备）。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（3）“临时工程”指在实施和完成本合同工程及其缺陷的修复过程中所需的各种临时性工程（不包括下文所指的承包人装备）。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（4）“建设项目工程”指一个建设项目的全部工程，它可由一个或若干个合同工程组成。</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（5）“合同工程”指本合同范围内的全部工程。</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（6）“区段工程”指合同工程范围内，合同规定或能单独发挥效益的某一区段的全部工程。</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（7）“单项工程”指合同工程范围内，合同规定或能单独发挥效益的某一独立的单项工程。</w:t>
      </w:r>
    </w:p>
    <w:p>
      <w:pPr>
        <w:spacing w:line="360" w:lineRule="auto"/>
        <w:ind w:firstLine="420" w:firstLineChars="200"/>
        <w:jc w:val="left"/>
        <w:rPr>
          <w:rFonts w:hint="eastAsia" w:ascii="宋体" w:hAnsi="宋体" w:cs="宋体"/>
          <w:color w:val="auto"/>
          <w:szCs w:val="21"/>
          <w:highlight w:val="none"/>
        </w:rPr>
      </w:pPr>
      <w:bookmarkStart w:id="290" w:name="_Toc16164"/>
      <w:r>
        <w:rPr>
          <w:rFonts w:hint="eastAsia" w:ascii="宋体" w:hAnsi="宋体" w:cs="宋体"/>
          <w:color w:val="auto"/>
          <w:szCs w:val="21"/>
          <w:highlight w:val="none"/>
        </w:rPr>
        <w:t>（8）“设备”指预定构成或构成永久工程某部分的机械、仪器、装置以及诸如此类的设备。</w:t>
      </w:r>
      <w:bookmarkEnd w:id="29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（9）“承包人装备”指属承包人所有（或租赁）的、为了实施和完成本合同及其缺陷修复所需的机械、器具或物品。</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（10）“现场”指由发包人提供的本合同工程实施所在地的场所，及在合同中具体指定构成现场一部分的其他场所。</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（11）“永久占地”指为实施本合同工程而需要的一切永久占用的土地。</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（12）“临时占地”指为实施本合同工程而需要的一切临时占用土地，包括施工所用的临时支线、便道、便桥和现场的临时出入通道，以及生产、生活等临时设施用地等。</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91" w:name="_Toc19995"/>
      <w:bookmarkStart w:id="292" w:name="_Toc16658"/>
      <w:bookmarkStart w:id="293" w:name="_Toc5187"/>
      <w:bookmarkStart w:id="294" w:name="_Toc5838"/>
      <w:bookmarkStart w:id="295" w:name="_Toc13861"/>
      <w:bookmarkStart w:id="296" w:name="_Toc29939"/>
      <w:bookmarkStart w:id="297" w:name="_Toc12396"/>
      <w:bookmarkStart w:id="298" w:name="_Toc26786"/>
      <w:bookmarkStart w:id="299" w:name="_Toc6422"/>
      <w:bookmarkStart w:id="300" w:name="_Toc20844"/>
      <w:bookmarkStart w:id="301" w:name="_Toc13588"/>
      <w:bookmarkStart w:id="302" w:name="_Toc25808"/>
      <w:bookmarkStart w:id="303" w:name="_Toc8264"/>
      <w:bookmarkStart w:id="304" w:name="_Toc517531977"/>
      <w:bookmarkStart w:id="305" w:name="_Toc517530701"/>
      <w:bookmarkStart w:id="306" w:name="_Toc4083"/>
      <w:bookmarkStart w:id="307" w:name="_Toc12615"/>
      <w:bookmarkStart w:id="308" w:name="_Toc7825"/>
      <w:bookmarkStart w:id="309" w:name="_Toc5896"/>
      <w:bookmarkStart w:id="310" w:name="_Toc4773"/>
      <w:r>
        <w:rPr>
          <w:rFonts w:hint="eastAsia" w:ascii="宋体" w:hAnsi="宋体" w:cs="宋体"/>
          <w:b/>
          <w:bCs/>
          <w:color w:val="auto"/>
          <w:sz w:val="24"/>
          <w:szCs w:val="24"/>
          <w:highlight w:val="none"/>
        </w:rPr>
        <w:t>1.1.4 日期与期限</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（1）“开工期”指投标书附件中规定的开工期限。</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（2）“开工日期”指发包人和承包人在开工期限内约定的、在开工通知书写明的日期。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（3）“竣工日期”包括计划竣工日期和实际竣工日期。计划竣工日期是指合同协议书约定的竣工日期；实际竣工日期按照第13条确定。</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（4）“工期”是指在合同中约定的承包人完成工程所需的期限，包括按照合同约定所做的期限变更。</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（5）“履约期”指发包人和承包人就本工程实施和竣工后继续履行合同而约定的期限，其开始日期从合同协议书约定的合同生效日起到工程保修书约定的质量保证金退还之日止。</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（6）“缺陷责任期”指承包人按照合同约定承担缺陷修复义务，且发包人预留质量保证金的期限，自工程实际竣工日期起计算，缺陷责任期为24个月。</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（7）“保修期”指在投标书附件中指定的保修期，其时间从交接证书中写明的竣工日期算起。</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11" w:name="_Toc8736"/>
      <w:bookmarkStart w:id="312" w:name="_Toc10471"/>
      <w:bookmarkStart w:id="313" w:name="_Toc1652"/>
      <w:bookmarkStart w:id="314" w:name="_Toc18309"/>
      <w:bookmarkStart w:id="315" w:name="_Toc9508"/>
      <w:bookmarkStart w:id="316" w:name="_Toc1973"/>
      <w:bookmarkStart w:id="317" w:name="_Toc2390"/>
      <w:bookmarkStart w:id="318" w:name="_Toc5876"/>
      <w:bookmarkStart w:id="319" w:name="_Toc6480"/>
      <w:bookmarkStart w:id="320" w:name="_Toc15268"/>
      <w:bookmarkStart w:id="321" w:name="_Toc30631"/>
      <w:bookmarkStart w:id="322" w:name="_Toc27546"/>
      <w:bookmarkStart w:id="323" w:name="_Toc517530702"/>
      <w:bookmarkStart w:id="324" w:name="_Toc20088"/>
      <w:bookmarkStart w:id="325" w:name="_Toc21764"/>
      <w:bookmarkStart w:id="326" w:name="_Toc4639"/>
      <w:bookmarkStart w:id="327" w:name="_Toc11440"/>
      <w:bookmarkStart w:id="328" w:name="_Toc23940"/>
      <w:bookmarkStart w:id="329" w:name="_Toc517531978"/>
      <w:bookmarkStart w:id="330" w:name="_Toc27539"/>
      <w:r>
        <w:rPr>
          <w:rFonts w:hint="eastAsia" w:ascii="宋体" w:hAnsi="宋体" w:cs="宋体"/>
          <w:b/>
          <w:bCs/>
          <w:color w:val="auto"/>
          <w:sz w:val="24"/>
          <w:szCs w:val="24"/>
          <w:highlight w:val="none"/>
        </w:rPr>
        <w:t>1.1.5 证书</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（1）“履约证书”指承包人在履约期内完成合同工程及合同约定的义务后得到的履约证明。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（2）“交接证书”指本合同工程或合同工程中规定有单独工期的区段或单项工程竣工后，根据第13.1、13.2条规定签发的证书。</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31" w:name="_Toc1499"/>
      <w:bookmarkStart w:id="332" w:name="_Toc23435"/>
      <w:bookmarkStart w:id="333" w:name="_Toc20560"/>
      <w:bookmarkStart w:id="334" w:name="_Toc517531979"/>
      <w:bookmarkStart w:id="335" w:name="_Toc21592"/>
      <w:bookmarkStart w:id="336" w:name="_Toc31444"/>
      <w:bookmarkStart w:id="337" w:name="_Toc25721"/>
      <w:bookmarkStart w:id="338" w:name="_Toc5612"/>
      <w:bookmarkStart w:id="339" w:name="_Toc517530703"/>
      <w:bookmarkStart w:id="340" w:name="_Toc19179"/>
      <w:bookmarkStart w:id="341" w:name="_Toc9293"/>
      <w:bookmarkStart w:id="342" w:name="_Toc32349"/>
      <w:bookmarkStart w:id="343" w:name="_Toc27482"/>
      <w:bookmarkStart w:id="344" w:name="_Toc30114"/>
      <w:bookmarkStart w:id="345" w:name="_Toc7509"/>
      <w:bookmarkStart w:id="346" w:name="_Toc29104"/>
      <w:bookmarkStart w:id="347" w:name="_Toc8340"/>
      <w:bookmarkStart w:id="348" w:name="_Toc24653"/>
      <w:bookmarkStart w:id="349" w:name="_Toc22226"/>
      <w:bookmarkStart w:id="350" w:name="_Toc24144"/>
      <w:r>
        <w:rPr>
          <w:rFonts w:hint="eastAsia" w:ascii="宋体" w:hAnsi="宋体" w:cs="宋体"/>
          <w:b/>
          <w:bCs/>
          <w:color w:val="auto"/>
          <w:sz w:val="24"/>
          <w:szCs w:val="24"/>
          <w:highlight w:val="none"/>
        </w:rPr>
        <w:t>1.1.6 合同价格与费用</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（1）“合同价格”指在中标通知书中写明的、承包人按合同规定实施和完成本合同工程及其缺陷的修复应得到的支付价款总额。</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（2）“质量保证金”指发包人根据第15.6款扣留的款额。</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暂列金额”是招标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情形的费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（4）“专业工程暂估价”是招标人在工程量清单中提供的用于支付必然发生但暂时不能确定的专业工程金额。</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（5）“材料设备暂估价”是指招标人在工程量清单中提供的用于支付必然发生但暂时不能确定价格的材料、设备的单价。</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（6）“费用”指承包人现场内外已发生或将要发生的合理支出，包括管理费和其他类似的支出，但不包括利润。</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51" w:name="_Toc4929"/>
      <w:bookmarkStart w:id="352" w:name="_Toc12059"/>
      <w:bookmarkStart w:id="353" w:name="_Toc8008"/>
      <w:bookmarkStart w:id="354" w:name="_Toc9022"/>
      <w:bookmarkStart w:id="355" w:name="_Toc4137"/>
      <w:bookmarkStart w:id="356" w:name="_Toc517531980"/>
      <w:bookmarkStart w:id="357" w:name="_Toc12132"/>
      <w:bookmarkStart w:id="358" w:name="_Toc1787"/>
      <w:bookmarkStart w:id="359" w:name="_Toc31188"/>
      <w:bookmarkStart w:id="360" w:name="_Toc16015"/>
      <w:bookmarkStart w:id="361" w:name="_Toc26299"/>
      <w:bookmarkStart w:id="362" w:name="_Toc11832"/>
      <w:bookmarkStart w:id="363" w:name="_Toc7016"/>
      <w:bookmarkStart w:id="364" w:name="_Toc16147"/>
      <w:bookmarkStart w:id="365" w:name="_Toc20461"/>
      <w:bookmarkStart w:id="366" w:name="_Toc19779"/>
      <w:bookmarkStart w:id="367" w:name="_Toc14164"/>
      <w:bookmarkStart w:id="368" w:name="_Toc517530704"/>
      <w:bookmarkStart w:id="369" w:name="_Toc8639"/>
      <w:bookmarkStart w:id="370" w:name="_Toc21685"/>
      <w:r>
        <w:rPr>
          <w:rFonts w:hint="eastAsia" w:ascii="宋体" w:hAnsi="宋体" w:cs="宋体"/>
          <w:b/>
          <w:bCs/>
          <w:color w:val="auto"/>
          <w:sz w:val="24"/>
          <w:szCs w:val="24"/>
          <w:highlight w:val="none"/>
        </w:rPr>
        <w:t>1.1.7 其他</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（1）“天”指日历天，“年”、“月”、“日”按公历计算。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（2）“国家”指中华人民共和国。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（3）“当地”指本合同工程所在地及其附近。</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（4）“书面”指手书、打字或印刷的通信函电，包括传真、电报、电传及电子邮件等数据电文。</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71" w:name="_Toc4914"/>
      <w:bookmarkStart w:id="372" w:name="_Toc19556"/>
      <w:bookmarkStart w:id="373" w:name="_Toc21667"/>
      <w:bookmarkStart w:id="374" w:name="_Toc859"/>
      <w:bookmarkStart w:id="375" w:name="_Toc27584"/>
      <w:bookmarkStart w:id="376" w:name="_Toc517528643"/>
      <w:bookmarkStart w:id="377" w:name="_Toc28258"/>
      <w:bookmarkStart w:id="378" w:name="_Toc18940"/>
      <w:bookmarkStart w:id="379" w:name="_Toc517530705"/>
      <w:bookmarkStart w:id="380" w:name="_Toc1808"/>
      <w:bookmarkStart w:id="381" w:name="_Toc15498"/>
      <w:bookmarkStart w:id="382" w:name="_Toc24557"/>
      <w:bookmarkStart w:id="383" w:name="_Toc19280"/>
      <w:bookmarkStart w:id="384" w:name="_Toc31874"/>
      <w:bookmarkStart w:id="385" w:name="_Toc465237172"/>
      <w:bookmarkStart w:id="386" w:name="_Toc28049"/>
      <w:bookmarkStart w:id="387" w:name="_Toc517531981"/>
      <w:bookmarkStart w:id="388" w:name="_Toc465237074"/>
      <w:bookmarkStart w:id="389" w:name="_Toc12309"/>
      <w:bookmarkStart w:id="390" w:name="_Toc27258"/>
      <w:bookmarkStart w:id="391" w:name="_Toc9940"/>
      <w:bookmarkStart w:id="392" w:name="_Toc14241"/>
      <w:bookmarkStart w:id="393" w:name="_Toc22138"/>
      <w:r>
        <w:rPr>
          <w:rFonts w:hint="eastAsia" w:ascii="宋体" w:hAnsi="宋体" w:cs="宋体"/>
          <w:b/>
          <w:bCs/>
          <w:color w:val="auto"/>
          <w:sz w:val="28"/>
          <w:szCs w:val="28"/>
          <w:highlight w:val="none"/>
        </w:rPr>
        <w:t>1.2标题和边注</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本合同条款中标题和边注不视为本合同的部分，在合同条款或合同本身的解释中也不考虑这些标题和边注。</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94" w:name="_Toc465237075"/>
      <w:bookmarkStart w:id="395" w:name="_Toc465237173"/>
      <w:bookmarkStart w:id="396" w:name="_Toc24459"/>
      <w:bookmarkStart w:id="397" w:name="_Toc23133"/>
      <w:bookmarkStart w:id="398" w:name="_Toc517530706"/>
      <w:bookmarkStart w:id="399" w:name="_Toc29023"/>
      <w:bookmarkStart w:id="400" w:name="_Toc1522"/>
      <w:bookmarkStart w:id="401" w:name="_Toc27268"/>
      <w:bookmarkStart w:id="402" w:name="_Toc27753"/>
      <w:bookmarkStart w:id="403" w:name="_Toc26862"/>
      <w:bookmarkStart w:id="404" w:name="_Toc517528644"/>
      <w:bookmarkStart w:id="405" w:name="_Toc19030"/>
      <w:bookmarkStart w:id="406" w:name="_Toc2548"/>
      <w:bookmarkStart w:id="407" w:name="_Toc26940"/>
      <w:bookmarkStart w:id="408" w:name="_Toc20907"/>
      <w:bookmarkStart w:id="409" w:name="_Toc517531982"/>
      <w:bookmarkStart w:id="410" w:name="_Toc29440"/>
      <w:bookmarkStart w:id="411" w:name="_Toc28738"/>
      <w:bookmarkStart w:id="412" w:name="_Toc18986"/>
      <w:bookmarkStart w:id="413" w:name="_Toc15859"/>
      <w:bookmarkStart w:id="414" w:name="_Toc32653"/>
      <w:bookmarkStart w:id="415" w:name="_Toc18136"/>
      <w:bookmarkStart w:id="416" w:name="_Toc14386"/>
      <w:r>
        <w:rPr>
          <w:rFonts w:hint="eastAsia" w:ascii="宋体" w:hAnsi="宋体" w:cs="宋体"/>
          <w:b/>
          <w:bCs/>
          <w:color w:val="auto"/>
          <w:sz w:val="28"/>
          <w:szCs w:val="28"/>
          <w:highlight w:val="none"/>
        </w:rPr>
        <w:t>1.3法律</w:t>
      </w:r>
      <w:bookmarkEnd w:id="394"/>
      <w:bookmarkEnd w:id="395"/>
      <w:r>
        <w:rPr>
          <w:rFonts w:hint="eastAsia" w:ascii="宋体" w:hAnsi="宋体" w:cs="宋体"/>
          <w:b/>
          <w:bCs/>
          <w:color w:val="auto"/>
          <w:sz w:val="28"/>
          <w:szCs w:val="28"/>
          <w:highlight w:val="none"/>
        </w:rPr>
        <w:t>和法规</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本合同必须遵守国家现行法律和法规；合同所称法律和法规是指中华人民共和国法律、行政法规、部门规章，以及工程所在地的地方性法规、自治条例、单行条例和地方政府规章等。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合同的解释应以现行法律和法规为准。</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17" w:name="_Toc9530"/>
      <w:bookmarkStart w:id="418" w:name="_Toc15073"/>
      <w:bookmarkStart w:id="419" w:name="_Toc3204"/>
      <w:bookmarkStart w:id="420" w:name="_Toc28044"/>
      <w:bookmarkStart w:id="421" w:name="_Toc517530707"/>
      <w:bookmarkStart w:id="422" w:name="_Toc3245"/>
      <w:bookmarkStart w:id="423" w:name="_Toc12653"/>
      <w:bookmarkStart w:id="424" w:name="_Toc26651"/>
      <w:bookmarkStart w:id="425" w:name="_Toc31054"/>
      <w:bookmarkStart w:id="426" w:name="_Toc32238"/>
      <w:bookmarkStart w:id="427" w:name="_Toc31930"/>
      <w:bookmarkStart w:id="428" w:name="_Toc15157"/>
      <w:bookmarkStart w:id="429" w:name="_Toc11466"/>
      <w:bookmarkStart w:id="430" w:name="_Toc5764"/>
      <w:bookmarkStart w:id="431" w:name="_Toc17499"/>
      <w:bookmarkStart w:id="432" w:name="_Toc32030"/>
      <w:bookmarkStart w:id="433" w:name="_Toc517531983"/>
      <w:bookmarkStart w:id="434" w:name="_Toc517528645"/>
      <w:bookmarkStart w:id="435" w:name="_Toc465237076"/>
      <w:bookmarkStart w:id="436" w:name="_Toc28765"/>
      <w:bookmarkStart w:id="437" w:name="_Toc6738"/>
      <w:bookmarkStart w:id="438" w:name="_Toc465237174"/>
      <w:bookmarkStart w:id="439" w:name="_Toc10008"/>
      <w:r>
        <w:rPr>
          <w:rFonts w:hint="eastAsia" w:ascii="宋体" w:hAnsi="宋体" w:cs="宋体"/>
          <w:b/>
          <w:bCs/>
          <w:color w:val="auto"/>
          <w:sz w:val="28"/>
          <w:szCs w:val="28"/>
          <w:highlight w:val="none"/>
        </w:rPr>
        <w:t>1.4 技术标准和管理规范</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40" w:name="_Toc9251"/>
      <w:bookmarkStart w:id="441" w:name="_Toc517530708"/>
      <w:bookmarkStart w:id="442" w:name="_Toc9825"/>
      <w:bookmarkStart w:id="443" w:name="_Toc517531984"/>
      <w:bookmarkStart w:id="444" w:name="_Toc17237"/>
      <w:bookmarkStart w:id="445" w:name="_Toc15607"/>
      <w:bookmarkStart w:id="446" w:name="_Toc14287"/>
      <w:bookmarkStart w:id="447" w:name="_Toc5817"/>
      <w:bookmarkStart w:id="448" w:name="_Toc20255"/>
      <w:bookmarkStart w:id="449" w:name="_Toc15143"/>
      <w:bookmarkStart w:id="450" w:name="_Toc24207"/>
      <w:r>
        <w:rPr>
          <w:rFonts w:hint="eastAsia" w:ascii="宋体" w:hAnsi="宋体" w:cs="宋体"/>
          <w:b/>
          <w:bCs/>
          <w:color w:val="auto"/>
          <w:sz w:val="24"/>
          <w:szCs w:val="24"/>
          <w:highlight w:val="none"/>
        </w:rPr>
        <w:t>1.4.1发包人制定的标准</w:t>
      </w:r>
      <w:bookmarkEnd w:id="440"/>
      <w:bookmarkEnd w:id="441"/>
      <w:bookmarkEnd w:id="442"/>
      <w:bookmarkEnd w:id="443"/>
      <w:bookmarkEnd w:id="444"/>
      <w:bookmarkEnd w:id="445"/>
      <w:bookmarkEnd w:id="446"/>
      <w:bookmarkEnd w:id="447"/>
      <w:bookmarkEnd w:id="448"/>
      <w:bookmarkEnd w:id="449"/>
      <w:bookmarkEnd w:id="450"/>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专用条款附件为发包人制定的有关政府工程项目管理的规范性文件，承包人须按照发包人的管理程序和流程办理工程业务（应符合发包人信息化管理的要求），附件有关规定视为发包人与承包人合同的有效组成部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51" w:name="_Toc17815"/>
      <w:bookmarkStart w:id="452" w:name="_Toc517531985"/>
      <w:bookmarkStart w:id="453" w:name="_Toc23286"/>
      <w:bookmarkStart w:id="454" w:name="_Toc15838"/>
      <w:bookmarkStart w:id="455" w:name="_Toc18380"/>
      <w:bookmarkStart w:id="456" w:name="_Toc517530709"/>
      <w:bookmarkStart w:id="457" w:name="_Toc15041"/>
      <w:bookmarkStart w:id="458" w:name="_Toc24282"/>
      <w:bookmarkStart w:id="459" w:name="_Toc13982"/>
      <w:bookmarkStart w:id="460" w:name="_Toc490"/>
      <w:bookmarkStart w:id="461" w:name="_Toc7734"/>
      <w:r>
        <w:rPr>
          <w:rFonts w:hint="eastAsia" w:ascii="宋体" w:hAnsi="宋体" w:cs="宋体"/>
          <w:b/>
          <w:bCs/>
          <w:color w:val="auto"/>
          <w:sz w:val="24"/>
          <w:szCs w:val="24"/>
          <w:highlight w:val="none"/>
        </w:rPr>
        <w:t>1.4.2外国标准</w:t>
      </w:r>
      <w:bookmarkEnd w:id="451"/>
      <w:bookmarkEnd w:id="452"/>
      <w:bookmarkEnd w:id="453"/>
      <w:bookmarkEnd w:id="454"/>
      <w:bookmarkEnd w:id="455"/>
      <w:bookmarkEnd w:id="456"/>
      <w:bookmarkEnd w:id="457"/>
      <w:bookmarkEnd w:id="458"/>
      <w:bookmarkEnd w:id="459"/>
      <w:bookmarkEnd w:id="460"/>
      <w:bookmarkEnd w:id="461"/>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发包人要求使用国外标准、规范的，发包人负责提供原文版本和中文译本，并在专用合同条款中约定提供标准规范的名称、份数和时间。若发包人提供的中文译本与原文版本不一致，以原文版本为准。</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62" w:name="_Toc26672"/>
      <w:bookmarkStart w:id="463" w:name="_Toc11087"/>
      <w:bookmarkStart w:id="464" w:name="_Toc31870"/>
      <w:bookmarkStart w:id="465" w:name="_Toc517531986"/>
      <w:bookmarkStart w:id="466" w:name="_Toc13341"/>
      <w:bookmarkStart w:id="467" w:name="_Toc9247"/>
      <w:bookmarkStart w:id="468" w:name="_Toc4600"/>
      <w:bookmarkStart w:id="469" w:name="_Toc12454"/>
      <w:bookmarkStart w:id="470" w:name="_Toc465237077"/>
      <w:bookmarkStart w:id="471" w:name="_Toc13672"/>
      <w:bookmarkStart w:id="472" w:name="_Toc14572"/>
      <w:bookmarkStart w:id="473" w:name="_Toc3865"/>
      <w:bookmarkStart w:id="474" w:name="_Toc29416"/>
      <w:bookmarkStart w:id="475" w:name="_Toc6886"/>
      <w:bookmarkStart w:id="476" w:name="_Toc517530710"/>
      <w:bookmarkStart w:id="477" w:name="_Toc465237175"/>
      <w:bookmarkStart w:id="478" w:name="_Toc724"/>
      <w:bookmarkStart w:id="479" w:name="_Toc517528646"/>
      <w:bookmarkStart w:id="480" w:name="_Toc13509"/>
      <w:bookmarkStart w:id="481" w:name="_Toc12811"/>
      <w:bookmarkStart w:id="482" w:name="_Toc18139"/>
      <w:bookmarkStart w:id="483" w:name="_Toc16776"/>
      <w:bookmarkStart w:id="484" w:name="_Toc1167"/>
      <w:r>
        <w:rPr>
          <w:rFonts w:hint="eastAsia" w:ascii="宋体" w:hAnsi="宋体" w:cs="宋体"/>
          <w:b/>
          <w:bCs/>
          <w:color w:val="auto"/>
          <w:sz w:val="28"/>
          <w:szCs w:val="28"/>
          <w:highlight w:val="none"/>
        </w:rPr>
        <w:t>1.5合同文件的优先次序</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组成合同的各个文件应该认为是一个整体，彼此相互解释，相互补充。如果出现含糊不清或相互矛盾的情况，由监理人做出解释和调整。在这种情况下，除非合同另有规定，组成合同的文件的优先顺序应依次如下：</w:t>
      </w:r>
    </w:p>
    <w:p>
      <w:pPr>
        <w:numPr>
          <w:ilvl w:val="0"/>
          <w:numId w:val="7"/>
        </w:num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合同协议书及双方签认的补充协议；</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(b)中标通知书；</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(c)投标函及其附件（含承包人在评标期间和合同谈判过程中递交和确认并经发包人同意的对有关问题的补充资料和澄清文件等，如果有）；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(d)招标文件中的投标报价规定；</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(e)专用合同条款（含招标文件补遗书中与此有关的部分，如果有）；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(f)通用合同条款；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(g)技术标准和规范（含招标文件补遗书中与此有关的部分，如果有）；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(h)图纸（含招标文件补遗书中与此有关的部分，如果有）；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(i)标价的工程量清单；</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(j)工程质量保修书；</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(k)双方认为应作为合同构成的其它文件。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上述各项合同文件包括合同当事人就该项合同文件所作出的补充和修改，属于同一类内容的文件，应该以最新签署的为准。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在合同订立及履行过程中形成的与合同有关的文件均构成合同文件组成部分，并根据其性质确定优先解释顺序。</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85" w:name="_Toc465237078"/>
      <w:bookmarkStart w:id="486" w:name="_Toc19731"/>
      <w:bookmarkStart w:id="487" w:name="_Toc517531987"/>
      <w:bookmarkStart w:id="488" w:name="_Toc15994"/>
      <w:bookmarkStart w:id="489" w:name="_Toc26714"/>
      <w:bookmarkStart w:id="490" w:name="_Toc28206"/>
      <w:bookmarkStart w:id="491" w:name="_Toc517528647"/>
      <w:bookmarkStart w:id="492" w:name="_Toc20978"/>
      <w:bookmarkStart w:id="493" w:name="_Toc465237176"/>
      <w:bookmarkStart w:id="494" w:name="_Toc9866"/>
      <w:bookmarkStart w:id="495" w:name="_Toc8718"/>
      <w:bookmarkStart w:id="496" w:name="_Toc26706"/>
      <w:bookmarkStart w:id="497" w:name="_Toc517530711"/>
      <w:bookmarkStart w:id="498" w:name="_Toc3221"/>
      <w:bookmarkStart w:id="499" w:name="_Toc6309"/>
      <w:bookmarkStart w:id="500" w:name="_Toc4282"/>
      <w:bookmarkStart w:id="501" w:name="_Toc30783"/>
      <w:bookmarkStart w:id="502" w:name="_Toc7678"/>
      <w:bookmarkStart w:id="503" w:name="_Toc26286"/>
      <w:bookmarkStart w:id="504" w:name="_Toc32379"/>
      <w:bookmarkStart w:id="505" w:name="_Toc23223"/>
      <w:bookmarkStart w:id="506" w:name="_Toc5037"/>
      <w:bookmarkStart w:id="507" w:name="_Toc21034"/>
      <w:bookmarkStart w:id="508" w:name="_Toc296346533"/>
      <w:bookmarkStart w:id="509" w:name="_Toc296503032"/>
      <w:bookmarkStart w:id="510" w:name="_Toc337558732"/>
      <w:r>
        <w:rPr>
          <w:rFonts w:hint="eastAsia" w:ascii="宋体" w:hAnsi="宋体" w:cs="宋体"/>
          <w:b/>
          <w:bCs/>
          <w:color w:val="auto"/>
          <w:sz w:val="28"/>
          <w:szCs w:val="28"/>
          <w:highlight w:val="none"/>
        </w:rPr>
        <w:t>1.6图纸和承包人文件</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bookmarkEnd w:id="508"/>
    <w:bookmarkEnd w:id="509"/>
    <w:bookmarkEnd w:id="510"/>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11" w:name="_Toc517530712"/>
      <w:bookmarkStart w:id="512" w:name="_Toc14983"/>
      <w:bookmarkStart w:id="513" w:name="_Toc27372"/>
      <w:bookmarkStart w:id="514" w:name="_Toc22954"/>
      <w:bookmarkStart w:id="515" w:name="_Toc4658"/>
      <w:bookmarkStart w:id="516" w:name="_Toc11504"/>
      <w:bookmarkStart w:id="517" w:name="_Toc325"/>
      <w:bookmarkStart w:id="518" w:name="_Toc17024"/>
      <w:bookmarkStart w:id="519" w:name="_Toc517531988"/>
      <w:bookmarkStart w:id="520" w:name="_Toc368"/>
      <w:bookmarkStart w:id="521" w:name="_Toc6992"/>
      <w:bookmarkStart w:id="522" w:name="_Toc14543"/>
      <w:bookmarkStart w:id="523" w:name="_Toc15570"/>
      <w:bookmarkStart w:id="524" w:name="_Toc13028"/>
      <w:bookmarkStart w:id="525" w:name="_Toc22323"/>
      <w:bookmarkStart w:id="526" w:name="_Toc2636"/>
      <w:bookmarkStart w:id="527" w:name="_Toc15776"/>
      <w:bookmarkStart w:id="528" w:name="_Toc4515"/>
      <w:bookmarkStart w:id="529" w:name="_Toc28018"/>
      <w:bookmarkStart w:id="530" w:name="_Toc24999"/>
      <w:r>
        <w:rPr>
          <w:rFonts w:hint="eastAsia" w:ascii="宋体" w:hAnsi="宋体" w:cs="宋体"/>
          <w:b/>
          <w:bCs/>
          <w:color w:val="auto"/>
          <w:sz w:val="24"/>
          <w:szCs w:val="24"/>
          <w:highlight w:val="none"/>
        </w:rPr>
        <w:t>1.6.1图纸和技术资料的提供</w:t>
      </w:r>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监理人应在发包人发出中标通知书之后</w:t>
      </w:r>
      <w:r>
        <w:rPr>
          <w:rFonts w:hint="eastAsia" w:ascii="宋体" w:hAnsi="宋体" w:cs="宋体"/>
          <w:color w:val="auto"/>
          <w:szCs w:val="21"/>
          <w:highlight w:val="none"/>
          <w:u w:val="single"/>
        </w:rPr>
        <w:t>42</w:t>
      </w:r>
      <w:r>
        <w:rPr>
          <w:rFonts w:hint="eastAsia" w:ascii="宋体" w:hAnsi="宋体" w:cs="宋体"/>
          <w:color w:val="auto"/>
          <w:szCs w:val="21"/>
          <w:highlight w:val="none"/>
        </w:rPr>
        <w:t>天内，向承包人免费提供由发包人或其委托的设计单位设计的全部图纸和其他技术资料</w:t>
      </w:r>
      <w:r>
        <w:rPr>
          <w:rFonts w:hint="eastAsia" w:ascii="宋体" w:hAnsi="宋体" w:cs="宋体"/>
          <w:color w:val="auto"/>
          <w:szCs w:val="21"/>
          <w:highlight w:val="none"/>
          <w:u w:val="single"/>
        </w:rPr>
        <w:t>4</w:t>
      </w:r>
      <w:r>
        <w:rPr>
          <w:rFonts w:hint="eastAsia" w:ascii="宋体" w:hAnsi="宋体" w:cs="宋体"/>
          <w:color w:val="auto"/>
          <w:szCs w:val="21"/>
          <w:highlight w:val="none"/>
        </w:rPr>
        <w:t>份，并组织向承包人进行技术交底和图纸会审。承包人需要更多份数时，应自费复制。未经监理人同意，承包人不得将上述图纸和其他技术资料提供给与本工程施工无关的第三方。</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31" w:name="_Toc24857"/>
      <w:bookmarkStart w:id="532" w:name="_Toc3334"/>
      <w:bookmarkStart w:id="533" w:name="_Toc17535"/>
      <w:bookmarkStart w:id="534" w:name="_Toc6274"/>
      <w:bookmarkStart w:id="535" w:name="_Toc517531989"/>
      <w:bookmarkStart w:id="536" w:name="_Toc19428"/>
      <w:bookmarkStart w:id="537" w:name="_Toc9012"/>
      <w:bookmarkStart w:id="538" w:name="_Toc27167"/>
      <w:bookmarkStart w:id="539" w:name="_Toc16137"/>
      <w:bookmarkStart w:id="540" w:name="_Toc517530713"/>
      <w:bookmarkStart w:id="541" w:name="_Toc21548"/>
      <w:bookmarkStart w:id="542" w:name="_Toc17824"/>
      <w:bookmarkStart w:id="543" w:name="_Toc17779"/>
      <w:bookmarkStart w:id="544" w:name="_Toc18277"/>
      <w:bookmarkStart w:id="545" w:name="_Toc2595"/>
      <w:bookmarkStart w:id="546" w:name="_Toc2461"/>
      <w:bookmarkStart w:id="547" w:name="_Toc28409"/>
      <w:bookmarkStart w:id="548" w:name="_Toc7918"/>
      <w:bookmarkStart w:id="549" w:name="_Toc1408"/>
      <w:r>
        <w:rPr>
          <w:rFonts w:hint="eastAsia" w:ascii="宋体" w:hAnsi="宋体" w:cs="宋体"/>
          <w:b/>
          <w:bCs/>
          <w:color w:val="auto"/>
          <w:sz w:val="24"/>
          <w:szCs w:val="24"/>
          <w:highlight w:val="none"/>
        </w:rPr>
        <w:t>1.6.2临时工程图纸</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当监理人认为需要时，承包人应提交临时工程的设计图纸</w:t>
      </w:r>
      <w:r>
        <w:rPr>
          <w:rFonts w:hint="eastAsia" w:ascii="宋体" w:hAnsi="宋体" w:cs="宋体"/>
          <w:color w:val="auto"/>
          <w:szCs w:val="21"/>
          <w:highlight w:val="none"/>
          <w:u w:val="single"/>
        </w:rPr>
        <w:t>4</w:t>
      </w:r>
      <w:r>
        <w:rPr>
          <w:rFonts w:hint="eastAsia" w:ascii="宋体" w:hAnsi="宋体" w:cs="宋体"/>
          <w:color w:val="auto"/>
          <w:szCs w:val="21"/>
          <w:highlight w:val="none"/>
        </w:rPr>
        <w:t>份，供监理人批准，必要时承包人应就其临时工程的设计征得有关第三方的批准。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50" w:name="_Toc8690"/>
      <w:bookmarkStart w:id="551" w:name="_Toc23926"/>
      <w:bookmarkStart w:id="552" w:name="_Toc5522"/>
      <w:bookmarkStart w:id="553" w:name="_Toc22852"/>
      <w:bookmarkStart w:id="554" w:name="_Toc8802"/>
      <w:bookmarkStart w:id="555" w:name="_Toc28046"/>
      <w:bookmarkStart w:id="556" w:name="_Toc962"/>
      <w:bookmarkStart w:id="557" w:name="_Toc32461"/>
      <w:bookmarkStart w:id="558" w:name="_Toc27497"/>
      <w:bookmarkStart w:id="559" w:name="_Toc4781"/>
      <w:bookmarkStart w:id="560" w:name="_Toc517531990"/>
      <w:bookmarkStart w:id="561" w:name="_Toc13589"/>
      <w:bookmarkStart w:id="562" w:name="_Toc26636"/>
      <w:bookmarkStart w:id="563" w:name="_Toc517530714"/>
      <w:bookmarkStart w:id="564" w:name="_Toc6251"/>
      <w:bookmarkStart w:id="565" w:name="_Toc2851"/>
      <w:bookmarkStart w:id="566" w:name="_Toc19993"/>
      <w:bookmarkStart w:id="567" w:name="_Toc24016"/>
      <w:bookmarkStart w:id="568" w:name="_Toc30508"/>
      <w:r>
        <w:rPr>
          <w:rFonts w:hint="eastAsia" w:ascii="宋体" w:hAnsi="宋体" w:cs="宋体"/>
          <w:b/>
          <w:bCs/>
          <w:color w:val="auto"/>
          <w:sz w:val="24"/>
          <w:szCs w:val="24"/>
          <w:highlight w:val="none"/>
        </w:rPr>
        <w:t>1.6.3补充图纸</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监理人有权根据合同约定随时向承包人发出为满足本合同工程的实施和修复所需的补充图纸和指令，承包人应予执行，并受其约束。</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69" w:name="_Toc16094"/>
      <w:bookmarkStart w:id="570" w:name="_Toc26396"/>
      <w:bookmarkStart w:id="571" w:name="_Toc13590"/>
      <w:bookmarkStart w:id="572" w:name="_Toc30330"/>
      <w:bookmarkStart w:id="573" w:name="_Toc29685"/>
      <w:bookmarkStart w:id="574" w:name="_Toc3736"/>
      <w:bookmarkStart w:id="575" w:name="_Toc22754"/>
      <w:bookmarkStart w:id="576" w:name="_Toc261"/>
      <w:bookmarkStart w:id="577" w:name="_Toc517530715"/>
      <w:bookmarkStart w:id="578" w:name="_Toc3535"/>
      <w:bookmarkStart w:id="579" w:name="_Toc26226"/>
      <w:bookmarkStart w:id="580" w:name="_Toc1830"/>
      <w:bookmarkStart w:id="581" w:name="_Toc12896"/>
      <w:bookmarkStart w:id="582" w:name="_Toc517531991"/>
      <w:bookmarkStart w:id="583" w:name="_Toc29829"/>
      <w:bookmarkStart w:id="584" w:name="_Toc1205"/>
      <w:bookmarkStart w:id="585" w:name="_Toc16093"/>
      <w:bookmarkStart w:id="586" w:name="_Toc17623"/>
      <w:bookmarkStart w:id="587" w:name="_Toc20745"/>
      <w:bookmarkStart w:id="588" w:name="_Toc14981"/>
      <w:r>
        <w:rPr>
          <w:rFonts w:hint="eastAsia" w:ascii="宋体" w:hAnsi="宋体" w:cs="宋体"/>
          <w:b/>
          <w:bCs/>
          <w:color w:val="auto"/>
          <w:sz w:val="24"/>
          <w:szCs w:val="24"/>
          <w:highlight w:val="none"/>
        </w:rPr>
        <w:t>1.6.4提交图纸延误</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施工过程中，监理人如未在合理的时间内提供进一步施工所需要的图纸和指令，且有可能因此打乱工程计划延误工期时，承包人应向监理人发出通知，并抄送发包人，提出所需的图纸或指令、需要的时间和理由，以及说明由于图纸或指令延误可能造成的影响和损失。</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如因监理人未能在合理的时间内向承包人提供所需图纸、发出指令而造成承包人施工进度拖延和费用增加，则监理人在与承包人协商并报发包人批准后，承包人有权获得：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(a)根据第7.6.1、7.6.2、7.6.3条规定承包人应得的延长工期；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(b)应该加到合同价格上的费用款额；</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并通知承包人，抄送发包人。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如果监理人未能在合理时间内提供图纸或发出指令，是因为承包人未能按照合同规定提交应该提交的图纸、技术规范或其他技术资料所致，则监理人在根据前款规定作出确定时应考虑上述因素。</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89" w:name="_Toc8318"/>
      <w:bookmarkStart w:id="590" w:name="_Toc31716"/>
      <w:bookmarkStart w:id="591" w:name="_Toc6350"/>
      <w:bookmarkStart w:id="592" w:name="_Toc18099"/>
      <w:bookmarkStart w:id="593" w:name="_Toc22625"/>
      <w:bookmarkStart w:id="594" w:name="_Toc9192"/>
      <w:bookmarkStart w:id="595" w:name="_Toc2182"/>
      <w:bookmarkStart w:id="596" w:name="_Toc135"/>
      <w:bookmarkStart w:id="597" w:name="_Toc19363"/>
      <w:bookmarkStart w:id="598" w:name="_Toc23120"/>
      <w:bookmarkStart w:id="599" w:name="_Toc640"/>
      <w:bookmarkStart w:id="600" w:name="_Toc32458"/>
      <w:bookmarkStart w:id="601" w:name="_Toc1651"/>
      <w:bookmarkStart w:id="602" w:name="_Toc517531992"/>
      <w:bookmarkStart w:id="603" w:name="_Toc212"/>
      <w:bookmarkStart w:id="604" w:name="_Toc24595"/>
      <w:bookmarkStart w:id="605" w:name="_Toc878"/>
      <w:bookmarkStart w:id="606" w:name="_Toc12691"/>
      <w:bookmarkStart w:id="607" w:name="_Toc517530716"/>
      <w:bookmarkStart w:id="608" w:name="_Toc18610"/>
      <w:r>
        <w:rPr>
          <w:rFonts w:hint="eastAsia" w:ascii="宋体" w:hAnsi="宋体" w:cs="宋体"/>
          <w:b/>
          <w:bCs/>
          <w:color w:val="auto"/>
          <w:sz w:val="24"/>
          <w:szCs w:val="24"/>
          <w:highlight w:val="none"/>
        </w:rPr>
        <w:t>1.6.5图纸和承包人文件的保管</w:t>
      </w:r>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除专用合同条款另有约定外，承包人应在施工现场另外保存一套完整的图纸和承包人文件，供发包人、监理人及有关人员进行工程检查时使用。</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609" w:name="_Toc14199"/>
      <w:bookmarkStart w:id="610" w:name="_Toc1889"/>
      <w:bookmarkStart w:id="611" w:name="_Toc517528648"/>
      <w:bookmarkStart w:id="612" w:name="_Toc24772"/>
      <w:bookmarkStart w:id="613" w:name="_Toc2254"/>
      <w:bookmarkStart w:id="614" w:name="_Toc30779"/>
      <w:bookmarkStart w:id="615" w:name="_Toc23368"/>
      <w:bookmarkStart w:id="616" w:name="_Toc3188"/>
      <w:bookmarkStart w:id="617" w:name="_Toc10890"/>
      <w:bookmarkStart w:id="618" w:name="_Toc23720"/>
      <w:bookmarkStart w:id="619" w:name="_Toc517530717"/>
      <w:bookmarkStart w:id="620" w:name="_Toc465237079"/>
      <w:bookmarkStart w:id="621" w:name="_Toc28403"/>
      <w:bookmarkStart w:id="622" w:name="_Toc16380"/>
      <w:bookmarkStart w:id="623" w:name="_Toc30644"/>
      <w:bookmarkStart w:id="624" w:name="_Toc465237177"/>
      <w:bookmarkStart w:id="625" w:name="_Toc13451"/>
      <w:bookmarkStart w:id="626" w:name="_Toc19088"/>
      <w:bookmarkStart w:id="627" w:name="_Toc18501"/>
      <w:bookmarkStart w:id="628" w:name="_Toc517531993"/>
      <w:bookmarkStart w:id="629" w:name="_Toc29745"/>
      <w:bookmarkStart w:id="630" w:name="_Toc3019"/>
      <w:bookmarkStart w:id="631" w:name="_Toc29892"/>
      <w:bookmarkStart w:id="632" w:name="_Toc296503033"/>
      <w:bookmarkStart w:id="633" w:name="_Toc296346534"/>
      <w:bookmarkStart w:id="634" w:name="_Toc337558733"/>
      <w:r>
        <w:rPr>
          <w:rFonts w:hint="eastAsia" w:ascii="宋体" w:hAnsi="宋体" w:cs="宋体"/>
          <w:b/>
          <w:bCs/>
          <w:color w:val="auto"/>
          <w:sz w:val="28"/>
          <w:szCs w:val="28"/>
          <w:highlight w:val="none"/>
        </w:rPr>
        <w:t>1.7联络</w:t>
      </w:r>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635" w:name="_Toc18265"/>
      <w:bookmarkStart w:id="636" w:name="_Toc10827"/>
      <w:bookmarkStart w:id="637" w:name="_Toc10926"/>
      <w:bookmarkStart w:id="638" w:name="_Toc8077"/>
      <w:bookmarkStart w:id="639" w:name="_Toc31479"/>
      <w:bookmarkStart w:id="640" w:name="_Toc237"/>
      <w:bookmarkStart w:id="641" w:name="_Toc13349"/>
      <w:bookmarkStart w:id="642" w:name="_Toc517530718"/>
      <w:bookmarkStart w:id="643" w:name="_Toc10390"/>
      <w:bookmarkStart w:id="644" w:name="_Toc30505"/>
      <w:bookmarkStart w:id="645" w:name="_Toc15163"/>
      <w:bookmarkStart w:id="646" w:name="_Toc20847"/>
      <w:bookmarkStart w:id="647" w:name="_Toc15900"/>
      <w:bookmarkStart w:id="648" w:name="_Toc9735"/>
      <w:bookmarkStart w:id="649" w:name="_Toc29061"/>
      <w:bookmarkStart w:id="650" w:name="_Toc22719"/>
      <w:bookmarkStart w:id="651" w:name="_Toc10397"/>
      <w:bookmarkStart w:id="652" w:name="_Toc2341"/>
      <w:bookmarkStart w:id="653" w:name="_Toc29229"/>
      <w:bookmarkStart w:id="654" w:name="_Toc517531994"/>
      <w:r>
        <w:rPr>
          <w:rFonts w:hint="eastAsia" w:ascii="宋体" w:hAnsi="宋体" w:cs="宋体"/>
          <w:b/>
          <w:bCs/>
          <w:color w:val="auto"/>
          <w:sz w:val="24"/>
          <w:szCs w:val="24"/>
          <w:highlight w:val="none"/>
        </w:rPr>
        <w:t>1.7.1书面通知</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除另有规定外，在合同中任何单位或个人作出的意思表示均应采用书面形式且不应被无理扣压或拖延。收件方应在回执上签署姓名和收到时间。</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655" w:name="_Toc8270"/>
      <w:bookmarkStart w:id="656" w:name="_Toc30316"/>
      <w:bookmarkStart w:id="657" w:name="_Toc20597"/>
      <w:bookmarkStart w:id="658" w:name="_Toc13627"/>
      <w:bookmarkStart w:id="659" w:name="_Toc21794"/>
      <w:bookmarkStart w:id="660" w:name="_Toc517530719"/>
      <w:bookmarkStart w:id="661" w:name="_Toc30289"/>
      <w:bookmarkStart w:id="662" w:name="_Toc24533"/>
      <w:bookmarkStart w:id="663" w:name="_Toc517531995"/>
      <w:bookmarkStart w:id="664" w:name="_Toc31095"/>
      <w:bookmarkStart w:id="665" w:name="_Toc17534"/>
      <w:bookmarkStart w:id="666" w:name="_Toc9931"/>
      <w:bookmarkStart w:id="667" w:name="_Toc4006"/>
      <w:bookmarkStart w:id="668" w:name="_Toc15180"/>
      <w:bookmarkStart w:id="669" w:name="_Toc27484"/>
      <w:bookmarkStart w:id="670" w:name="_Toc14802"/>
      <w:bookmarkStart w:id="671" w:name="_Toc6222"/>
      <w:bookmarkStart w:id="672" w:name="_Toc21511"/>
      <w:bookmarkStart w:id="673" w:name="_Toc26335"/>
      <w:bookmarkStart w:id="674" w:name="_Toc21703"/>
      <w:r>
        <w:rPr>
          <w:rFonts w:hint="eastAsia" w:ascii="宋体" w:hAnsi="宋体" w:cs="宋体"/>
          <w:b/>
          <w:bCs/>
          <w:color w:val="auto"/>
          <w:sz w:val="24"/>
          <w:szCs w:val="24"/>
          <w:highlight w:val="none"/>
        </w:rPr>
        <w:t>1.7.2通知的送达</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根据本合同条款由发包人或监理人发给承包人的一切证书、通知或指令均应通过书面形式发送到专用合同条款中指定的项目</w:t>
      </w:r>
      <w:r>
        <w:rPr>
          <w:rFonts w:ascii="宋体" w:hAnsi="宋体" w:cs="宋体"/>
          <w:color w:val="auto"/>
          <w:szCs w:val="21"/>
          <w:highlight w:val="none"/>
        </w:rPr>
        <w:t>经理或联系人地址</w:t>
      </w:r>
      <w:r>
        <w:rPr>
          <w:rFonts w:hint="eastAsia" w:ascii="宋体" w:hAnsi="宋体" w:cs="宋体"/>
          <w:color w:val="auto"/>
          <w:szCs w:val="21"/>
          <w:highlight w:val="none"/>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承包人根据本合同条款致发包人或监理人的通知均应通过书面形式送达专用合同条款中指定的地址。</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675" w:name="_Toc16262"/>
      <w:bookmarkStart w:id="676" w:name="_Toc517531996"/>
      <w:bookmarkStart w:id="677" w:name="_Toc28591"/>
      <w:bookmarkStart w:id="678" w:name="_Toc20960"/>
      <w:bookmarkStart w:id="679" w:name="_Toc9894"/>
      <w:bookmarkStart w:id="680" w:name="_Toc4034"/>
      <w:bookmarkStart w:id="681" w:name="_Toc18533"/>
      <w:bookmarkStart w:id="682" w:name="_Toc13029"/>
      <w:bookmarkStart w:id="683" w:name="_Toc517530720"/>
      <w:bookmarkStart w:id="684" w:name="_Toc25062"/>
      <w:bookmarkStart w:id="685" w:name="_Toc18701"/>
      <w:bookmarkStart w:id="686" w:name="_Toc26603"/>
      <w:bookmarkStart w:id="687" w:name="_Toc5274"/>
      <w:bookmarkStart w:id="688" w:name="_Toc7470"/>
      <w:bookmarkStart w:id="689" w:name="_Toc8575"/>
      <w:bookmarkStart w:id="690" w:name="_Toc2499"/>
      <w:bookmarkStart w:id="691" w:name="_Toc16190"/>
      <w:bookmarkStart w:id="692" w:name="_Toc19632"/>
      <w:bookmarkStart w:id="693" w:name="_Toc14989"/>
      <w:bookmarkStart w:id="694" w:name="_Toc2080"/>
      <w:r>
        <w:rPr>
          <w:rFonts w:hint="eastAsia" w:ascii="宋体" w:hAnsi="宋体" w:cs="宋体"/>
          <w:b/>
          <w:bCs/>
          <w:color w:val="auto"/>
          <w:sz w:val="24"/>
          <w:szCs w:val="24"/>
          <w:highlight w:val="none"/>
        </w:rPr>
        <w:t>1.7.3送达地址的变更</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合同双方提前以书面形式通知对方可更改联系地址，并抄送监理人。监理人事先通知合同双方，也可更改其地址。</w:t>
      </w:r>
    </w:p>
    <w:bookmarkEnd w:id="632"/>
    <w:bookmarkEnd w:id="633"/>
    <w:bookmarkEnd w:id="634"/>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695" w:name="_Toc10143"/>
      <w:bookmarkStart w:id="696" w:name="_Toc16972"/>
      <w:bookmarkStart w:id="697" w:name="_Toc465237080"/>
      <w:bookmarkStart w:id="698" w:name="_Toc8231"/>
      <w:bookmarkStart w:id="699" w:name="_Toc6541"/>
      <w:bookmarkStart w:id="700" w:name="_Toc27061"/>
      <w:bookmarkStart w:id="701" w:name="_Toc3381"/>
      <w:bookmarkStart w:id="702" w:name="_Toc17566"/>
      <w:bookmarkStart w:id="703" w:name="_Toc23209"/>
      <w:bookmarkStart w:id="704" w:name="_Toc465237178"/>
      <w:bookmarkStart w:id="705" w:name="_Toc23290"/>
      <w:bookmarkStart w:id="706" w:name="_Toc517528649"/>
      <w:bookmarkStart w:id="707" w:name="_Toc8050"/>
      <w:bookmarkStart w:id="708" w:name="_Toc29392"/>
      <w:bookmarkStart w:id="709" w:name="_Toc517531997"/>
      <w:bookmarkStart w:id="710" w:name="_Toc14254"/>
      <w:bookmarkStart w:id="711" w:name="_Toc517530721"/>
      <w:bookmarkStart w:id="712" w:name="_Toc1088"/>
      <w:bookmarkStart w:id="713" w:name="_Toc27893"/>
      <w:bookmarkStart w:id="714" w:name="_Toc22274"/>
      <w:bookmarkStart w:id="715" w:name="_Toc7482"/>
      <w:bookmarkStart w:id="716" w:name="_Toc17724"/>
      <w:bookmarkStart w:id="717" w:name="_Toc17217"/>
      <w:bookmarkStart w:id="718" w:name="_Toc296346536"/>
      <w:bookmarkStart w:id="719" w:name="_Toc337558734"/>
      <w:bookmarkStart w:id="720" w:name="_Toc296503035"/>
      <w:r>
        <w:rPr>
          <w:rFonts w:hint="eastAsia" w:ascii="宋体" w:hAnsi="宋体" w:cs="宋体"/>
          <w:b/>
          <w:bCs/>
          <w:color w:val="auto"/>
          <w:sz w:val="28"/>
          <w:szCs w:val="28"/>
          <w:highlight w:val="none"/>
        </w:rPr>
        <w:t>1.8严禁贿赂</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反商业贿赂：如果承包人在合同实施过程中有商业贿赂或欺诈行为，用行贿、送礼或其他不正当手段企图获得或已经获得额外费用，如经查实将追究有关单位和人员的法律责任，因承包人的上述行为造成工程损害、发包人经济损失等，承包人应承担一切责任，并予赔偿。情节严重者，发包人有权终止承包人在本合同项下的承包，本合同条款第16.2条的各项规定将随之适用。本条款中</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（a）“商业贿赂行为”是指在合同履行期间，通过提供、给予、接受或索要任何财产或财产性利益或其他法律禁止的行为从而影响公职人员工作的行为；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（b）“欺诈行为”是指通过提供虚假证明材料影响合同履行从而损害发包人、业主或第三人利益的行为。</w:t>
      </w:r>
    </w:p>
    <w:bookmarkEnd w:id="718"/>
    <w:bookmarkEnd w:id="719"/>
    <w:bookmarkEnd w:id="720"/>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721" w:name="_Toc465237081"/>
      <w:bookmarkStart w:id="722" w:name="_Toc465237179"/>
      <w:bookmarkStart w:id="723" w:name="_Toc517528650"/>
      <w:bookmarkStart w:id="724" w:name="_Toc29346"/>
      <w:bookmarkStart w:id="725" w:name="_Toc23875"/>
      <w:bookmarkStart w:id="726" w:name="_Toc5007"/>
      <w:bookmarkStart w:id="727" w:name="_Toc26450"/>
      <w:bookmarkStart w:id="728" w:name="_Toc18202"/>
      <w:bookmarkStart w:id="729" w:name="_Toc3872"/>
      <w:bookmarkStart w:id="730" w:name="_Toc2614"/>
      <w:bookmarkStart w:id="731" w:name="_Toc32098"/>
      <w:bookmarkStart w:id="732" w:name="_Toc4120"/>
      <w:bookmarkStart w:id="733" w:name="_Toc3598"/>
      <w:bookmarkStart w:id="734" w:name="_Toc25"/>
      <w:bookmarkStart w:id="735" w:name="_Toc31902"/>
      <w:bookmarkStart w:id="736" w:name="_Toc3776"/>
      <w:bookmarkStart w:id="737" w:name="_Toc28920"/>
      <w:bookmarkStart w:id="738" w:name="_Toc517531998"/>
      <w:bookmarkStart w:id="739" w:name="_Toc517530722"/>
      <w:bookmarkStart w:id="740" w:name="_Toc22037"/>
      <w:bookmarkStart w:id="741" w:name="_Toc30545"/>
      <w:bookmarkStart w:id="742" w:name="_Toc1260"/>
      <w:bookmarkStart w:id="743" w:name="_Toc11120"/>
      <w:bookmarkStart w:id="744" w:name="_Toc337558735"/>
      <w:bookmarkStart w:id="745" w:name="_Toc296346537"/>
      <w:bookmarkStart w:id="746" w:name="_Toc296503036"/>
      <w:r>
        <w:rPr>
          <w:rFonts w:hint="eastAsia" w:ascii="宋体" w:hAnsi="宋体" w:cs="宋体"/>
          <w:b/>
          <w:bCs/>
          <w:color w:val="auto"/>
          <w:sz w:val="28"/>
          <w:szCs w:val="28"/>
          <w:highlight w:val="none"/>
        </w:rPr>
        <w:t>1.9文物</w:t>
      </w:r>
      <w:bookmarkEnd w:id="721"/>
      <w:bookmarkEnd w:id="722"/>
      <w:r>
        <w:rPr>
          <w:rFonts w:hint="eastAsia" w:ascii="宋体" w:hAnsi="宋体" w:cs="宋体"/>
          <w:b/>
          <w:bCs/>
          <w:color w:val="auto"/>
          <w:sz w:val="28"/>
          <w:szCs w:val="28"/>
          <w:highlight w:val="none"/>
        </w:rPr>
        <w:t>、化石与遗迹</w:t>
      </w:r>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发包人、监理人和承包人应按有关政府行政管理部门要求采取妥善的保护措施，由此增加的费用和（或）延误的工期由发包人和承包人协商后确定：</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(a)根据第7.6.1条规定承包人应得的延长工期；以及</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(b)应加到合同价格上的上述损失的费用款额。</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承包人发现文物后不及时报告或隐瞒不报，致使文物丢失或损坏的，应赔偿损失，并承担相应的法律责任。</w:t>
      </w:r>
    </w:p>
    <w:bookmarkEnd w:id="744"/>
    <w:bookmarkEnd w:id="745"/>
    <w:bookmarkEnd w:id="746"/>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747" w:name="_Toc23397"/>
      <w:bookmarkStart w:id="748" w:name="_Toc6835"/>
      <w:bookmarkStart w:id="749" w:name="_Toc11835"/>
      <w:bookmarkStart w:id="750" w:name="_Toc18023"/>
      <w:bookmarkStart w:id="751" w:name="_Toc465237082"/>
      <w:bookmarkStart w:id="752" w:name="_Toc517530723"/>
      <w:bookmarkStart w:id="753" w:name="_Toc11594"/>
      <w:bookmarkStart w:id="754" w:name="_Toc6958"/>
      <w:bookmarkStart w:id="755" w:name="_Toc29255"/>
      <w:bookmarkStart w:id="756" w:name="_Toc7892"/>
      <w:bookmarkStart w:id="757" w:name="_Toc12018"/>
      <w:bookmarkStart w:id="758" w:name="_Toc517528651"/>
      <w:bookmarkStart w:id="759" w:name="_Toc465237180"/>
      <w:bookmarkStart w:id="760" w:name="_Toc517531999"/>
      <w:bookmarkStart w:id="761" w:name="_Toc32239"/>
      <w:bookmarkStart w:id="762" w:name="_Toc28740"/>
      <w:bookmarkStart w:id="763" w:name="_Toc16600"/>
      <w:bookmarkStart w:id="764" w:name="_Toc24056"/>
      <w:bookmarkStart w:id="765" w:name="_Toc6985"/>
      <w:bookmarkStart w:id="766" w:name="_Toc18012"/>
      <w:bookmarkStart w:id="767" w:name="_Toc23806"/>
      <w:bookmarkStart w:id="768" w:name="_Toc28286"/>
      <w:bookmarkStart w:id="769" w:name="_Toc1612"/>
      <w:bookmarkStart w:id="770" w:name="_Toc337558736"/>
      <w:r>
        <w:rPr>
          <w:rFonts w:hint="eastAsia" w:ascii="宋体" w:hAnsi="宋体" w:cs="宋体"/>
          <w:b/>
          <w:bCs/>
          <w:color w:val="auto"/>
          <w:sz w:val="28"/>
          <w:szCs w:val="28"/>
          <w:highlight w:val="none"/>
        </w:rPr>
        <w:t>1.10交通运输</w:t>
      </w:r>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771" w:name="_Toc25761"/>
      <w:bookmarkStart w:id="772" w:name="_Toc32174"/>
      <w:bookmarkStart w:id="773" w:name="_Toc5240"/>
      <w:bookmarkStart w:id="774" w:name="_Toc14708"/>
      <w:bookmarkStart w:id="775" w:name="_Toc10434"/>
      <w:bookmarkStart w:id="776" w:name="_Toc15194"/>
      <w:bookmarkStart w:id="777" w:name="_Toc16352"/>
      <w:bookmarkStart w:id="778" w:name="_Toc20696"/>
      <w:bookmarkStart w:id="779" w:name="_Toc22844"/>
      <w:bookmarkStart w:id="780" w:name="_Toc20520"/>
      <w:bookmarkStart w:id="781" w:name="_Toc517530724"/>
      <w:bookmarkStart w:id="782" w:name="_Toc25833"/>
      <w:bookmarkStart w:id="783" w:name="_Toc14402"/>
      <w:bookmarkStart w:id="784" w:name="_Toc1449"/>
      <w:bookmarkStart w:id="785" w:name="_Toc7511"/>
      <w:bookmarkStart w:id="786" w:name="_Toc377"/>
      <w:bookmarkStart w:id="787" w:name="_Toc25545"/>
      <w:bookmarkStart w:id="788" w:name="_Toc17311"/>
      <w:bookmarkStart w:id="789" w:name="_Toc2923"/>
      <w:bookmarkStart w:id="790" w:name="_Toc517532000"/>
      <w:r>
        <w:rPr>
          <w:rFonts w:hint="eastAsia" w:ascii="宋体" w:hAnsi="宋体" w:cs="宋体"/>
          <w:b/>
          <w:bCs/>
          <w:color w:val="auto"/>
          <w:sz w:val="24"/>
          <w:szCs w:val="24"/>
          <w:highlight w:val="none"/>
        </w:rPr>
        <w:t>1.10.1避免损坏道路</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p>
    <w:p>
      <w:pPr>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审慎选择运输路线和运输车辆，采取前置限制和分配载运重量等一切合理措施，防止承包人或其分包人的运输车辆因超过载重限制或操作不当而损坏所通行的道路或桥梁。大型施工装备和超重件的运输，应事先取得公路管理部门的许可方能启运。如果采用上述措施后，仍超过所通行的桥梁或道路的载重限制而又必须通过时，除合同另有规定外，承包人应与公路管理部门协商，取得同意和协助，并承担所通行路线上的桥梁加固或改建、道路改线或改善及其他特殊许可的费用。发包人不承担上述费用以及由于承包人原因而引起的一切费用或赔偿责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实施和完成本合同工程及缺陷修复工作中的一切施工作业时，应保证发包人免于承担因承包人借用、占用或进出当地道路或其他交通设施所造成的损失，包括但不限于损害赔偿金、违约金、诉讼费、仲裁费、律师费等一切相关费用及损失。</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791" w:name="_Toc17530"/>
      <w:bookmarkStart w:id="792" w:name="_Toc6865"/>
      <w:bookmarkStart w:id="793" w:name="_Toc11674"/>
      <w:bookmarkStart w:id="794" w:name="_Toc4683"/>
      <w:bookmarkStart w:id="795" w:name="_Toc11642"/>
      <w:bookmarkStart w:id="796" w:name="_Toc17638"/>
      <w:bookmarkStart w:id="797" w:name="_Toc15420"/>
      <w:bookmarkStart w:id="798" w:name="_Toc16180"/>
      <w:bookmarkStart w:id="799" w:name="_Toc13223"/>
      <w:bookmarkStart w:id="800" w:name="_Toc28807"/>
      <w:bookmarkStart w:id="801" w:name="_Toc5977"/>
      <w:bookmarkStart w:id="802" w:name="_Toc25517"/>
      <w:bookmarkStart w:id="803" w:name="_Toc517530725"/>
      <w:bookmarkStart w:id="804" w:name="_Toc517532001"/>
      <w:bookmarkStart w:id="805" w:name="_Toc3626"/>
      <w:bookmarkStart w:id="806" w:name="_Toc20921"/>
      <w:bookmarkStart w:id="807" w:name="_Toc18594"/>
      <w:bookmarkStart w:id="808" w:name="_Toc20046"/>
      <w:bookmarkStart w:id="809" w:name="_Toc7656"/>
      <w:bookmarkStart w:id="810" w:name="_Toc11694"/>
      <w:r>
        <w:rPr>
          <w:rFonts w:hint="eastAsia" w:ascii="宋体" w:hAnsi="宋体" w:cs="宋体"/>
          <w:b/>
          <w:bCs/>
          <w:color w:val="auto"/>
          <w:sz w:val="24"/>
          <w:szCs w:val="24"/>
          <w:highlight w:val="none"/>
        </w:rPr>
        <w:t>1.10.2临时道路</w:t>
      </w:r>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除合同另有规定外，承包人为了出入现场和施工运输，应养护由承包人修建和使用的所有临时道路和桥梁，其费用由承包人承担。</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811" w:name="_Toc28077"/>
      <w:bookmarkStart w:id="812" w:name="_Toc22222"/>
      <w:bookmarkStart w:id="813" w:name="_Toc517532002"/>
      <w:bookmarkStart w:id="814" w:name="_Toc18911"/>
      <w:bookmarkStart w:id="815" w:name="_Toc22313"/>
      <w:bookmarkStart w:id="816" w:name="_Toc8215"/>
      <w:bookmarkStart w:id="817" w:name="_Toc6619"/>
      <w:bookmarkStart w:id="818" w:name="_Toc11245"/>
      <w:bookmarkStart w:id="819" w:name="_Toc16690"/>
      <w:bookmarkStart w:id="820" w:name="_Toc11201"/>
      <w:bookmarkStart w:id="821" w:name="_Toc11386"/>
      <w:bookmarkStart w:id="822" w:name="_Toc2573"/>
      <w:bookmarkStart w:id="823" w:name="_Toc19832"/>
      <w:bookmarkStart w:id="824" w:name="_Toc26738"/>
      <w:bookmarkStart w:id="825" w:name="_Toc23518"/>
      <w:bookmarkStart w:id="826" w:name="_Toc30877"/>
      <w:bookmarkStart w:id="827" w:name="_Toc26446"/>
      <w:bookmarkStart w:id="828" w:name="_Toc4838"/>
      <w:bookmarkStart w:id="829" w:name="_Toc517530726"/>
      <w:bookmarkStart w:id="830" w:name="_Toc4855"/>
      <w:r>
        <w:rPr>
          <w:rFonts w:hint="eastAsia" w:ascii="宋体" w:hAnsi="宋体" w:cs="宋体"/>
          <w:b/>
          <w:bCs/>
          <w:color w:val="auto"/>
          <w:sz w:val="24"/>
          <w:szCs w:val="24"/>
          <w:highlight w:val="none"/>
        </w:rPr>
        <w:t>1.10.3水运</w:t>
      </w:r>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在工程性质要求承包人使用水路运输的条件下：“道路”一词的含意包括船闸、码头、海堤或与水路有关的其他结构物；“运输车辆”包括船舶。</w:t>
      </w:r>
    </w:p>
    <w:bookmarkEnd w:id="770"/>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831" w:name="_Toc465237181"/>
      <w:bookmarkStart w:id="832" w:name="_Toc20702"/>
      <w:bookmarkStart w:id="833" w:name="_Toc517528652"/>
      <w:bookmarkStart w:id="834" w:name="_Toc24942"/>
      <w:bookmarkStart w:id="835" w:name="_Toc5677"/>
      <w:bookmarkStart w:id="836" w:name="_Toc22727"/>
      <w:bookmarkStart w:id="837" w:name="_Toc8744"/>
      <w:bookmarkStart w:id="838" w:name="_Toc465237083"/>
      <w:bookmarkStart w:id="839" w:name="_Toc31390"/>
      <w:bookmarkStart w:id="840" w:name="_Toc18207"/>
      <w:bookmarkStart w:id="841" w:name="_Toc27425"/>
      <w:bookmarkStart w:id="842" w:name="_Toc9307"/>
      <w:bookmarkStart w:id="843" w:name="_Toc517532003"/>
      <w:bookmarkStart w:id="844" w:name="_Toc26196"/>
      <w:bookmarkStart w:id="845" w:name="_Toc32571"/>
      <w:bookmarkStart w:id="846" w:name="_Toc32439"/>
      <w:bookmarkStart w:id="847" w:name="_Toc25574"/>
      <w:bookmarkStart w:id="848" w:name="_Toc6263"/>
      <w:bookmarkStart w:id="849" w:name="_Toc21009"/>
      <w:bookmarkStart w:id="850" w:name="_Toc797"/>
      <w:bookmarkStart w:id="851" w:name="_Toc9663"/>
      <w:bookmarkStart w:id="852" w:name="_Toc517530727"/>
      <w:bookmarkStart w:id="853" w:name="_Toc9892"/>
      <w:bookmarkStart w:id="854" w:name="_Toc296346538"/>
      <w:bookmarkStart w:id="855" w:name="_Toc296503037"/>
      <w:r>
        <w:rPr>
          <w:rFonts w:hint="eastAsia" w:ascii="宋体" w:hAnsi="宋体" w:cs="宋体"/>
          <w:b/>
          <w:bCs/>
          <w:color w:val="auto"/>
          <w:sz w:val="28"/>
          <w:szCs w:val="28"/>
          <w:highlight w:val="none"/>
        </w:rPr>
        <w:t>1.11知识产权</w:t>
      </w:r>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实施本合同工程和其缺陷修复过程中所采用的施工工艺、进场的装备和材料、设备等，如果因在其商标、图案、施工工艺、新材料的使用过程中发生侵犯知识产权的行为，并引起索赔或诉讼，则一切与此有关的一切费用和赔偿责任，均由承包人负责。若因此给发包人造成损失，承包人应予以赔偿，赔偿范围包括但不限于损害赔偿金、违约金、诉讼费、仲裁费、律师费等一切相关费用及损失。但凡是因遵守发包人或监理人提供的设计或规范而造成的侵权，则属例外。</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除专用合同条款另有约定外，承包人在合同签订前和签订时已确定采用的专利、专有技术、技术秘密的使用费已包含在签约合同价中。</w:t>
      </w:r>
    </w:p>
    <w:bookmarkEnd w:id="854"/>
    <w:bookmarkEnd w:id="855"/>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856" w:name="_Toc351203509"/>
      <w:bookmarkStart w:id="857" w:name="_Toc23113"/>
      <w:bookmarkStart w:id="858" w:name="_Toc9323"/>
      <w:bookmarkStart w:id="859" w:name="_Toc517530728"/>
      <w:bookmarkStart w:id="860" w:name="_Toc8940"/>
      <w:bookmarkStart w:id="861" w:name="_Toc5320"/>
      <w:bookmarkStart w:id="862" w:name="_Toc6976"/>
      <w:bookmarkStart w:id="863" w:name="_Toc517532004"/>
      <w:bookmarkStart w:id="864" w:name="_Toc23202"/>
      <w:bookmarkStart w:id="865" w:name="_Toc4727"/>
      <w:bookmarkStart w:id="866" w:name="_Toc517529735"/>
      <w:bookmarkStart w:id="867" w:name="_Toc465237084"/>
      <w:bookmarkStart w:id="868" w:name="_Toc517528653"/>
      <w:bookmarkStart w:id="869" w:name="_Toc25625"/>
      <w:bookmarkStart w:id="870" w:name="_Toc6607"/>
      <w:bookmarkStart w:id="871" w:name="_Toc21858"/>
      <w:bookmarkStart w:id="872" w:name="_Toc397"/>
      <w:bookmarkStart w:id="873" w:name="_Toc4803"/>
      <w:bookmarkStart w:id="874" w:name="_Toc1130"/>
      <w:bookmarkStart w:id="875" w:name="_Toc2891"/>
      <w:bookmarkStart w:id="876" w:name="_Toc11109"/>
      <w:bookmarkStart w:id="877" w:name="_Toc7208"/>
      <w:bookmarkStart w:id="878" w:name="_Toc465237182"/>
      <w:bookmarkStart w:id="879" w:name="_Toc8749"/>
      <w:bookmarkStart w:id="880" w:name="_Toc29911"/>
      <w:bookmarkStart w:id="881" w:name="_Toc296503038"/>
      <w:bookmarkStart w:id="882" w:name="_Toc337558739"/>
      <w:bookmarkStart w:id="883" w:name="_Toc296346539"/>
      <w:bookmarkStart w:id="884" w:name="OLE_LINK1"/>
      <w:bookmarkStart w:id="885" w:name="OLE_LINK2"/>
      <w:r>
        <w:rPr>
          <w:rFonts w:hint="eastAsia" w:ascii="宋体" w:hAnsi="宋体" w:cs="宋体"/>
          <w:b/>
          <w:bCs/>
          <w:color w:val="auto"/>
          <w:sz w:val="30"/>
          <w:szCs w:val="30"/>
          <w:highlight w:val="none"/>
        </w:rPr>
        <w:t>2.</w:t>
      </w:r>
      <w:bookmarkEnd w:id="856"/>
      <w:r>
        <w:rPr>
          <w:rFonts w:hint="eastAsia" w:ascii="宋体" w:hAnsi="宋体" w:cs="宋体"/>
          <w:b/>
          <w:bCs/>
          <w:color w:val="auto"/>
          <w:sz w:val="30"/>
          <w:szCs w:val="30"/>
          <w:highlight w:val="none"/>
        </w:rPr>
        <w:t xml:space="preserve"> 发包人</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p>
    <w:bookmarkEnd w:id="881"/>
    <w:bookmarkEnd w:id="882"/>
    <w:bookmarkEnd w:id="883"/>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886" w:name="_Toc465237183"/>
      <w:bookmarkStart w:id="887" w:name="_Toc2890"/>
      <w:bookmarkStart w:id="888" w:name="_Toc465237085"/>
      <w:bookmarkStart w:id="889" w:name="_Toc11682"/>
      <w:bookmarkStart w:id="890" w:name="_Toc460"/>
      <w:bookmarkStart w:id="891" w:name="_Toc20086"/>
      <w:bookmarkStart w:id="892" w:name="_Toc19412"/>
      <w:bookmarkStart w:id="893" w:name="_Toc8336"/>
      <w:bookmarkStart w:id="894" w:name="_Toc27660"/>
      <w:bookmarkStart w:id="895" w:name="_Toc186"/>
      <w:bookmarkStart w:id="896" w:name="_Toc26930"/>
      <w:bookmarkStart w:id="897" w:name="_Toc10845"/>
      <w:bookmarkStart w:id="898" w:name="_Toc21977"/>
      <w:bookmarkStart w:id="899" w:name="_Toc6657"/>
      <w:bookmarkStart w:id="900" w:name="_Toc6970"/>
      <w:bookmarkStart w:id="901" w:name="_Toc517530729"/>
      <w:bookmarkStart w:id="902" w:name="_Toc517528654"/>
      <w:bookmarkStart w:id="903" w:name="_Toc11157"/>
      <w:bookmarkStart w:id="904" w:name="_Toc21747"/>
      <w:bookmarkStart w:id="905" w:name="_Toc18998"/>
      <w:bookmarkStart w:id="906" w:name="_Toc517532005"/>
      <w:bookmarkStart w:id="907" w:name="_Toc20037"/>
      <w:bookmarkStart w:id="908" w:name="_Toc10454"/>
      <w:bookmarkStart w:id="909" w:name="_Toc337558740"/>
      <w:bookmarkStart w:id="910" w:name="_Toc296503039"/>
      <w:bookmarkStart w:id="911" w:name="_Toc296346540"/>
      <w:r>
        <w:rPr>
          <w:rFonts w:hint="eastAsia" w:ascii="宋体" w:hAnsi="宋体" w:cs="宋体"/>
          <w:b/>
          <w:bCs/>
          <w:color w:val="auto"/>
          <w:sz w:val="28"/>
          <w:szCs w:val="28"/>
          <w:highlight w:val="none"/>
        </w:rPr>
        <w:t>2.1</w:t>
      </w:r>
      <w:bookmarkEnd w:id="886"/>
      <w:bookmarkEnd w:id="887"/>
      <w:bookmarkEnd w:id="888"/>
      <w:bookmarkEnd w:id="889"/>
      <w:bookmarkEnd w:id="890"/>
      <w:bookmarkEnd w:id="891"/>
      <w:bookmarkEnd w:id="892"/>
      <w:bookmarkEnd w:id="893"/>
      <w:bookmarkEnd w:id="894"/>
      <w:bookmarkEnd w:id="895"/>
      <w:bookmarkEnd w:id="896"/>
      <w:r>
        <w:rPr>
          <w:rFonts w:hint="eastAsia" w:ascii="宋体" w:hAnsi="宋体" w:cs="宋体"/>
          <w:b/>
          <w:bCs/>
          <w:color w:val="auto"/>
          <w:sz w:val="28"/>
          <w:szCs w:val="28"/>
          <w:highlight w:val="none"/>
        </w:rPr>
        <w:t>许可或批准</w:t>
      </w:r>
      <w:bookmarkEnd w:id="897"/>
      <w:bookmarkEnd w:id="898"/>
      <w:bookmarkEnd w:id="899"/>
      <w:bookmarkEnd w:id="900"/>
      <w:bookmarkEnd w:id="901"/>
      <w:bookmarkEnd w:id="902"/>
      <w:bookmarkEnd w:id="903"/>
      <w:bookmarkEnd w:id="904"/>
      <w:bookmarkEnd w:id="905"/>
      <w:bookmarkEnd w:id="906"/>
      <w:bookmarkEnd w:id="907"/>
      <w:bookmarkEnd w:id="90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发包人应遵守法律，并办理法律规定由其办理的许可、批准或备案，包括但不限于建设用地规划许可证、建设工程规划许可证、建设工程施工许可证、施工所需的其他许可和批准。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发包人应协助承包人办理法律规定的有关施工证件和批件。</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912" w:name="_Toc517530730"/>
      <w:bookmarkStart w:id="913" w:name="_Toc21500"/>
      <w:bookmarkStart w:id="914" w:name="_Toc28801"/>
      <w:bookmarkStart w:id="915" w:name="_Toc2654"/>
      <w:bookmarkStart w:id="916" w:name="_Toc517528655"/>
      <w:bookmarkStart w:id="917" w:name="_Toc28845"/>
      <w:bookmarkStart w:id="918" w:name="_Toc13514"/>
      <w:bookmarkStart w:id="919" w:name="_Toc5397"/>
      <w:bookmarkStart w:id="920" w:name="_Toc10134"/>
      <w:bookmarkStart w:id="921" w:name="_Toc20898"/>
      <w:bookmarkStart w:id="922" w:name="_Toc31453"/>
      <w:bookmarkStart w:id="923" w:name="_Toc517532006"/>
      <w:r>
        <w:rPr>
          <w:rFonts w:hint="eastAsia" w:ascii="宋体" w:hAnsi="宋体" w:cs="宋体"/>
          <w:b/>
          <w:bCs/>
          <w:color w:val="auto"/>
          <w:sz w:val="28"/>
          <w:szCs w:val="28"/>
          <w:highlight w:val="none"/>
        </w:rPr>
        <w:t>2.2项目主任</w:t>
      </w:r>
      <w:bookmarkEnd w:id="912"/>
      <w:bookmarkEnd w:id="913"/>
      <w:bookmarkEnd w:id="914"/>
      <w:bookmarkEnd w:id="915"/>
      <w:bookmarkEnd w:id="916"/>
      <w:bookmarkEnd w:id="917"/>
      <w:bookmarkEnd w:id="918"/>
      <w:bookmarkEnd w:id="919"/>
      <w:bookmarkEnd w:id="920"/>
      <w:bookmarkEnd w:id="921"/>
      <w:bookmarkEnd w:id="922"/>
      <w:bookmarkEnd w:id="923"/>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项目主任为发包人派驻施工现场履行合同的代表。项目主任的职权：</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（a）审批工程设计变更；</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（b）批准承包人项目经理及有关人员的调换；</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（c）参与工程质量、安全、投资、进度的管理及各有关协作单位的协调；</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（d）参与审核工程进度款的支付和确认工程结算款；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（e）其它。</w:t>
      </w:r>
    </w:p>
    <w:bookmarkEnd w:id="884"/>
    <w:bookmarkEnd w:id="885"/>
    <w:bookmarkEnd w:id="909"/>
    <w:bookmarkEnd w:id="910"/>
    <w:bookmarkEnd w:id="911"/>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924" w:name="_Toc13605"/>
      <w:bookmarkStart w:id="925" w:name="_Toc9759"/>
      <w:bookmarkStart w:id="926" w:name="_Toc16823"/>
      <w:bookmarkStart w:id="927" w:name="_Toc9075"/>
      <w:bookmarkStart w:id="928" w:name="_Toc10022"/>
      <w:bookmarkStart w:id="929" w:name="_Toc30299"/>
      <w:bookmarkStart w:id="930" w:name="_Toc517532007"/>
      <w:bookmarkStart w:id="931" w:name="_Toc25895"/>
      <w:bookmarkStart w:id="932" w:name="_Toc6631"/>
      <w:bookmarkStart w:id="933" w:name="_Toc30731"/>
      <w:bookmarkStart w:id="934" w:name="_Toc517528656"/>
      <w:bookmarkStart w:id="935" w:name="_Toc11351"/>
      <w:bookmarkStart w:id="936" w:name="_Toc26440"/>
      <w:bookmarkStart w:id="937" w:name="_Toc4261"/>
      <w:bookmarkStart w:id="938" w:name="_Toc2323"/>
      <w:bookmarkStart w:id="939" w:name="_Toc5416"/>
      <w:bookmarkStart w:id="940" w:name="_Toc7287"/>
      <w:bookmarkStart w:id="941" w:name="_Toc517530731"/>
      <w:bookmarkStart w:id="942" w:name="_Toc13557"/>
      <w:bookmarkStart w:id="943" w:name="_Toc24823"/>
      <w:bookmarkStart w:id="944" w:name="_Toc7316"/>
      <w:bookmarkStart w:id="945" w:name="_Toc465237186"/>
      <w:bookmarkStart w:id="946" w:name="_Toc465237088"/>
      <w:r>
        <w:rPr>
          <w:rFonts w:hint="eastAsia" w:ascii="宋体" w:hAnsi="宋体" w:cs="宋体"/>
          <w:b/>
          <w:bCs/>
          <w:color w:val="auto"/>
          <w:sz w:val="28"/>
          <w:szCs w:val="28"/>
          <w:highlight w:val="none"/>
        </w:rPr>
        <w:t>2.3履约评价</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发包人《合同履约评价管理办法》及《合同履约评价实施细则》的有关规定，在本工程履约过程中，发包人将对承包人进行履约评价，评价结果将影响承包人在工务署（包含直属单位）负责建设的其他项目的投标。</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947" w:name="_Toc29927"/>
      <w:bookmarkStart w:id="948" w:name="_Toc517528657"/>
      <w:bookmarkStart w:id="949" w:name="_Toc517532008"/>
      <w:bookmarkStart w:id="950" w:name="_Toc32074"/>
      <w:bookmarkStart w:id="951" w:name="_Toc8360"/>
      <w:bookmarkStart w:id="952" w:name="_Toc4901"/>
      <w:bookmarkStart w:id="953" w:name="_Toc31520"/>
      <w:bookmarkStart w:id="954" w:name="_Toc30810"/>
      <w:bookmarkStart w:id="955" w:name="_Toc15805"/>
      <w:bookmarkStart w:id="956" w:name="_Toc16737"/>
      <w:bookmarkStart w:id="957" w:name="_Toc517530732"/>
      <w:bookmarkStart w:id="958" w:name="_Toc21739"/>
      <w:r>
        <w:rPr>
          <w:rFonts w:hint="eastAsia" w:ascii="宋体" w:hAnsi="宋体" w:cs="宋体"/>
          <w:b/>
          <w:bCs/>
          <w:color w:val="auto"/>
          <w:sz w:val="28"/>
          <w:szCs w:val="28"/>
          <w:highlight w:val="none"/>
        </w:rPr>
        <w:t>2.4支付合同价款</w:t>
      </w:r>
      <w:bookmarkEnd w:id="947"/>
      <w:bookmarkEnd w:id="948"/>
      <w:bookmarkEnd w:id="949"/>
      <w:bookmarkEnd w:id="950"/>
      <w:bookmarkEnd w:id="951"/>
      <w:bookmarkEnd w:id="952"/>
      <w:bookmarkEnd w:id="953"/>
      <w:bookmarkEnd w:id="954"/>
      <w:bookmarkEnd w:id="955"/>
      <w:bookmarkEnd w:id="956"/>
      <w:bookmarkEnd w:id="957"/>
      <w:bookmarkEnd w:id="958"/>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发包人应按合同约定向承包人支付合同价款。</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959" w:name="_Toc517528658"/>
      <w:bookmarkStart w:id="960" w:name="_Toc61"/>
      <w:bookmarkStart w:id="961" w:name="_Toc517532009"/>
      <w:bookmarkStart w:id="962" w:name="_Toc21783"/>
      <w:bookmarkStart w:id="963" w:name="_Toc9181"/>
      <w:bookmarkStart w:id="964" w:name="_Toc22381"/>
      <w:bookmarkStart w:id="965" w:name="_Toc9286"/>
      <w:bookmarkStart w:id="966" w:name="_Toc517530733"/>
      <w:bookmarkStart w:id="967" w:name="_Toc32285"/>
      <w:bookmarkStart w:id="968" w:name="_Toc28033"/>
      <w:bookmarkStart w:id="969" w:name="_Toc2700"/>
      <w:bookmarkStart w:id="970" w:name="_Toc3572"/>
      <w:r>
        <w:rPr>
          <w:rFonts w:hint="eastAsia" w:ascii="宋体" w:hAnsi="宋体" w:cs="宋体"/>
          <w:b/>
          <w:bCs/>
          <w:color w:val="auto"/>
          <w:sz w:val="28"/>
          <w:szCs w:val="28"/>
          <w:highlight w:val="none"/>
        </w:rPr>
        <w:t>2.5组织竣工验收</w:t>
      </w:r>
      <w:bookmarkEnd w:id="959"/>
      <w:bookmarkEnd w:id="960"/>
      <w:bookmarkEnd w:id="961"/>
      <w:bookmarkEnd w:id="962"/>
      <w:bookmarkEnd w:id="963"/>
      <w:bookmarkEnd w:id="964"/>
      <w:bookmarkEnd w:id="965"/>
      <w:bookmarkEnd w:id="966"/>
      <w:bookmarkEnd w:id="967"/>
      <w:bookmarkEnd w:id="968"/>
      <w:bookmarkEnd w:id="969"/>
      <w:bookmarkEnd w:id="970"/>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发包人应按合同约定及时组织竣工验收。</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971" w:name="_Toc5432"/>
      <w:bookmarkStart w:id="972" w:name="_Toc19923"/>
      <w:bookmarkStart w:id="973" w:name="_Toc5935"/>
      <w:bookmarkStart w:id="974" w:name="_Toc9555"/>
      <w:bookmarkStart w:id="975" w:name="_Toc27995"/>
      <w:bookmarkStart w:id="976" w:name="_Toc517528659"/>
      <w:bookmarkStart w:id="977" w:name="_Toc13167"/>
      <w:bookmarkStart w:id="978" w:name="_Toc5418"/>
      <w:bookmarkStart w:id="979" w:name="_Toc517530734"/>
      <w:bookmarkStart w:id="980" w:name="_Toc517532010"/>
      <w:bookmarkStart w:id="981" w:name="_Toc6002"/>
      <w:r>
        <w:rPr>
          <w:rFonts w:hint="eastAsia" w:ascii="宋体" w:hAnsi="宋体" w:cs="宋体"/>
          <w:b/>
          <w:bCs/>
          <w:color w:val="auto"/>
          <w:sz w:val="28"/>
          <w:szCs w:val="28"/>
          <w:highlight w:val="none"/>
        </w:rPr>
        <w:t>2.6支付担保的提交与退还</w:t>
      </w:r>
      <w:bookmarkEnd w:id="971"/>
      <w:bookmarkEnd w:id="972"/>
      <w:bookmarkEnd w:id="973"/>
      <w:bookmarkEnd w:id="974"/>
      <w:bookmarkEnd w:id="975"/>
      <w:bookmarkEnd w:id="976"/>
      <w:bookmarkEnd w:id="977"/>
      <w:bookmarkEnd w:id="978"/>
      <w:bookmarkEnd w:id="979"/>
      <w:bookmarkEnd w:id="980"/>
      <w:bookmarkEnd w:id="98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发包人在承包人提交履约担保的同时，向承包人提供本工程支付担保。支付担保的提交与退还按照专用条款的约定执行。</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982" w:name="_Toc351203518"/>
      <w:bookmarkStart w:id="983" w:name="_Toc4273"/>
      <w:bookmarkStart w:id="984" w:name="_Toc11278"/>
      <w:bookmarkStart w:id="985" w:name="_Toc517528660"/>
      <w:bookmarkStart w:id="986" w:name="_Toc32500"/>
      <w:bookmarkStart w:id="987" w:name="_Toc19659"/>
      <w:bookmarkStart w:id="988" w:name="_Toc27152"/>
      <w:bookmarkStart w:id="989" w:name="_Toc517530735"/>
      <w:bookmarkStart w:id="990" w:name="_Toc16258"/>
      <w:bookmarkStart w:id="991" w:name="_Toc28188"/>
      <w:bookmarkStart w:id="992" w:name="_Toc57"/>
      <w:bookmarkStart w:id="993" w:name="_Toc2398"/>
      <w:bookmarkStart w:id="994" w:name="_Toc18387"/>
      <w:bookmarkStart w:id="995" w:name="_Toc22015"/>
      <w:bookmarkStart w:id="996" w:name="_Toc15181"/>
      <w:bookmarkStart w:id="997" w:name="_Toc517532011"/>
      <w:bookmarkStart w:id="998" w:name="_Toc19231"/>
      <w:bookmarkStart w:id="999" w:name="_Toc465237187"/>
      <w:bookmarkStart w:id="1000" w:name="_Toc19455"/>
      <w:bookmarkStart w:id="1001" w:name="_Toc517529736"/>
      <w:bookmarkStart w:id="1002" w:name="_Toc3398"/>
      <w:bookmarkStart w:id="1003" w:name="_Toc465237089"/>
      <w:bookmarkStart w:id="1004" w:name="_Toc27071"/>
      <w:bookmarkStart w:id="1005" w:name="_Toc22881"/>
      <w:bookmarkStart w:id="1006" w:name="_Toc24310"/>
      <w:bookmarkStart w:id="1007" w:name="_Toc337558746"/>
      <w:bookmarkStart w:id="1008" w:name="_Toc296346546"/>
      <w:bookmarkStart w:id="1009" w:name="_Toc296503045"/>
      <w:r>
        <w:rPr>
          <w:rFonts w:hint="eastAsia" w:ascii="宋体" w:hAnsi="宋体" w:cs="宋体"/>
          <w:b/>
          <w:bCs/>
          <w:color w:val="auto"/>
          <w:sz w:val="30"/>
          <w:szCs w:val="30"/>
          <w:highlight w:val="none"/>
        </w:rPr>
        <w:t>3.</w:t>
      </w:r>
      <w:bookmarkEnd w:id="982"/>
      <w:r>
        <w:rPr>
          <w:rFonts w:hint="eastAsia" w:ascii="宋体" w:hAnsi="宋体" w:cs="宋体"/>
          <w:b/>
          <w:bCs/>
          <w:color w:val="auto"/>
          <w:sz w:val="30"/>
          <w:szCs w:val="30"/>
          <w:highlight w:val="none"/>
        </w:rPr>
        <w:t xml:space="preserve"> 承包人</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p>
    <w:bookmarkEnd w:id="1007"/>
    <w:bookmarkEnd w:id="1008"/>
    <w:bookmarkEnd w:id="1009"/>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010" w:name="_Toc7695"/>
      <w:bookmarkStart w:id="1011" w:name="_Toc18718"/>
      <w:bookmarkStart w:id="1012" w:name="_Toc1158"/>
      <w:bookmarkStart w:id="1013" w:name="_Toc14367"/>
      <w:bookmarkStart w:id="1014" w:name="_Toc262"/>
      <w:bookmarkStart w:id="1015" w:name="_Toc23624"/>
      <w:bookmarkStart w:id="1016" w:name="_Toc23168"/>
      <w:bookmarkStart w:id="1017" w:name="_Toc465237090"/>
      <w:bookmarkStart w:id="1018" w:name="_Toc3617"/>
      <w:bookmarkStart w:id="1019" w:name="_Toc517532012"/>
      <w:bookmarkStart w:id="1020" w:name="_Toc517530736"/>
      <w:bookmarkStart w:id="1021" w:name="_Toc30748"/>
      <w:bookmarkStart w:id="1022" w:name="_Toc26991"/>
      <w:bookmarkStart w:id="1023" w:name="_Toc5412"/>
      <w:bookmarkStart w:id="1024" w:name="_Toc30856"/>
      <w:bookmarkStart w:id="1025" w:name="_Toc517528661"/>
      <w:bookmarkStart w:id="1026" w:name="_Toc18975"/>
      <w:bookmarkStart w:id="1027" w:name="_Toc26355"/>
      <w:bookmarkStart w:id="1028" w:name="_Toc11031"/>
      <w:bookmarkStart w:id="1029" w:name="_Toc3832"/>
      <w:bookmarkStart w:id="1030" w:name="_Toc465237188"/>
      <w:bookmarkStart w:id="1031" w:name="_Toc27066"/>
      <w:bookmarkStart w:id="1032" w:name="_Toc25154"/>
      <w:bookmarkStart w:id="1033" w:name="_Toc296503046"/>
      <w:bookmarkStart w:id="1034" w:name="_Toc296346547"/>
      <w:bookmarkStart w:id="1035" w:name="_Toc337558747"/>
      <w:r>
        <w:rPr>
          <w:rFonts w:hint="eastAsia" w:ascii="宋体" w:hAnsi="宋体" w:cs="宋体"/>
          <w:b/>
          <w:bCs/>
          <w:color w:val="auto"/>
          <w:sz w:val="28"/>
          <w:szCs w:val="28"/>
          <w:highlight w:val="none"/>
        </w:rPr>
        <w:t>3.1 承包人的一般义务</w:t>
      </w:r>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036" w:name="_Toc13296"/>
      <w:bookmarkStart w:id="1037" w:name="_Toc11754"/>
      <w:bookmarkStart w:id="1038" w:name="_Toc29809"/>
      <w:bookmarkStart w:id="1039" w:name="_Toc16919"/>
      <w:bookmarkStart w:id="1040" w:name="_Toc517532013"/>
      <w:bookmarkStart w:id="1041" w:name="_Toc23352"/>
      <w:bookmarkStart w:id="1042" w:name="_Toc2333"/>
      <w:bookmarkStart w:id="1043" w:name="_Toc18086"/>
      <w:bookmarkStart w:id="1044" w:name="_Toc25602"/>
      <w:bookmarkStart w:id="1045" w:name="_Toc28454"/>
      <w:bookmarkStart w:id="1046" w:name="_Toc21815"/>
      <w:bookmarkStart w:id="1047" w:name="_Toc25586"/>
      <w:bookmarkStart w:id="1048" w:name="_Toc17437"/>
      <w:bookmarkStart w:id="1049" w:name="_Toc1757"/>
      <w:bookmarkStart w:id="1050" w:name="_Toc20423"/>
      <w:bookmarkStart w:id="1051" w:name="_Toc26792"/>
      <w:bookmarkStart w:id="1052" w:name="_Toc6186"/>
      <w:bookmarkStart w:id="1053" w:name="_Toc517530737"/>
      <w:bookmarkStart w:id="1054" w:name="_Toc21559"/>
      <w:bookmarkStart w:id="1055" w:name="_Toc19419"/>
      <w:r>
        <w:rPr>
          <w:rFonts w:hint="eastAsia" w:ascii="宋体" w:hAnsi="宋体" w:cs="宋体"/>
          <w:b/>
          <w:bCs/>
          <w:color w:val="auto"/>
          <w:sz w:val="24"/>
          <w:szCs w:val="24"/>
          <w:highlight w:val="none"/>
        </w:rPr>
        <w:t>3.1.1签署合同协议书</w:t>
      </w:r>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承包人应签订并履行合同协议书，该协议书采用招标文件所附格式。</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056" w:name="_Toc25002"/>
      <w:bookmarkStart w:id="1057" w:name="_Toc2083"/>
      <w:bookmarkStart w:id="1058" w:name="_Toc27720"/>
      <w:bookmarkStart w:id="1059" w:name="_Toc517530738"/>
      <w:bookmarkStart w:id="1060" w:name="_Toc155"/>
      <w:bookmarkStart w:id="1061" w:name="_Toc25598"/>
      <w:bookmarkStart w:id="1062" w:name="_Toc8587"/>
      <w:bookmarkStart w:id="1063" w:name="_Toc9746"/>
      <w:bookmarkStart w:id="1064" w:name="_Toc16867"/>
      <w:bookmarkStart w:id="1065" w:name="_Toc2278"/>
      <w:bookmarkStart w:id="1066" w:name="_Toc20574"/>
      <w:bookmarkStart w:id="1067" w:name="_Toc25847"/>
      <w:bookmarkStart w:id="1068" w:name="_Toc20317"/>
      <w:bookmarkStart w:id="1069" w:name="_Toc6513"/>
      <w:bookmarkStart w:id="1070" w:name="_Toc107"/>
      <w:bookmarkStart w:id="1071" w:name="_Toc517532014"/>
      <w:bookmarkStart w:id="1072" w:name="_Toc15538"/>
      <w:bookmarkStart w:id="1073" w:name="_Toc30718"/>
      <w:bookmarkStart w:id="1074" w:name="_Toc32289"/>
      <w:bookmarkStart w:id="1075" w:name="_Toc4250"/>
      <w:r>
        <w:rPr>
          <w:rFonts w:hint="eastAsia" w:ascii="宋体" w:hAnsi="宋体" w:cs="宋体"/>
          <w:b/>
          <w:bCs/>
          <w:color w:val="auto"/>
          <w:sz w:val="24"/>
          <w:szCs w:val="24"/>
          <w:highlight w:val="none"/>
        </w:rPr>
        <w:t>3.1.2合同文件中的差错</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查阅合同文件或在本合同工程实施过程中，应尽到合理的注意义务，其有责任对工程设计、技术规范与补充技术规范、图纸或其他资料进行复核，如发现其中有任何差错、遗漏或缺陷，应在其有关的单项工程开工前及时书面通知监理人，否则承包人对其应能发现但未能发现的错误造成工程的损失应承担相应的责任。监理人在接到承包人上述通知后，应立即就此作出决定，并通知承包人，抄送发包人。</w:t>
      </w:r>
    </w:p>
    <w:bookmarkEnd w:id="1033"/>
    <w:bookmarkEnd w:id="1034"/>
    <w:bookmarkEnd w:id="1035"/>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076" w:name="_Toc19284"/>
      <w:bookmarkStart w:id="1077" w:name="_Toc22587"/>
      <w:bookmarkStart w:id="1078" w:name="_Toc15382"/>
      <w:bookmarkStart w:id="1079" w:name="_Toc8447"/>
      <w:bookmarkStart w:id="1080" w:name="_Toc23800"/>
      <w:bookmarkStart w:id="1081" w:name="_Toc4347"/>
      <w:bookmarkStart w:id="1082" w:name="_Toc14675"/>
      <w:bookmarkStart w:id="1083" w:name="_Toc19125"/>
      <w:bookmarkStart w:id="1084" w:name="_Toc199"/>
      <w:bookmarkStart w:id="1085" w:name="_Toc25950"/>
      <w:bookmarkStart w:id="1086" w:name="_Toc517532015"/>
      <w:bookmarkStart w:id="1087" w:name="_Toc21750"/>
      <w:bookmarkStart w:id="1088" w:name="_Toc19101"/>
      <w:bookmarkStart w:id="1089" w:name="_Toc29547"/>
      <w:bookmarkStart w:id="1090" w:name="_Toc9278"/>
      <w:bookmarkStart w:id="1091" w:name="_Toc8843"/>
      <w:bookmarkStart w:id="1092" w:name="_Toc517530739"/>
      <w:bookmarkStart w:id="1093" w:name="_Toc25351"/>
      <w:bookmarkStart w:id="1094" w:name="_Toc811"/>
      <w:bookmarkStart w:id="1095" w:name="_Toc31055"/>
      <w:r>
        <w:rPr>
          <w:rFonts w:hint="eastAsia" w:ascii="宋体" w:hAnsi="宋体" w:cs="宋体"/>
          <w:b/>
          <w:bCs/>
          <w:color w:val="auto"/>
          <w:sz w:val="24"/>
          <w:szCs w:val="24"/>
          <w:highlight w:val="none"/>
        </w:rPr>
        <w:t>3.1.3设计与施工</w:t>
      </w:r>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keepNext/>
        <w:keepLines/>
        <w:spacing w:line="360" w:lineRule="auto"/>
        <w:ind w:firstLine="422" w:firstLineChars="200"/>
        <w:outlineLvl w:val="4"/>
        <w:rPr>
          <w:rFonts w:hint="eastAsia" w:ascii="宋体" w:hAnsi="宋体" w:cs="宋体"/>
          <w:b/>
          <w:bCs/>
          <w:color w:val="auto"/>
          <w:szCs w:val="21"/>
          <w:highlight w:val="none"/>
        </w:rPr>
      </w:pPr>
      <w:bookmarkStart w:id="1096" w:name="_Toc517532016"/>
      <w:bookmarkStart w:id="1097" w:name="_Toc517530740"/>
      <w:r>
        <w:rPr>
          <w:rFonts w:hint="eastAsia" w:ascii="宋体" w:hAnsi="宋体" w:cs="宋体"/>
          <w:b/>
          <w:bCs/>
          <w:color w:val="auto"/>
          <w:szCs w:val="21"/>
          <w:highlight w:val="none"/>
        </w:rPr>
        <w:t>（1）承包人的一般责任</w:t>
      </w:r>
      <w:bookmarkEnd w:id="1096"/>
      <w:bookmarkEnd w:id="109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根据合同的各项规定，承包人应负责做好合同规定的设计（如有），精心组织施工，按时完成本合同工程及其缺陷的修复。为此，承包人应提供所需的全部监督管理、劳务、材料、设备、施工装备和其他物品。</w:t>
      </w:r>
    </w:p>
    <w:p>
      <w:pPr>
        <w:keepNext/>
        <w:keepLines/>
        <w:spacing w:line="360" w:lineRule="auto"/>
        <w:ind w:firstLine="422" w:firstLineChars="200"/>
        <w:outlineLvl w:val="4"/>
        <w:rPr>
          <w:rFonts w:hint="eastAsia" w:ascii="宋体" w:hAnsi="宋体" w:cs="宋体"/>
          <w:b/>
          <w:bCs/>
          <w:color w:val="auto"/>
          <w:szCs w:val="21"/>
          <w:highlight w:val="none"/>
        </w:rPr>
      </w:pPr>
      <w:bookmarkStart w:id="1098" w:name="_Toc517532017"/>
      <w:bookmarkStart w:id="1099" w:name="_Toc517530741"/>
      <w:r>
        <w:rPr>
          <w:rFonts w:hint="eastAsia" w:ascii="宋体" w:hAnsi="宋体" w:cs="宋体"/>
          <w:b/>
          <w:bCs/>
          <w:color w:val="auto"/>
          <w:szCs w:val="21"/>
          <w:highlight w:val="none"/>
        </w:rPr>
        <w:t>（2）现场作业和施工方法</w:t>
      </w:r>
      <w:bookmarkEnd w:id="1098"/>
      <w:bookmarkEnd w:id="109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对全部现场作业和施工方法的适应、稳妥和安全性承担全部责任。但是，承包人对于非由其负责的永久工程和临时工程的设计与规范，不应承担责任（另有协议者除外）。如果合同明确规定部分永久工程由承包人设计，则即使有监理人的批准，承包人仍应对该部分永久工程负全部责任。</w:t>
      </w:r>
    </w:p>
    <w:p>
      <w:pPr>
        <w:keepNext/>
        <w:keepLines/>
        <w:spacing w:line="360" w:lineRule="auto"/>
        <w:ind w:firstLine="422" w:firstLineChars="200"/>
        <w:outlineLvl w:val="4"/>
        <w:rPr>
          <w:rFonts w:hint="eastAsia" w:ascii="宋体" w:hAnsi="宋体" w:cs="宋体"/>
          <w:b/>
          <w:bCs/>
          <w:color w:val="auto"/>
          <w:szCs w:val="21"/>
          <w:highlight w:val="none"/>
        </w:rPr>
      </w:pPr>
      <w:bookmarkStart w:id="1100" w:name="_Toc517532018"/>
      <w:bookmarkStart w:id="1101" w:name="_Toc517530742"/>
      <w:r>
        <w:rPr>
          <w:rFonts w:hint="eastAsia" w:ascii="宋体" w:hAnsi="宋体" w:cs="宋体"/>
          <w:b/>
          <w:bCs/>
          <w:color w:val="auto"/>
          <w:szCs w:val="21"/>
          <w:highlight w:val="none"/>
        </w:rPr>
        <w:t>（3）承包人设计的永久工程</w:t>
      </w:r>
      <w:bookmarkEnd w:id="1100"/>
      <w:bookmarkEnd w:id="110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如果合同规定部分永久工程由承包人设计或要求承包人完成施工图设计，则承包人应向监理人提交并要求批准以下文件：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(a)为使该永久工程达到符合合同约定的标准而需要的图纸、技术规范、计算书和其他资料；</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(b)安装设备的使用和维护手册。</w:t>
      </w:r>
    </w:p>
    <w:p>
      <w:pPr>
        <w:keepNext/>
        <w:keepLines/>
        <w:spacing w:line="360" w:lineRule="auto"/>
        <w:ind w:firstLine="422" w:firstLineChars="200"/>
        <w:outlineLvl w:val="4"/>
        <w:rPr>
          <w:rFonts w:hint="eastAsia" w:ascii="宋体" w:hAnsi="宋体" w:cs="宋体"/>
          <w:b/>
          <w:bCs/>
          <w:color w:val="auto"/>
          <w:szCs w:val="21"/>
          <w:highlight w:val="none"/>
        </w:rPr>
      </w:pPr>
      <w:bookmarkStart w:id="1102" w:name="_Toc517530743"/>
      <w:bookmarkStart w:id="1103" w:name="_Toc517532019"/>
      <w:r>
        <w:rPr>
          <w:rFonts w:hint="eastAsia" w:ascii="宋体" w:hAnsi="宋体" w:cs="宋体"/>
          <w:b/>
          <w:bCs/>
          <w:color w:val="auto"/>
          <w:szCs w:val="21"/>
          <w:highlight w:val="none"/>
        </w:rPr>
        <w:t>（4）批准不影响责任</w:t>
      </w:r>
      <w:bookmarkEnd w:id="1102"/>
      <w:bookmarkEnd w:id="1103"/>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承包人应对其进行的临时工程或永久工程的设计负责；监理人根据第3.1.3条规定的批准不应解除或减轻承包人对合同所负的任何责任。</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104" w:name="_Toc31006"/>
      <w:bookmarkStart w:id="1105" w:name="_Toc18401"/>
      <w:bookmarkStart w:id="1106" w:name="_Toc28137"/>
      <w:bookmarkStart w:id="1107" w:name="_Toc6950"/>
      <w:bookmarkStart w:id="1108" w:name="_Toc9504"/>
      <w:bookmarkStart w:id="1109" w:name="_Toc25788"/>
      <w:bookmarkStart w:id="1110" w:name="_Toc29786"/>
      <w:bookmarkStart w:id="1111" w:name="_Toc517532020"/>
      <w:bookmarkStart w:id="1112" w:name="_Toc22681"/>
      <w:bookmarkStart w:id="1113" w:name="_Toc517530744"/>
      <w:bookmarkStart w:id="1114" w:name="_Toc28154"/>
      <w:bookmarkStart w:id="1115" w:name="_Toc12766"/>
      <w:bookmarkStart w:id="1116" w:name="_Toc3893"/>
      <w:bookmarkStart w:id="1117" w:name="_Toc864"/>
      <w:bookmarkStart w:id="1118" w:name="_Toc10383"/>
      <w:bookmarkStart w:id="1119" w:name="_Toc4512"/>
      <w:bookmarkStart w:id="1120" w:name="_Toc25782"/>
      <w:bookmarkStart w:id="1121" w:name="_Toc17257"/>
      <w:bookmarkStart w:id="1122" w:name="_Toc2987"/>
      <w:r>
        <w:rPr>
          <w:rFonts w:hint="eastAsia" w:ascii="宋体" w:hAnsi="宋体" w:cs="宋体"/>
          <w:b/>
          <w:bCs/>
          <w:color w:val="auto"/>
          <w:sz w:val="24"/>
          <w:szCs w:val="24"/>
          <w:highlight w:val="none"/>
        </w:rPr>
        <w:t>3.1.4为其他承包人提供方便</w:t>
      </w:r>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如果监理人有书面要求，承包人应该：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(a)允许发包人或与发包人签订了承包合同的其他承包人及其职工使用由承包人负责维护的临时道路、桥梁等；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(b)为上述人员提供其他合理服务。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承包人不得以此提出任何形式的增加费用的要求。</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123" w:name="_Toc1500"/>
      <w:bookmarkStart w:id="1124" w:name="_Toc9985"/>
      <w:bookmarkStart w:id="1125" w:name="_Toc11841"/>
      <w:bookmarkStart w:id="1126" w:name="_Toc517530745"/>
      <w:bookmarkStart w:id="1127" w:name="_Toc23082"/>
      <w:bookmarkStart w:id="1128" w:name="_Toc30420"/>
      <w:bookmarkStart w:id="1129" w:name="_Toc7065"/>
      <w:bookmarkStart w:id="1130" w:name="_Toc517532021"/>
      <w:bookmarkStart w:id="1131" w:name="_Toc30962"/>
      <w:bookmarkStart w:id="1132" w:name="_Toc22819"/>
      <w:bookmarkStart w:id="1133" w:name="_Toc18554"/>
      <w:bookmarkStart w:id="1134" w:name="_Toc30252"/>
      <w:bookmarkStart w:id="1135" w:name="_Toc2603"/>
      <w:bookmarkStart w:id="1136" w:name="_Toc23675"/>
      <w:bookmarkStart w:id="1137" w:name="_Toc16363"/>
      <w:bookmarkStart w:id="1138" w:name="_Toc26495"/>
      <w:bookmarkStart w:id="1139" w:name="_Toc15488"/>
      <w:bookmarkStart w:id="1140" w:name="_Toc20524"/>
      <w:bookmarkStart w:id="1141" w:name="_Toc32325"/>
      <w:r>
        <w:rPr>
          <w:rFonts w:hint="eastAsia" w:ascii="宋体" w:hAnsi="宋体" w:cs="宋体"/>
          <w:b/>
          <w:bCs/>
          <w:color w:val="auto"/>
          <w:sz w:val="24"/>
          <w:szCs w:val="24"/>
          <w:highlight w:val="none"/>
        </w:rPr>
        <w:t>3.1.5施工干扰</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施工过程中，应尽量避免给其他承包人造成施工干扰。凡涉及与相邻合同段不可避免的施工干扰问题，由监理人统筹协调解决，承包人必须服从监理人有关裁决。当与相邻合同段不可避免的施工干扰问题产生时，承包人应相互理解并尽可能为相邻合同段提供便利条件，承包人不得以此提出任何形式的费用增加。</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142" w:name="_Toc12297"/>
      <w:bookmarkStart w:id="1143" w:name="_Toc7430"/>
      <w:bookmarkStart w:id="1144" w:name="_Toc3846"/>
      <w:bookmarkStart w:id="1145" w:name="_Toc13521"/>
      <w:bookmarkStart w:id="1146" w:name="_Toc10356"/>
      <w:bookmarkStart w:id="1147" w:name="_Toc4004"/>
      <w:bookmarkStart w:id="1148" w:name="_Toc24150"/>
      <w:bookmarkStart w:id="1149" w:name="_Toc32067"/>
      <w:bookmarkStart w:id="1150" w:name="_Toc25557"/>
      <w:bookmarkStart w:id="1151" w:name="_Toc13157"/>
      <w:bookmarkStart w:id="1152" w:name="_Toc8262"/>
      <w:bookmarkStart w:id="1153" w:name="_Toc15"/>
      <w:bookmarkStart w:id="1154" w:name="_Toc517532022"/>
      <w:bookmarkStart w:id="1155" w:name="_Toc19566"/>
      <w:bookmarkStart w:id="1156" w:name="_Toc7889"/>
      <w:bookmarkStart w:id="1157" w:name="_Toc517530746"/>
      <w:bookmarkStart w:id="1158" w:name="_Toc2030"/>
      <w:bookmarkStart w:id="1159" w:name="_Toc24868"/>
      <w:bookmarkStart w:id="1160" w:name="_Toc30140"/>
      <w:r>
        <w:rPr>
          <w:rFonts w:hint="eastAsia" w:ascii="宋体" w:hAnsi="宋体" w:cs="宋体"/>
          <w:b/>
          <w:bCs/>
          <w:color w:val="auto"/>
          <w:sz w:val="24"/>
          <w:szCs w:val="24"/>
          <w:highlight w:val="none"/>
        </w:rPr>
        <w:t>3.1.6职业健康</w:t>
      </w:r>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承包人应按法律规定安排工作时间，保证其雇佣人员享有休息和休假的权利。</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161" w:name="_Toc28395"/>
      <w:bookmarkStart w:id="1162" w:name="_Toc1061"/>
      <w:bookmarkStart w:id="1163" w:name="_Toc14328"/>
      <w:bookmarkStart w:id="1164" w:name="_Toc23973"/>
      <w:bookmarkStart w:id="1165" w:name="_Toc517532023"/>
      <w:bookmarkStart w:id="1166" w:name="_Toc17871"/>
      <w:bookmarkStart w:id="1167" w:name="_Toc5431"/>
      <w:bookmarkStart w:id="1168" w:name="_Toc19887"/>
      <w:bookmarkStart w:id="1169" w:name="_Toc633"/>
      <w:bookmarkStart w:id="1170" w:name="_Toc31725"/>
      <w:bookmarkStart w:id="1171" w:name="_Toc8684"/>
      <w:bookmarkStart w:id="1172" w:name="_Toc517530747"/>
      <w:bookmarkStart w:id="1173" w:name="_Toc14868"/>
      <w:bookmarkStart w:id="1174" w:name="_Toc16915"/>
      <w:bookmarkStart w:id="1175" w:name="_Toc23899"/>
      <w:bookmarkStart w:id="1176" w:name="_Toc1858"/>
      <w:bookmarkStart w:id="1177" w:name="_Toc22683"/>
      <w:bookmarkStart w:id="1178" w:name="_Toc7458"/>
      <w:bookmarkStart w:id="1179" w:name="_Toc20006"/>
      <w:bookmarkStart w:id="1180" w:name="_Toc5246"/>
      <w:r>
        <w:rPr>
          <w:rFonts w:hint="eastAsia" w:ascii="宋体" w:hAnsi="宋体" w:cs="宋体"/>
          <w:b/>
          <w:bCs/>
          <w:color w:val="auto"/>
          <w:sz w:val="24"/>
          <w:szCs w:val="24"/>
          <w:highlight w:val="none"/>
        </w:rPr>
        <w:t>3.1.7遵守法令规章</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承包人在实施和完成本合同工程及其缺陷修复的全过程中，应该：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(a)遵守国家或所在省（自治区、直辖市）颁布的法律、法令、条例及当地的有关规定；</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(b)遵守有关部门（如铁路、交通、水利、电力、通讯等）的规章、细则等，不因此使本合同工程的实施或缺陷的修复而受到影响。</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保障发包人免于承担由于承包人违反任何上述规定而产生的各种罚款和责任；但发包人也应在承包人开始施工前办妥施工所需的各种证件、批件和有关申请报批手续，取得必须的许可，保障承包人免于承担由于发包人未履行上述义务而产生的各种罚款和责任。否则，双方应各自为其行为负责。</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181" w:name="_Toc28926"/>
      <w:bookmarkStart w:id="1182" w:name="_Toc14398"/>
      <w:bookmarkStart w:id="1183" w:name="_Toc4755"/>
      <w:bookmarkStart w:id="1184" w:name="_Toc23137"/>
      <w:bookmarkStart w:id="1185" w:name="_Toc4302"/>
      <w:bookmarkStart w:id="1186" w:name="_Toc20480"/>
      <w:bookmarkStart w:id="1187" w:name="_Toc517530748"/>
      <w:bookmarkStart w:id="1188" w:name="_Toc21383"/>
      <w:bookmarkStart w:id="1189" w:name="_Toc23443"/>
      <w:bookmarkStart w:id="1190" w:name="_Toc7736"/>
      <w:bookmarkStart w:id="1191" w:name="_Toc27676"/>
      <w:bookmarkStart w:id="1192" w:name="_Toc395"/>
      <w:bookmarkStart w:id="1193" w:name="_Toc20622"/>
      <w:bookmarkStart w:id="1194" w:name="_Toc27767"/>
      <w:bookmarkStart w:id="1195" w:name="_Toc517532024"/>
      <w:bookmarkStart w:id="1196" w:name="_Toc7626"/>
      <w:bookmarkStart w:id="1197" w:name="_Toc15630"/>
      <w:bookmarkStart w:id="1198" w:name="_Toc24301"/>
      <w:bookmarkStart w:id="1199" w:name="_Toc13019"/>
      <w:bookmarkStart w:id="1200" w:name="_Toc24133"/>
      <w:r>
        <w:rPr>
          <w:rFonts w:hint="eastAsia" w:ascii="宋体" w:hAnsi="宋体" w:cs="宋体"/>
          <w:b/>
          <w:bCs/>
          <w:color w:val="auto"/>
          <w:sz w:val="24"/>
          <w:szCs w:val="24"/>
          <w:highlight w:val="none"/>
        </w:rPr>
        <w:t>3.1.8纳税和缴费</w:t>
      </w:r>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除合同另有规定外，按照法律、法规、规章及规范性文件的规定，承包人或其分包人需缴纳的一切税费，均应由承包人或其分包人承担并支付。</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201" w:name="_Toc517530749"/>
      <w:bookmarkStart w:id="1202" w:name="_Toc17857"/>
      <w:bookmarkStart w:id="1203" w:name="_Toc3956"/>
      <w:bookmarkStart w:id="1204" w:name="_Toc5147"/>
      <w:bookmarkStart w:id="1205" w:name="_Toc26557"/>
      <w:bookmarkStart w:id="1206" w:name="_Toc1232"/>
      <w:bookmarkStart w:id="1207" w:name="_Toc30029"/>
      <w:bookmarkStart w:id="1208" w:name="_Toc26108"/>
      <w:bookmarkStart w:id="1209" w:name="_Toc29548"/>
      <w:bookmarkStart w:id="1210" w:name="_Toc27565"/>
      <w:bookmarkStart w:id="1211" w:name="_Toc29479"/>
      <w:bookmarkStart w:id="1212" w:name="_Toc11765"/>
      <w:bookmarkStart w:id="1213" w:name="_Toc517532025"/>
      <w:bookmarkStart w:id="1214" w:name="_Toc17869"/>
      <w:bookmarkStart w:id="1215" w:name="_Toc3307"/>
      <w:bookmarkStart w:id="1216" w:name="_Toc5818"/>
      <w:bookmarkStart w:id="1217" w:name="_Toc5687"/>
      <w:bookmarkStart w:id="1218" w:name="_Toc4219"/>
      <w:bookmarkStart w:id="1219" w:name="_Toc31788"/>
      <w:r>
        <w:rPr>
          <w:rFonts w:hint="eastAsia" w:ascii="宋体" w:hAnsi="宋体" w:cs="宋体"/>
          <w:b/>
          <w:bCs/>
          <w:color w:val="auto"/>
          <w:sz w:val="24"/>
          <w:szCs w:val="24"/>
          <w:highlight w:val="none"/>
        </w:rPr>
        <w:t>3.1.9专项基金缴纳</w:t>
      </w:r>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总承包招标项目的承包人应按照有关行业管理部门的规定缴交新型墙体材料专项基金和散装水泥专项基金，由承包人在竣工验收后规定时间内向有关部门申请办理返退。</w:t>
      </w:r>
    </w:p>
    <w:p>
      <w:pPr>
        <w:keepNext/>
        <w:keepLines/>
        <w:adjustRightInd/>
        <w:snapToGrid/>
        <w:spacing w:before="156" w:beforeLines="50" w:after="156" w:afterLines="50" w:line="360" w:lineRule="auto"/>
        <w:ind w:firstLine="728" w:firstLineChars="0"/>
        <w:jc w:val="left"/>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3.1.10 用工培训</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⑴承包人应切实履行用工主体责任，按照《深圳市工程建设行业产业工人职业训练管理办法》等有关规定计取和使用产业工人职业训练专项经费及开展产业工人职业训练。承包人应对产业工人职业训练专项经费实行专款专用，并妥善保存经费使用情况相关资料。承包人依法将建设工程分包的，应与分包人就经费使用在分包合同中约定。发包人应对经费使用进行监督。</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⑵承包人应按照《深圳市工程建设行业产业工人职业训练管理办法》制定产业工人训练计划，组织工人参加质量安全基础训练，妥善保存产业工人年度训练计划、职业训练管理和实施情况相关资料。</w:t>
      </w:r>
    </w:p>
    <w:p>
      <w:pPr>
        <w:pStyle w:val="6"/>
        <w:rPr>
          <w:rFonts w:hint="eastAsia"/>
          <w:color w:val="auto"/>
          <w:highlight w:val="none"/>
        </w:rPr>
      </w:pP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220" w:name="_Toc28302"/>
      <w:bookmarkStart w:id="1221" w:name="_Toc465237091"/>
      <w:bookmarkStart w:id="1222" w:name="_Toc465237189"/>
      <w:bookmarkStart w:id="1223" w:name="_Toc7953"/>
      <w:bookmarkStart w:id="1224" w:name="_Toc32198"/>
      <w:bookmarkStart w:id="1225" w:name="_Toc12527"/>
      <w:bookmarkStart w:id="1226" w:name="_Toc1557"/>
      <w:bookmarkStart w:id="1227" w:name="_Toc29040"/>
      <w:bookmarkStart w:id="1228" w:name="_Toc517532026"/>
      <w:bookmarkStart w:id="1229" w:name="_Toc24801"/>
      <w:bookmarkStart w:id="1230" w:name="_Toc517528662"/>
      <w:bookmarkStart w:id="1231" w:name="_Toc28109"/>
      <w:bookmarkStart w:id="1232" w:name="_Toc10112"/>
      <w:bookmarkStart w:id="1233" w:name="_Toc9962"/>
      <w:bookmarkStart w:id="1234" w:name="_Toc32243"/>
      <w:bookmarkStart w:id="1235" w:name="_Toc682"/>
      <w:bookmarkStart w:id="1236" w:name="_Toc517530750"/>
      <w:bookmarkStart w:id="1237" w:name="_Toc819"/>
      <w:bookmarkStart w:id="1238" w:name="_Toc27489"/>
      <w:bookmarkStart w:id="1239" w:name="_Toc16431"/>
      <w:bookmarkStart w:id="1240" w:name="_Toc14423"/>
      <w:bookmarkStart w:id="1241" w:name="_Toc8510"/>
      <w:bookmarkStart w:id="1242" w:name="_Toc3615"/>
      <w:r>
        <w:rPr>
          <w:rFonts w:hint="eastAsia" w:ascii="宋体" w:hAnsi="宋体" w:cs="宋体"/>
          <w:b/>
          <w:bCs/>
          <w:color w:val="auto"/>
          <w:sz w:val="28"/>
          <w:szCs w:val="28"/>
          <w:highlight w:val="none"/>
        </w:rPr>
        <w:t xml:space="preserve">3.2 </w:t>
      </w:r>
      <w:bookmarkEnd w:id="1220"/>
      <w:bookmarkEnd w:id="1221"/>
      <w:bookmarkEnd w:id="1222"/>
      <w:r>
        <w:rPr>
          <w:rFonts w:hint="eastAsia" w:ascii="宋体" w:hAnsi="宋体" w:cs="宋体"/>
          <w:b/>
          <w:bCs/>
          <w:color w:val="auto"/>
          <w:sz w:val="28"/>
          <w:szCs w:val="28"/>
          <w:highlight w:val="none"/>
        </w:rPr>
        <w:t>项目经理</w:t>
      </w:r>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243" w:name="_Toc23151"/>
      <w:bookmarkStart w:id="1244" w:name="_Toc17993"/>
      <w:bookmarkStart w:id="1245" w:name="_Toc15022"/>
      <w:bookmarkStart w:id="1246" w:name="_Toc2332"/>
      <w:bookmarkStart w:id="1247" w:name="_Toc26136"/>
      <w:bookmarkStart w:id="1248" w:name="_Toc26382"/>
      <w:bookmarkStart w:id="1249" w:name="_Toc517532027"/>
      <w:bookmarkStart w:id="1250" w:name="_Toc14672"/>
      <w:bookmarkStart w:id="1251" w:name="_Toc31959"/>
      <w:bookmarkStart w:id="1252" w:name="_Toc1490"/>
      <w:bookmarkStart w:id="1253" w:name="_Toc24650"/>
      <w:bookmarkStart w:id="1254" w:name="_Toc27157"/>
      <w:bookmarkStart w:id="1255" w:name="_Toc7631"/>
      <w:bookmarkStart w:id="1256" w:name="_Toc517530751"/>
      <w:bookmarkStart w:id="1257" w:name="_Toc12184"/>
      <w:bookmarkStart w:id="1258" w:name="_Toc11063"/>
      <w:bookmarkStart w:id="1259" w:name="_Toc20005"/>
      <w:bookmarkStart w:id="1260" w:name="_Toc5068"/>
      <w:bookmarkStart w:id="1261" w:name="_Toc10153"/>
      <w:bookmarkStart w:id="1262" w:name="_Toc5632"/>
      <w:r>
        <w:rPr>
          <w:rFonts w:hint="eastAsia" w:ascii="宋体" w:hAnsi="宋体" w:cs="宋体"/>
          <w:b/>
          <w:bCs/>
          <w:color w:val="auto"/>
          <w:sz w:val="24"/>
          <w:szCs w:val="24"/>
          <w:highlight w:val="none"/>
        </w:rPr>
        <w:t>3.2.1</w:t>
      </w:r>
      <w:bookmarkEnd w:id="1243"/>
      <w:r>
        <w:rPr>
          <w:rFonts w:hint="eastAsia" w:ascii="宋体" w:hAnsi="宋体" w:cs="宋体"/>
          <w:b/>
          <w:bCs/>
          <w:color w:val="auto"/>
          <w:sz w:val="24"/>
          <w:szCs w:val="24"/>
          <w:highlight w:val="none"/>
        </w:rPr>
        <w:t>项目经理的职责</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项目经理应为合同当事人所确认的人选，并在合同专用条款中明确项目经理的姓名、职称、注册执业证书编号、联系方式及授权范围等事项。项目经理经承包人授权后代表承包人负责履行合同。项目经理应是承包人正式聘用的职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经理应常驻施工现场，且每月在施工现场时间不得少于专用合同条款约定的天数。项目经理确需离开施工现场时，应事先通知监理人，并取得发包人的书面同意。项目经理的通知中应载明临时代行其职责的人员的注册执业资格、管理经验等资料，该人员应具备履行相应职责的能力。</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承包人违反上述约定的，应按照专用合同条款的约定承担违约责任。</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263" w:name="_Toc29387"/>
      <w:bookmarkStart w:id="1264" w:name="_Toc4697"/>
      <w:bookmarkStart w:id="1265" w:name="_Toc15200"/>
      <w:bookmarkStart w:id="1266" w:name="_Toc28519"/>
      <w:bookmarkStart w:id="1267" w:name="_Toc12594"/>
      <w:bookmarkStart w:id="1268" w:name="_Toc29175"/>
      <w:bookmarkStart w:id="1269" w:name="_Toc6210"/>
      <w:bookmarkStart w:id="1270" w:name="_Toc13428"/>
      <w:bookmarkStart w:id="1271" w:name="_Toc17209"/>
      <w:bookmarkStart w:id="1272" w:name="_Toc21734"/>
      <w:bookmarkStart w:id="1273" w:name="_Toc5794"/>
      <w:bookmarkStart w:id="1274" w:name="_Toc17071"/>
      <w:bookmarkStart w:id="1275" w:name="_Toc1279"/>
      <w:bookmarkStart w:id="1276" w:name="_Toc4337"/>
      <w:bookmarkStart w:id="1277" w:name="_Toc5238"/>
      <w:bookmarkStart w:id="1278" w:name="_Toc517532028"/>
      <w:bookmarkStart w:id="1279" w:name="_Toc517530752"/>
      <w:bookmarkStart w:id="1280" w:name="_Toc2924"/>
      <w:bookmarkStart w:id="1281" w:name="_Toc4454"/>
      <w:r>
        <w:rPr>
          <w:rFonts w:hint="eastAsia" w:ascii="宋体" w:hAnsi="宋体" w:cs="宋体"/>
          <w:b/>
          <w:bCs/>
          <w:color w:val="auto"/>
          <w:sz w:val="24"/>
          <w:szCs w:val="24"/>
          <w:highlight w:val="none"/>
        </w:rPr>
        <w:t>3.2.2紧急情况的处置</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282" w:name="_Toc28076"/>
      <w:bookmarkStart w:id="1283" w:name="_Toc19651"/>
      <w:bookmarkStart w:id="1284" w:name="_Toc24888"/>
      <w:bookmarkStart w:id="1285" w:name="_Toc517530753"/>
      <w:bookmarkStart w:id="1286" w:name="_Toc754"/>
      <w:bookmarkStart w:id="1287" w:name="_Toc32474"/>
      <w:bookmarkStart w:id="1288" w:name="_Toc22636"/>
      <w:bookmarkStart w:id="1289" w:name="_Toc16906"/>
      <w:bookmarkStart w:id="1290" w:name="_Toc517532029"/>
      <w:bookmarkStart w:id="1291" w:name="_Toc25164"/>
      <w:bookmarkStart w:id="1292" w:name="_Toc6723"/>
      <w:bookmarkStart w:id="1293" w:name="_Toc25783"/>
      <w:bookmarkStart w:id="1294" w:name="_Toc10629"/>
      <w:bookmarkStart w:id="1295" w:name="_Toc13466"/>
      <w:bookmarkStart w:id="1296" w:name="_Toc16138"/>
      <w:bookmarkStart w:id="1297" w:name="_Toc16048"/>
      <w:bookmarkStart w:id="1298" w:name="_Toc20417"/>
      <w:bookmarkStart w:id="1299" w:name="_Toc30799"/>
      <w:bookmarkStart w:id="1300" w:name="_Toc21051"/>
      <w:r>
        <w:rPr>
          <w:rFonts w:hint="eastAsia" w:ascii="宋体" w:hAnsi="宋体" w:cs="宋体"/>
          <w:b/>
          <w:bCs/>
          <w:color w:val="auto"/>
          <w:sz w:val="24"/>
          <w:szCs w:val="24"/>
          <w:highlight w:val="none"/>
        </w:rPr>
        <w:t>3.2.3项目经理的更换</w:t>
      </w:r>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需要更换投标文件附表所报项目经理或项目技术负责人名单，应事先与监理人协商并取得发包人的同意。如果监理人认为已委派的项目经理或项目技术负责人的工作能力和业务水平不能胜任履行合同义务经发包人同意而需要撤换时，承包人应在接到通知14天内，尽快撤回委派的项目经理或项目技术负责人，同时委派一名新的经发包人与监理人同意的项目经理或项目技术负责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项目经理的更换按照专用条款相关约定执行。</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301" w:name="_Toc28094"/>
      <w:bookmarkStart w:id="1302" w:name="_Toc517532030"/>
      <w:bookmarkStart w:id="1303" w:name="_Toc8159"/>
      <w:bookmarkStart w:id="1304" w:name="_Toc10507"/>
      <w:bookmarkStart w:id="1305" w:name="_Toc517528663"/>
      <w:bookmarkStart w:id="1306" w:name="_Toc22172"/>
      <w:bookmarkStart w:id="1307" w:name="_Toc3241"/>
      <w:bookmarkStart w:id="1308" w:name="_Toc18990"/>
      <w:bookmarkStart w:id="1309" w:name="_Toc10749"/>
      <w:bookmarkStart w:id="1310" w:name="_Toc29597"/>
      <w:bookmarkStart w:id="1311" w:name="_Toc29331"/>
      <w:bookmarkStart w:id="1312" w:name="_Toc32604"/>
      <w:bookmarkStart w:id="1313" w:name="_Toc23895"/>
      <w:bookmarkStart w:id="1314" w:name="_Toc25373"/>
      <w:bookmarkStart w:id="1315" w:name="_Toc17830"/>
      <w:bookmarkStart w:id="1316" w:name="_Toc26949"/>
      <w:bookmarkStart w:id="1317" w:name="_Toc14760"/>
      <w:bookmarkStart w:id="1318" w:name="_Toc517530754"/>
      <w:bookmarkStart w:id="1319" w:name="_Toc32682"/>
      <w:bookmarkStart w:id="1320" w:name="_Toc25497"/>
      <w:r>
        <w:rPr>
          <w:rFonts w:hint="eastAsia" w:ascii="宋体" w:hAnsi="宋体" w:cs="宋体"/>
          <w:b/>
          <w:bCs/>
          <w:color w:val="auto"/>
          <w:sz w:val="28"/>
          <w:szCs w:val="28"/>
          <w:highlight w:val="none"/>
        </w:rPr>
        <w:t>3.3 承包人人员</w:t>
      </w:r>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321" w:name="_Toc10100"/>
      <w:bookmarkStart w:id="1322" w:name="_Toc7265"/>
      <w:bookmarkStart w:id="1323" w:name="_Toc20297"/>
      <w:bookmarkStart w:id="1324" w:name="_Toc2280"/>
      <w:bookmarkStart w:id="1325" w:name="_Toc6143"/>
      <w:bookmarkStart w:id="1326" w:name="_Toc23828"/>
      <w:bookmarkStart w:id="1327" w:name="_Toc22789"/>
      <w:bookmarkStart w:id="1328" w:name="_Toc2584"/>
      <w:bookmarkStart w:id="1329" w:name="_Toc32743"/>
      <w:bookmarkStart w:id="1330" w:name="_Toc3506"/>
      <w:bookmarkStart w:id="1331" w:name="_Toc9368"/>
      <w:bookmarkStart w:id="1332" w:name="_Toc16376"/>
      <w:bookmarkStart w:id="1333" w:name="_Toc517530755"/>
      <w:bookmarkStart w:id="1334" w:name="_Toc11626"/>
      <w:bookmarkStart w:id="1335" w:name="_Toc7835"/>
      <w:bookmarkStart w:id="1336" w:name="_Toc32645"/>
      <w:bookmarkStart w:id="1337" w:name="_Toc10021"/>
      <w:bookmarkStart w:id="1338" w:name="_Toc517532031"/>
      <w:bookmarkStart w:id="1339" w:name="_Toc17548"/>
      <w:bookmarkStart w:id="1340" w:name="_Toc337558749"/>
      <w:r>
        <w:rPr>
          <w:rFonts w:hint="eastAsia" w:ascii="宋体" w:hAnsi="宋体" w:cs="宋体"/>
          <w:b/>
          <w:bCs/>
          <w:color w:val="auto"/>
          <w:sz w:val="24"/>
          <w:szCs w:val="24"/>
          <w:highlight w:val="none"/>
        </w:rPr>
        <w:t>3.3.1职工的聘（雇）用</w:t>
      </w:r>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合同另有规定外，承包人应自行聘（雇）用当地或其他来源的职员和工人，并负责支付上述人员的工资（包括住宿及交通等费用），以及进场和退场的一切费用。承包人聘（雇）员应到在当地注册的劳务部门办理手续，并与其聘（雇）用的员工订立劳动合同（劳务合同）。承包人应当及时、审慎地处理其聘用或雇用的人员因本合同工程与承包人发生的劳动（劳务）纠纷，避免给发包人造成困扰或损失。</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承包人不得从为发包人或监理人服务的人员中招聘雇员或工人。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承包人不得以任何发包人的责任为理由延期支付上述人员的工资。</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341" w:name="_Toc2741"/>
      <w:bookmarkStart w:id="1342" w:name="_Toc16992"/>
      <w:bookmarkStart w:id="1343" w:name="_Toc26857"/>
      <w:bookmarkStart w:id="1344" w:name="_Toc25113"/>
      <w:bookmarkStart w:id="1345" w:name="_Toc12397"/>
      <w:bookmarkStart w:id="1346" w:name="_Toc26403"/>
      <w:bookmarkStart w:id="1347" w:name="_Toc517530756"/>
      <w:bookmarkStart w:id="1348" w:name="_Toc6922"/>
      <w:bookmarkStart w:id="1349" w:name="_Toc28746"/>
      <w:bookmarkStart w:id="1350" w:name="_Toc22637"/>
      <w:bookmarkStart w:id="1351" w:name="_Toc9177"/>
      <w:bookmarkStart w:id="1352" w:name="_Toc14855"/>
      <w:bookmarkStart w:id="1353" w:name="_Toc14239"/>
      <w:bookmarkStart w:id="1354" w:name="_Toc517532032"/>
      <w:bookmarkStart w:id="1355" w:name="_Toc32613"/>
      <w:bookmarkStart w:id="1356" w:name="_Toc7926"/>
      <w:bookmarkStart w:id="1357" w:name="_Toc13243"/>
      <w:bookmarkStart w:id="1358" w:name="_Toc17468"/>
      <w:bookmarkStart w:id="1359" w:name="_Toc9020"/>
      <w:r>
        <w:rPr>
          <w:rFonts w:hint="eastAsia" w:ascii="宋体" w:hAnsi="宋体" w:cs="宋体"/>
          <w:b/>
          <w:bCs/>
          <w:color w:val="auto"/>
          <w:sz w:val="24"/>
          <w:szCs w:val="24"/>
          <w:highlight w:val="none"/>
        </w:rPr>
        <w:t>3.3.2承包人的职工</w:t>
      </w:r>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承包人应向现场派遣或雇用为实施和完成本合同工程及其缺陷的修复而需要的人员：</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(a)在本行业中技术熟练、经验丰富的各类专业技术人员和有能力进行施工管理、指导作业的工长；</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(b)适应本工程需要的各类熟练技工、半熟练技工和普通工。</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360" w:name="_Toc8208"/>
      <w:bookmarkStart w:id="1361" w:name="_Toc517532033"/>
      <w:bookmarkStart w:id="1362" w:name="_Toc16618"/>
      <w:bookmarkStart w:id="1363" w:name="_Toc8689"/>
      <w:bookmarkStart w:id="1364" w:name="_Toc20780"/>
      <w:bookmarkStart w:id="1365" w:name="_Toc3813"/>
      <w:bookmarkStart w:id="1366" w:name="_Toc10059"/>
      <w:bookmarkStart w:id="1367" w:name="_Toc517530757"/>
      <w:bookmarkStart w:id="1368" w:name="_Toc7527"/>
      <w:bookmarkStart w:id="1369" w:name="_Toc246"/>
      <w:bookmarkStart w:id="1370" w:name="_Toc29689"/>
      <w:bookmarkStart w:id="1371" w:name="_Toc29909"/>
      <w:bookmarkStart w:id="1372" w:name="_Toc17207"/>
      <w:bookmarkStart w:id="1373" w:name="_Toc8216"/>
      <w:bookmarkStart w:id="1374" w:name="_Toc27506"/>
      <w:bookmarkStart w:id="1375" w:name="_Toc7698"/>
      <w:bookmarkStart w:id="1376" w:name="_Toc990"/>
      <w:bookmarkStart w:id="1377" w:name="_Toc20910"/>
      <w:bookmarkStart w:id="1378" w:name="_Toc18188"/>
      <w:r>
        <w:rPr>
          <w:rFonts w:hint="eastAsia" w:ascii="宋体" w:hAnsi="宋体" w:cs="宋体"/>
          <w:b/>
          <w:bCs/>
          <w:color w:val="auto"/>
          <w:sz w:val="24"/>
          <w:szCs w:val="24"/>
          <w:highlight w:val="none"/>
        </w:rPr>
        <w:t>3.3.3承包人人员及装备统计</w:t>
      </w:r>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监理人提出要求，承包人应向监理人提交一份详细的统计表，其格式和提交的间隔时间应符合监理人的规定。该表应填报承包人在现场的各类职员和各个工种、等级的工人人数，以及监理人要求的有关承包人装备等资料。</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379" w:name="_Toc7362"/>
      <w:bookmarkStart w:id="1380" w:name="_Toc9545"/>
      <w:bookmarkStart w:id="1381" w:name="_Toc10830"/>
      <w:bookmarkStart w:id="1382" w:name="_Toc29335"/>
      <w:bookmarkStart w:id="1383" w:name="_Toc6654"/>
      <w:bookmarkStart w:id="1384" w:name="_Toc517532034"/>
      <w:bookmarkStart w:id="1385" w:name="_Toc23240"/>
      <w:bookmarkStart w:id="1386" w:name="_Toc32109"/>
      <w:bookmarkStart w:id="1387" w:name="_Toc28798"/>
      <w:bookmarkStart w:id="1388" w:name="_Toc30237"/>
      <w:bookmarkStart w:id="1389" w:name="_Toc14927"/>
      <w:bookmarkStart w:id="1390" w:name="_Toc15945"/>
      <w:bookmarkStart w:id="1391" w:name="_Toc11834"/>
      <w:bookmarkStart w:id="1392" w:name="_Toc23761"/>
      <w:bookmarkStart w:id="1393" w:name="_Toc18061"/>
      <w:bookmarkStart w:id="1394" w:name="_Toc28007"/>
      <w:bookmarkStart w:id="1395" w:name="_Toc517530758"/>
      <w:bookmarkStart w:id="1396" w:name="_Toc22342"/>
      <w:bookmarkStart w:id="1397" w:name="_Toc32370"/>
      <w:r>
        <w:rPr>
          <w:rFonts w:hint="eastAsia" w:ascii="宋体" w:hAnsi="宋体" w:cs="宋体"/>
          <w:b/>
          <w:bCs/>
          <w:color w:val="auto"/>
          <w:sz w:val="24"/>
          <w:szCs w:val="24"/>
          <w:highlight w:val="none"/>
        </w:rPr>
        <w:t>3.3.4承包人人员的更换与撤换</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监理人或发包人有权要求承包人撤换由其派遣或雇用的那些工作不能胜任、玩忽职守、工作不负责任的其他人员。已被撤换的人员未经监理人同意不得重新回到本合同工程工作。</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398" w:name="_Toc517530759"/>
      <w:bookmarkStart w:id="1399" w:name="_Toc18756"/>
      <w:bookmarkStart w:id="1400" w:name="_Toc4800"/>
      <w:bookmarkStart w:id="1401" w:name="_Toc23377"/>
      <w:bookmarkStart w:id="1402" w:name="_Toc23318"/>
      <w:bookmarkStart w:id="1403" w:name="_Toc13397"/>
      <w:bookmarkStart w:id="1404" w:name="_Toc3792"/>
      <w:bookmarkStart w:id="1405" w:name="_Toc429"/>
      <w:bookmarkStart w:id="1406" w:name="_Toc26884"/>
      <w:bookmarkStart w:id="1407" w:name="_Toc29043"/>
      <w:bookmarkStart w:id="1408" w:name="_Toc29935"/>
      <w:bookmarkStart w:id="1409" w:name="_Toc16080"/>
      <w:bookmarkStart w:id="1410" w:name="_Toc14384"/>
      <w:bookmarkStart w:id="1411" w:name="_Toc3442"/>
      <w:bookmarkStart w:id="1412" w:name="_Toc19123"/>
      <w:bookmarkStart w:id="1413" w:name="_Toc12507"/>
      <w:bookmarkStart w:id="1414" w:name="_Toc27953"/>
      <w:bookmarkStart w:id="1415" w:name="_Toc10254"/>
      <w:bookmarkStart w:id="1416" w:name="_Toc517532035"/>
      <w:r>
        <w:rPr>
          <w:rFonts w:hint="eastAsia" w:ascii="宋体" w:hAnsi="宋体" w:cs="宋体"/>
          <w:b/>
          <w:bCs/>
          <w:color w:val="auto"/>
          <w:sz w:val="24"/>
          <w:szCs w:val="24"/>
          <w:highlight w:val="none"/>
        </w:rPr>
        <w:t>3.3.5劳务分包与工资支付</w:t>
      </w:r>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p>
    <w:p>
      <w:pPr>
        <w:adjustRightInd w:val="0"/>
        <w:snapToGrid w:val="0"/>
        <w:spacing w:line="360" w:lineRule="auto"/>
        <w:ind w:firstLine="430" w:firstLineChars="200"/>
        <w:jc w:val="left"/>
        <w:rPr>
          <w:rFonts w:hint="eastAsia" w:ascii="宋体" w:hAnsi="宋体" w:cs="宋体"/>
          <w:b/>
          <w:bCs/>
          <w:color w:val="auto"/>
          <w:spacing w:val="2"/>
          <w:szCs w:val="21"/>
          <w:highlight w:val="none"/>
        </w:rPr>
      </w:pPr>
      <w:r>
        <w:rPr>
          <w:rFonts w:hint="eastAsia" w:ascii="宋体" w:hAnsi="宋体" w:cs="宋体"/>
          <w:b/>
          <w:bCs/>
          <w:color w:val="auto"/>
          <w:spacing w:val="2"/>
          <w:szCs w:val="21"/>
          <w:highlight w:val="none"/>
        </w:rPr>
        <w:t>（a）劳务工工资的支付</w:t>
      </w:r>
    </w:p>
    <w:p>
      <w:pPr>
        <w:adjustRightInd w:val="0"/>
        <w:snapToGrid w:val="0"/>
        <w:spacing w:line="360" w:lineRule="auto"/>
        <w:ind w:firstLine="428" w:firstLineChars="200"/>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承包人必须严格按照国家、省、市等有关规定支付劳务工工资，不得拖欠或克扣。</w:t>
      </w:r>
    </w:p>
    <w:p>
      <w:pPr>
        <w:adjustRightInd w:val="0"/>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cs="宋体"/>
          <w:b/>
          <w:color w:val="auto"/>
          <w:szCs w:val="21"/>
          <w:highlight w:val="none"/>
        </w:rPr>
        <w:t>（b）劳务分包工作</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建筑劳务分包工作按建设行政主管部门有关规定执行。</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417" w:name="_Toc30979"/>
      <w:bookmarkStart w:id="1418" w:name="_Toc30702"/>
      <w:bookmarkStart w:id="1419" w:name="_Toc5870"/>
      <w:bookmarkStart w:id="1420" w:name="_Toc16716"/>
      <w:bookmarkStart w:id="1421" w:name="_Toc6035"/>
      <w:bookmarkStart w:id="1422" w:name="_Toc4139"/>
      <w:bookmarkStart w:id="1423" w:name="_Toc31505"/>
      <w:bookmarkStart w:id="1424" w:name="_Toc517530760"/>
      <w:bookmarkStart w:id="1425" w:name="_Toc22373"/>
      <w:bookmarkStart w:id="1426" w:name="_Toc1533"/>
      <w:bookmarkStart w:id="1427" w:name="_Toc2018"/>
      <w:bookmarkStart w:id="1428" w:name="_Toc29258"/>
      <w:bookmarkStart w:id="1429" w:name="_Toc32121"/>
      <w:bookmarkStart w:id="1430" w:name="_Toc18363"/>
      <w:bookmarkStart w:id="1431" w:name="_Toc26963"/>
      <w:bookmarkStart w:id="1432" w:name="_Toc18471"/>
      <w:bookmarkStart w:id="1433" w:name="_Toc10285"/>
      <w:bookmarkStart w:id="1434" w:name="_Toc30575"/>
      <w:bookmarkStart w:id="1435" w:name="_Toc517532036"/>
      <w:r>
        <w:rPr>
          <w:rFonts w:hint="eastAsia" w:ascii="宋体" w:hAnsi="宋体" w:cs="宋体"/>
          <w:b/>
          <w:bCs/>
          <w:color w:val="auto"/>
          <w:sz w:val="24"/>
          <w:szCs w:val="24"/>
          <w:highlight w:val="none"/>
        </w:rPr>
        <w:t>3.3.6劳务协议报备</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承包人签订的劳务协议的副本应报送监理人核备。承包人不得以签订劳务协议为名行分包之实。如经发现，按第3.5.1条处理。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3.3.7实名制管理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须同意接受发包人对承包人涉及本项目管理的现场主要项目管理人员进行实名采集管理，具体包括实名信息采集登记、电子签到和人员考勤。现场主要项目管理人员包括项目经理、项目副经理、施工技术负责人、质量员、安全员等工地组织机构的主要管理人员。实名信息采集登记人员须持本人身份证在指定地点进行拍照采集，采集内容包括人员姓名、身份证信息、电话号码、人脸识别图像等相关信息。纳入电子签到范围人员参加投标文件澄清、每次到达项目现场或甲方指定地址参加会议、现场检查等工作时，须通过人脸识别考勤设备进行电子签到。参建单位人员实名登记、签到、考勤等情况将作为项目履约评价的重要指标。</w:t>
      </w:r>
    </w:p>
    <w:bookmarkEnd w:id="1340"/>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436" w:name="_Toc21622"/>
      <w:bookmarkStart w:id="1437" w:name="_Toc517528664"/>
      <w:bookmarkStart w:id="1438" w:name="_Toc31372"/>
      <w:bookmarkStart w:id="1439" w:name="_Toc13926"/>
      <w:bookmarkStart w:id="1440" w:name="_Toc19624"/>
      <w:bookmarkStart w:id="1441" w:name="_Toc15006"/>
      <w:bookmarkStart w:id="1442" w:name="_Toc517532037"/>
      <w:bookmarkStart w:id="1443" w:name="_Toc330"/>
      <w:bookmarkStart w:id="1444" w:name="_Toc16507"/>
      <w:bookmarkStart w:id="1445" w:name="_Toc5759"/>
      <w:bookmarkStart w:id="1446" w:name="_Toc30568"/>
      <w:bookmarkStart w:id="1447" w:name="_Toc15059"/>
      <w:bookmarkStart w:id="1448" w:name="_Toc517530761"/>
      <w:bookmarkStart w:id="1449" w:name="_Toc29240"/>
      <w:bookmarkStart w:id="1450" w:name="_Toc11698"/>
      <w:bookmarkStart w:id="1451" w:name="_Toc5813"/>
      <w:bookmarkStart w:id="1452" w:name="_Toc3668"/>
      <w:bookmarkStart w:id="1453" w:name="_Toc10027"/>
      <w:bookmarkStart w:id="1454" w:name="_Toc25508"/>
      <w:bookmarkStart w:id="1455" w:name="_Toc8900"/>
      <w:bookmarkStart w:id="1456" w:name="_Toc24034"/>
      <w:bookmarkStart w:id="1457" w:name="_Toc296503050"/>
      <w:bookmarkStart w:id="1458" w:name="_Toc337558750"/>
      <w:bookmarkStart w:id="1459" w:name="_Toc296346551"/>
      <w:r>
        <w:rPr>
          <w:rFonts w:hint="eastAsia" w:ascii="宋体" w:hAnsi="宋体" w:cs="宋体"/>
          <w:b/>
          <w:bCs/>
          <w:color w:val="auto"/>
          <w:sz w:val="28"/>
          <w:szCs w:val="28"/>
          <w:highlight w:val="none"/>
        </w:rPr>
        <w:t>3.4 承包人现场查勘</w:t>
      </w:r>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460" w:name="_Toc11258"/>
      <w:bookmarkStart w:id="1461" w:name="_Toc517530762"/>
      <w:bookmarkStart w:id="1462" w:name="_Toc13203"/>
      <w:bookmarkStart w:id="1463" w:name="_Toc23976"/>
      <w:bookmarkStart w:id="1464" w:name="_Toc8626"/>
      <w:bookmarkStart w:id="1465" w:name="_Toc4059"/>
      <w:bookmarkStart w:id="1466" w:name="_Toc9563"/>
      <w:bookmarkStart w:id="1467" w:name="_Toc3367"/>
      <w:bookmarkStart w:id="1468" w:name="_Toc17240"/>
      <w:bookmarkStart w:id="1469" w:name="_Toc18928"/>
      <w:bookmarkStart w:id="1470" w:name="_Toc22406"/>
      <w:bookmarkStart w:id="1471" w:name="_Toc7837"/>
      <w:bookmarkStart w:id="1472" w:name="_Toc26548"/>
      <w:bookmarkStart w:id="1473" w:name="_Toc25007"/>
      <w:bookmarkStart w:id="1474" w:name="_Toc15245"/>
      <w:bookmarkStart w:id="1475" w:name="_Toc25771"/>
      <w:bookmarkStart w:id="1476" w:name="_Toc7895"/>
      <w:bookmarkStart w:id="1477" w:name="_Toc23438"/>
      <w:bookmarkStart w:id="1478" w:name="_Toc517532038"/>
      <w:r>
        <w:rPr>
          <w:rFonts w:hint="eastAsia" w:ascii="宋体" w:hAnsi="宋体" w:cs="宋体"/>
          <w:b/>
          <w:bCs/>
          <w:color w:val="auto"/>
          <w:sz w:val="24"/>
          <w:szCs w:val="24"/>
          <w:highlight w:val="none"/>
        </w:rPr>
        <w:t>3.4.1勘察资料</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发包人或发包人委托的勘察设计单位提供的水文、地质、气象等资料供承包人参考。但上述资料决不意味着免除根据合同文件应由承包人承担的任何责任，承包人在编制投标书之前，应研究和分析发包人提供的水文、地质、气象等资料，承包人自己应对该资料的理解、判断和应用负责。</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479" w:name="_Toc13814"/>
      <w:bookmarkStart w:id="1480" w:name="_Toc5655"/>
      <w:bookmarkStart w:id="1481" w:name="_Toc7282"/>
      <w:bookmarkStart w:id="1482" w:name="_Toc4590"/>
      <w:bookmarkStart w:id="1483" w:name="_Toc18395"/>
      <w:bookmarkStart w:id="1484" w:name="_Toc31911"/>
      <w:bookmarkStart w:id="1485" w:name="_Toc5916"/>
      <w:bookmarkStart w:id="1486" w:name="_Toc16395"/>
      <w:bookmarkStart w:id="1487" w:name="_Toc517530763"/>
      <w:bookmarkStart w:id="1488" w:name="_Toc9057"/>
      <w:bookmarkStart w:id="1489" w:name="_Toc29827"/>
      <w:bookmarkStart w:id="1490" w:name="_Toc11913"/>
      <w:bookmarkStart w:id="1491" w:name="_Toc24561"/>
      <w:bookmarkStart w:id="1492" w:name="_Toc1616"/>
      <w:bookmarkStart w:id="1493" w:name="_Toc9283"/>
      <w:bookmarkStart w:id="1494" w:name="_Toc27010"/>
      <w:bookmarkStart w:id="1495" w:name="_Toc517532039"/>
      <w:bookmarkStart w:id="1496" w:name="_Toc3902"/>
      <w:bookmarkStart w:id="1497" w:name="_Toc28438"/>
      <w:bookmarkStart w:id="1498" w:name="_Toc10101"/>
      <w:r>
        <w:rPr>
          <w:rFonts w:hint="eastAsia" w:ascii="宋体" w:hAnsi="宋体" w:cs="宋体"/>
          <w:b/>
          <w:bCs/>
          <w:color w:val="auto"/>
          <w:sz w:val="24"/>
          <w:szCs w:val="24"/>
          <w:highlight w:val="none"/>
        </w:rPr>
        <w:t>3.4.2现场考察</w:t>
      </w:r>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编制投标文件之前，除发包人统一组织现场考察外，还可根据需要自行进入现场进行详细考察。承包人确认，其在送交投标文件之前，已对现场和其周围环境以及与之有关可得到的资料进行了察看和核查，并对以下几点内容已经查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(a)现场的地形地貌和特征，包括地表以下的情况；</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(b)水文和气象条件；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(c)实施和完成本合同工程及其缺陷的修复所需做的工作范围、性质和所需用的材料采购和加工；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(d)进入现场的手段和需要的住宿供应条件、临时给排水及供电条件；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(e)当地的乡规民约和风俗习惯。</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还应认为，承包人已取得有关可能对投标有影响或起作用的风险、意外及其所有其他情况的必要资料。</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499" w:name="_Toc15828"/>
      <w:bookmarkStart w:id="1500" w:name="_Toc13953"/>
      <w:bookmarkStart w:id="1501" w:name="_Toc29128"/>
      <w:bookmarkStart w:id="1502" w:name="_Toc19683"/>
      <w:bookmarkStart w:id="1503" w:name="_Toc517530764"/>
      <w:bookmarkStart w:id="1504" w:name="_Toc15592"/>
      <w:bookmarkStart w:id="1505" w:name="_Toc23666"/>
      <w:bookmarkStart w:id="1506" w:name="_Toc11233"/>
      <w:bookmarkStart w:id="1507" w:name="_Toc19747"/>
      <w:bookmarkStart w:id="1508" w:name="_Toc31113"/>
      <w:bookmarkStart w:id="1509" w:name="_Toc517532040"/>
      <w:bookmarkStart w:id="1510" w:name="_Toc18234"/>
      <w:bookmarkStart w:id="1511" w:name="_Toc21355"/>
      <w:bookmarkStart w:id="1512" w:name="_Toc19468"/>
      <w:bookmarkStart w:id="1513" w:name="_Toc4573"/>
      <w:bookmarkStart w:id="1514" w:name="_Toc5305"/>
      <w:bookmarkStart w:id="1515" w:name="_Toc30298"/>
      <w:bookmarkStart w:id="1516" w:name="_Toc9185"/>
      <w:bookmarkStart w:id="1517" w:name="_Toc28564"/>
      <w:bookmarkStart w:id="1518" w:name="_Toc27371"/>
      <w:r>
        <w:rPr>
          <w:rFonts w:hint="eastAsia" w:ascii="宋体" w:hAnsi="宋体" w:cs="宋体"/>
          <w:b/>
          <w:bCs/>
          <w:color w:val="auto"/>
          <w:sz w:val="24"/>
          <w:szCs w:val="24"/>
          <w:highlight w:val="none"/>
        </w:rPr>
        <w:t>3.4.3现场管线等地下构筑物对施工的影响</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w:t>
      </w:r>
      <w:r>
        <w:rPr>
          <w:rFonts w:hint="eastAsia" w:ascii="宋体" w:hAnsi="宋体" w:cs="宋体"/>
          <w:color w:val="auto"/>
          <w:spacing w:val="-2"/>
          <w:szCs w:val="21"/>
          <w:highlight w:val="none"/>
        </w:rPr>
        <w:t>人在投标之前，应在勘察设计资料的基础上，对现场存在的管线等</w:t>
      </w:r>
      <w:r>
        <w:rPr>
          <w:rFonts w:hint="eastAsia" w:ascii="宋体" w:hAnsi="宋体" w:cs="宋体"/>
          <w:color w:val="auto"/>
          <w:szCs w:val="21"/>
          <w:highlight w:val="none"/>
        </w:rPr>
        <w:t>地下构筑物作进一步的调查和了解，以取得其对施工影响的全部信息，并在投标报价和进度计划中作出充分的考虑。承包人确认，其提交投标书时已经充分考虑现场管线等地下构筑物不明的不利影响，并在投标报价中包含了可能因此发生的损失或费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发包人提供的地下管线和设施探测资料（如有）仅供承包人参考，承包人施工时应先进行试挖，避免因盲目施工对地下管线和设施造成破坏。</w:t>
      </w:r>
    </w:p>
    <w:bookmarkEnd w:id="1457"/>
    <w:bookmarkEnd w:id="1458"/>
    <w:bookmarkEnd w:id="1459"/>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519" w:name="_Toc517532041"/>
      <w:bookmarkStart w:id="1520" w:name="_Toc16135"/>
      <w:bookmarkStart w:id="1521" w:name="_Toc12349"/>
      <w:bookmarkStart w:id="1522" w:name="_Toc9809"/>
      <w:bookmarkStart w:id="1523" w:name="_Toc517528665"/>
      <w:bookmarkStart w:id="1524" w:name="_Toc17104"/>
      <w:bookmarkStart w:id="1525" w:name="_Toc26996"/>
      <w:bookmarkStart w:id="1526" w:name="_Toc8579"/>
      <w:bookmarkStart w:id="1527" w:name="_Toc9822"/>
      <w:bookmarkStart w:id="1528" w:name="_Toc28321"/>
      <w:bookmarkStart w:id="1529" w:name="_Toc29972"/>
      <w:bookmarkStart w:id="1530" w:name="_Toc10186"/>
      <w:bookmarkStart w:id="1531" w:name="_Toc22485"/>
      <w:bookmarkStart w:id="1532" w:name="_Toc465237093"/>
      <w:bookmarkStart w:id="1533" w:name="_Toc2555"/>
      <w:bookmarkStart w:id="1534" w:name="_Toc20129"/>
      <w:bookmarkStart w:id="1535" w:name="_Toc465237191"/>
      <w:bookmarkStart w:id="1536" w:name="_Toc25925"/>
      <w:bookmarkStart w:id="1537" w:name="_Toc19596"/>
      <w:bookmarkStart w:id="1538" w:name="_Toc10421"/>
      <w:bookmarkStart w:id="1539" w:name="_Toc13400"/>
      <w:bookmarkStart w:id="1540" w:name="_Toc517530765"/>
      <w:bookmarkStart w:id="1541" w:name="_Toc143"/>
      <w:r>
        <w:rPr>
          <w:rFonts w:hint="eastAsia" w:ascii="宋体" w:hAnsi="宋体" w:cs="宋体"/>
          <w:b/>
          <w:bCs/>
          <w:color w:val="auto"/>
          <w:sz w:val="28"/>
          <w:szCs w:val="28"/>
          <w:highlight w:val="none"/>
        </w:rPr>
        <w:t>3.5分包</w:t>
      </w:r>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542" w:name="_Toc19226"/>
      <w:bookmarkStart w:id="1543" w:name="_Toc3138"/>
      <w:bookmarkStart w:id="1544" w:name="_Toc517532042"/>
      <w:bookmarkStart w:id="1545" w:name="_Toc23144"/>
      <w:bookmarkStart w:id="1546" w:name="_Toc13730"/>
      <w:bookmarkStart w:id="1547" w:name="_Toc19654"/>
      <w:bookmarkStart w:id="1548" w:name="_Toc11494"/>
      <w:bookmarkStart w:id="1549" w:name="_Toc29660"/>
      <w:bookmarkStart w:id="1550" w:name="_Toc4104"/>
      <w:bookmarkStart w:id="1551" w:name="_Toc517530766"/>
      <w:bookmarkStart w:id="1552" w:name="_Toc3059"/>
      <w:bookmarkStart w:id="1553" w:name="_Toc15786"/>
      <w:bookmarkStart w:id="1554" w:name="_Toc32408"/>
      <w:bookmarkStart w:id="1555" w:name="_Toc16182"/>
      <w:bookmarkStart w:id="1556" w:name="_Toc18351"/>
      <w:bookmarkStart w:id="1557" w:name="_Toc18978"/>
      <w:bookmarkStart w:id="1558" w:name="_Toc19188"/>
      <w:r>
        <w:rPr>
          <w:rFonts w:hint="eastAsia" w:ascii="宋体" w:hAnsi="宋体" w:cs="宋体"/>
          <w:b/>
          <w:bCs/>
          <w:color w:val="auto"/>
          <w:sz w:val="24"/>
          <w:szCs w:val="24"/>
          <w:highlight w:val="none"/>
        </w:rPr>
        <w:t>3.5.1禁止挂靠、转包或违法分包</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（1）承包人应当保证本合同项下工程投标、施工不存在任何挂靠行为。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（2）承包人不得以任何理由、任何形式将本合同或其中任何部分转让给其他单位或个人。</w:t>
      </w:r>
    </w:p>
    <w:p>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xml:space="preserve">    （3）未经发包人同意，承包人不得以任何理由、任何形式将工程的任何部分分包给其他单位或个人。承包人不得将全部工程肢解分包，并应禁止分包人将分包工程的任何部分再分包。</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（4）若出现违反上述规定的情形，发包人有权单方解除本合同，并要求承包人按照合同总价款的2%承担违约金并赔偿由此给发包人造成的损失。</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（5）为满足本工程监督、管理的需要，发包人有权要求承包人提供与本工程施工及管理相关的资料，承包人应予以配合。</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559" w:name="_Toc25280"/>
      <w:bookmarkStart w:id="1560" w:name="_Toc4164"/>
      <w:bookmarkStart w:id="1561" w:name="_Toc23652"/>
      <w:bookmarkStart w:id="1562" w:name="_Toc517530767"/>
      <w:bookmarkStart w:id="1563" w:name="_Toc18894"/>
      <w:bookmarkStart w:id="1564" w:name="_Toc19563"/>
      <w:bookmarkStart w:id="1565" w:name="_Toc6590"/>
      <w:bookmarkStart w:id="1566" w:name="_Toc2492"/>
      <w:bookmarkStart w:id="1567" w:name="_Toc23711"/>
      <w:bookmarkStart w:id="1568" w:name="_Toc11005"/>
      <w:bookmarkStart w:id="1569" w:name="_Toc30101"/>
      <w:bookmarkStart w:id="1570" w:name="_Toc19847"/>
      <w:bookmarkStart w:id="1571" w:name="_Toc517532043"/>
      <w:bookmarkStart w:id="1572" w:name="_Toc12259"/>
      <w:bookmarkStart w:id="1573" w:name="_Toc1934"/>
      <w:bookmarkStart w:id="1574" w:name="_Toc8124"/>
      <w:bookmarkStart w:id="1575" w:name="_Toc29320"/>
      <w:r>
        <w:rPr>
          <w:rFonts w:hint="eastAsia" w:ascii="宋体" w:hAnsi="宋体" w:cs="宋体"/>
          <w:b/>
          <w:bCs/>
          <w:color w:val="auto"/>
          <w:sz w:val="24"/>
          <w:szCs w:val="24"/>
          <w:highlight w:val="none"/>
        </w:rPr>
        <w:t>3.5.2分包不解除责任</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不得将整个合同工程肢解分包出去。除非合同另有规定，承包人事先未报经监理人审查并取得发包人批准，也不得将本合同工程的任何部分分包出去。承包人即使取得上述批准，也不应解除合同规定的承包人的任何责任或义务，并应对分包人及其职工的行为负完全责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对于提供劳务或根据合同规定的标准采购材料，虽不要求承包人取得上述批准，但承包人应报监理人备案，监理人对此有权进行核查。</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576" w:name="_Toc10536"/>
      <w:bookmarkStart w:id="1577" w:name="_Toc30510"/>
      <w:bookmarkStart w:id="1578" w:name="_Toc21381"/>
      <w:bookmarkStart w:id="1579" w:name="_Toc5499"/>
      <w:bookmarkStart w:id="1580" w:name="_Toc25820"/>
      <w:bookmarkStart w:id="1581" w:name="_Toc2144"/>
      <w:bookmarkStart w:id="1582" w:name="_Toc1725"/>
      <w:bookmarkStart w:id="1583" w:name="_Toc6447"/>
      <w:bookmarkStart w:id="1584" w:name="_Toc18072"/>
      <w:bookmarkStart w:id="1585" w:name="_Toc25402"/>
      <w:bookmarkStart w:id="1586" w:name="_Toc436"/>
      <w:bookmarkStart w:id="1587" w:name="_Toc7140"/>
      <w:bookmarkStart w:id="1588" w:name="_Toc9081"/>
      <w:bookmarkStart w:id="1589" w:name="_Toc4453"/>
      <w:bookmarkStart w:id="1590" w:name="_Toc517530768"/>
      <w:bookmarkStart w:id="1591" w:name="_Toc15111"/>
      <w:bookmarkStart w:id="1592" w:name="_Toc517532044"/>
      <w:bookmarkStart w:id="1593" w:name="_Toc517528666"/>
      <w:bookmarkStart w:id="1594" w:name="_Toc465237192"/>
      <w:bookmarkStart w:id="1595" w:name="_Toc31406"/>
      <w:bookmarkStart w:id="1596" w:name="_Toc2838"/>
      <w:bookmarkStart w:id="1597" w:name="_Toc29445"/>
      <w:bookmarkStart w:id="1598" w:name="_Toc465237094"/>
      <w:r>
        <w:rPr>
          <w:rFonts w:hint="eastAsia" w:ascii="宋体" w:hAnsi="宋体" w:cs="宋体"/>
          <w:b/>
          <w:bCs/>
          <w:color w:val="auto"/>
          <w:sz w:val="28"/>
          <w:szCs w:val="28"/>
          <w:highlight w:val="none"/>
        </w:rPr>
        <w:t>3.6承包人对指定专业工程承包人管理所发生的费用</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同发包人签定了合同协议的指定专业工程承包人，发包人将可能指定由承包人对其进行统一管理。承包人承担的管理责任包括指定专业工程承包人完成工程的进度安排、施工现场管理协调以及竣工资料的汇总整理等。因此而产生的费用按承包人在投标报价时对指定承包工程所列的暂定金与自报的费率乘积包干使用，不随暂定金结算价的增减而调整。</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指定专业工程承包人负责的专业工程纳入本项目总承包工程的管理，由本项目总承包工程的承包人对整个工程进行统一协调管理，涉及相关费用按投标报价规定执行。本项目总承包工程的承包人与专业工程的指定承包人视作总分包关系，本项目总承包工程的承包人对专业工程的安全文明施工等承担连带责任。本项目总承包工程的承包人应与发包人签署补充协议，明确该专业工程的管理责任，为发包人办理施工许可证提供便利。</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599" w:name="_Toc6029"/>
      <w:bookmarkStart w:id="1600" w:name="_Toc14193"/>
      <w:bookmarkStart w:id="1601" w:name="_Toc465237194"/>
      <w:bookmarkStart w:id="1602" w:name="_Toc8741"/>
      <w:bookmarkStart w:id="1603" w:name="_Toc12724"/>
      <w:bookmarkStart w:id="1604" w:name="_Toc2546"/>
      <w:bookmarkStart w:id="1605" w:name="_Toc517528667"/>
      <w:bookmarkStart w:id="1606" w:name="_Toc25274"/>
      <w:bookmarkStart w:id="1607" w:name="_Toc10580"/>
      <w:bookmarkStart w:id="1608" w:name="_Toc26673"/>
      <w:bookmarkStart w:id="1609" w:name="_Toc16734"/>
      <w:bookmarkStart w:id="1610" w:name="_Toc517530769"/>
      <w:bookmarkStart w:id="1611" w:name="_Toc30019"/>
      <w:bookmarkStart w:id="1612" w:name="_Toc25074"/>
      <w:bookmarkStart w:id="1613" w:name="_Toc5597"/>
      <w:bookmarkStart w:id="1614" w:name="_Toc11611"/>
      <w:bookmarkStart w:id="1615" w:name="_Toc21696"/>
      <w:bookmarkStart w:id="1616" w:name="_Toc25485"/>
      <w:bookmarkStart w:id="1617" w:name="_Toc6058"/>
      <w:bookmarkStart w:id="1618" w:name="_Toc28377"/>
      <w:bookmarkStart w:id="1619" w:name="_Toc517532045"/>
      <w:bookmarkStart w:id="1620" w:name="_Toc3413"/>
      <w:bookmarkStart w:id="1621" w:name="_Toc465237096"/>
      <w:bookmarkStart w:id="1622" w:name="_Toc337558752"/>
      <w:bookmarkStart w:id="1623" w:name="_Toc296503052"/>
      <w:bookmarkStart w:id="1624" w:name="_Toc296346553"/>
      <w:r>
        <w:rPr>
          <w:rFonts w:hint="eastAsia" w:ascii="宋体" w:hAnsi="宋体" w:cs="宋体"/>
          <w:b/>
          <w:bCs/>
          <w:color w:val="auto"/>
          <w:sz w:val="28"/>
          <w:szCs w:val="28"/>
          <w:highlight w:val="none"/>
        </w:rPr>
        <w:t>3.7 履约担保</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625" w:name="_Toc27799"/>
      <w:bookmarkStart w:id="1626" w:name="_Toc5517"/>
      <w:bookmarkStart w:id="1627" w:name="_Toc517532046"/>
      <w:bookmarkStart w:id="1628" w:name="_Toc31931"/>
      <w:bookmarkStart w:id="1629" w:name="_Toc517530770"/>
      <w:bookmarkStart w:id="1630" w:name="_Toc6147"/>
      <w:bookmarkStart w:id="1631" w:name="_Toc1767"/>
      <w:bookmarkStart w:id="1632" w:name="_Toc30612"/>
      <w:bookmarkStart w:id="1633" w:name="_Toc14524"/>
      <w:bookmarkStart w:id="1634" w:name="_Toc12223"/>
      <w:bookmarkStart w:id="1635" w:name="_Toc32418"/>
      <w:bookmarkStart w:id="1636" w:name="_Toc12316"/>
      <w:bookmarkStart w:id="1637" w:name="_Toc15808"/>
      <w:bookmarkStart w:id="1638" w:name="_Toc16276"/>
      <w:bookmarkStart w:id="1639" w:name="_Toc19503"/>
      <w:bookmarkStart w:id="1640" w:name="_Toc29951"/>
      <w:r>
        <w:rPr>
          <w:rFonts w:hint="eastAsia" w:ascii="宋体" w:hAnsi="宋体" w:cs="宋体"/>
          <w:b/>
          <w:bCs/>
          <w:color w:val="auto"/>
          <w:sz w:val="24"/>
          <w:szCs w:val="24"/>
          <w:highlight w:val="none"/>
        </w:rPr>
        <w:t>3.7.1履约担保金额</w:t>
      </w:r>
      <w:bookmarkEnd w:id="1625"/>
      <w:bookmarkEnd w:id="1626"/>
      <w:bookmarkEnd w:id="1627"/>
      <w:bookmarkEnd w:id="1628"/>
      <w:bookmarkEnd w:id="1629"/>
      <w:bookmarkStart w:id="1641" w:name="_Toc5049"/>
    </w:p>
    <w:p>
      <w:pPr>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履约担保金额由合同双方在专用条款中约定。</w:t>
      </w:r>
      <w:bookmarkEnd w:id="1641"/>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642" w:name="_Toc6701"/>
      <w:bookmarkStart w:id="1643" w:name="_Toc30424"/>
      <w:bookmarkStart w:id="1644" w:name="_Toc17341"/>
      <w:bookmarkStart w:id="1645" w:name="_Toc17956"/>
      <w:bookmarkStart w:id="1646" w:name="_Toc517530771"/>
      <w:bookmarkStart w:id="1647" w:name="_Toc9408"/>
      <w:bookmarkStart w:id="1648" w:name="_Toc517532047"/>
      <w:bookmarkStart w:id="1649" w:name="_Toc24585"/>
      <w:bookmarkStart w:id="1650" w:name="_Toc2283"/>
      <w:r>
        <w:rPr>
          <w:rFonts w:hint="eastAsia" w:ascii="宋体" w:hAnsi="宋体" w:cs="宋体"/>
          <w:b/>
          <w:bCs/>
          <w:color w:val="auto"/>
          <w:sz w:val="24"/>
          <w:szCs w:val="24"/>
          <w:highlight w:val="none"/>
        </w:rPr>
        <w:t>3.7.2履约担保形式</w:t>
      </w:r>
      <w:bookmarkEnd w:id="1630"/>
      <w:bookmarkEnd w:id="1631"/>
      <w:bookmarkEnd w:id="1632"/>
      <w:bookmarkEnd w:id="1633"/>
      <w:bookmarkEnd w:id="1634"/>
      <w:bookmarkEnd w:id="1635"/>
      <w:bookmarkEnd w:id="1636"/>
      <w:bookmarkEnd w:id="1637"/>
      <w:bookmarkEnd w:id="1638"/>
      <w:bookmarkEnd w:id="1639"/>
      <w:bookmarkEnd w:id="1640"/>
      <w:bookmarkEnd w:id="1642"/>
      <w:bookmarkEnd w:id="1643"/>
      <w:bookmarkEnd w:id="1644"/>
      <w:bookmarkEnd w:id="1645"/>
      <w:bookmarkEnd w:id="1646"/>
      <w:bookmarkEnd w:id="1647"/>
      <w:bookmarkEnd w:id="1648"/>
      <w:bookmarkEnd w:id="1649"/>
      <w:bookmarkEnd w:id="165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承包人在收到中标通知书后</w:t>
      </w:r>
      <w:r>
        <w:rPr>
          <w:rFonts w:hint="eastAsia" w:ascii="宋体" w:hAnsi="宋体" w:cs="宋体"/>
          <w:color w:val="auto"/>
          <w:szCs w:val="21"/>
          <w:highlight w:val="none"/>
          <w:u w:val="single"/>
        </w:rPr>
        <w:t xml:space="preserve"> 28</w:t>
      </w:r>
      <w:r>
        <w:rPr>
          <w:rFonts w:hint="eastAsia" w:ascii="宋体" w:hAnsi="宋体" w:cs="宋体"/>
          <w:color w:val="auto"/>
          <w:szCs w:val="21"/>
          <w:highlight w:val="none"/>
        </w:rPr>
        <w:t>天之内并在签订合同协议书之前，应向发包人提交履约担保，同时通知监理人，履约担保采用银行履约保函的形式提供，保函的格式应按招标文件所附的或发包人认可的格式提供。提供担保的银行需经发包人同意，担保的正本由发包人签收并保存。</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651" w:name="_Toc22563"/>
      <w:bookmarkStart w:id="1652" w:name="_Toc5080"/>
      <w:bookmarkStart w:id="1653" w:name="_Toc26043"/>
      <w:bookmarkStart w:id="1654" w:name="_Toc28414"/>
      <w:bookmarkStart w:id="1655" w:name="_Toc10476"/>
      <w:bookmarkStart w:id="1656" w:name="_Toc12720"/>
      <w:bookmarkStart w:id="1657" w:name="_Toc15947"/>
      <w:bookmarkStart w:id="1658" w:name="_Toc12962"/>
      <w:bookmarkStart w:id="1659" w:name="_Toc1558"/>
      <w:bookmarkStart w:id="1660" w:name="_Toc18264"/>
      <w:bookmarkStart w:id="1661" w:name="_Toc2408"/>
      <w:bookmarkStart w:id="1662" w:name="_Toc21587"/>
      <w:bookmarkStart w:id="1663" w:name="_Toc12517"/>
      <w:bookmarkStart w:id="1664" w:name="_Toc517530772"/>
      <w:bookmarkStart w:id="1665" w:name="_Toc20412"/>
      <w:bookmarkStart w:id="1666" w:name="_Toc21890"/>
      <w:bookmarkStart w:id="1667" w:name="_Toc15959"/>
      <w:bookmarkStart w:id="1668" w:name="_Toc25875"/>
      <w:bookmarkStart w:id="1669" w:name="_Toc517532048"/>
      <w:bookmarkStart w:id="1670" w:name="_Toc28212"/>
      <w:r>
        <w:rPr>
          <w:rFonts w:hint="eastAsia" w:ascii="宋体" w:hAnsi="宋体" w:cs="宋体"/>
          <w:b/>
          <w:bCs/>
          <w:color w:val="auto"/>
          <w:sz w:val="24"/>
          <w:szCs w:val="24"/>
          <w:highlight w:val="none"/>
        </w:rPr>
        <w:t>3.7.3履约担保的有效期</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p>
    <w:p>
      <w:pPr>
        <w:spacing w:line="360" w:lineRule="auto"/>
        <w:ind w:firstLine="420" w:firstLineChars="200"/>
        <w:jc w:val="left"/>
        <w:rPr>
          <w:rFonts w:hint="eastAsia" w:ascii="宋体" w:hAnsi="宋体" w:cs="宋体"/>
          <w:b/>
          <w:bCs/>
          <w:color w:val="auto"/>
          <w:szCs w:val="21"/>
          <w:highlight w:val="none"/>
        </w:rPr>
      </w:pPr>
      <w:r>
        <w:rPr>
          <w:rFonts w:hint="eastAsia" w:ascii="宋体" w:hAnsi="宋体" w:cs="宋体"/>
          <w:color w:val="auto"/>
          <w:szCs w:val="21"/>
          <w:highlight w:val="none"/>
        </w:rPr>
        <w:t>承包人应保证履约保函在此合同工程交接证书签发（取得竣工验收备案证明）后</w:t>
      </w:r>
      <w:r>
        <w:rPr>
          <w:rFonts w:hint="eastAsia" w:ascii="宋体" w:hAnsi="宋体" w:cs="宋体"/>
          <w:color w:val="auto"/>
          <w:szCs w:val="21"/>
          <w:highlight w:val="none"/>
          <w:u w:val="single"/>
        </w:rPr>
        <w:t>119</w:t>
      </w:r>
      <w:r>
        <w:rPr>
          <w:rFonts w:hint="eastAsia" w:ascii="宋体" w:hAnsi="宋体" w:cs="宋体"/>
          <w:color w:val="auto"/>
          <w:szCs w:val="21"/>
          <w:highlight w:val="none"/>
        </w:rPr>
        <w:t>天之内保持有效并可执行（保函有效期的具体计算公式为：合同工期+</w:t>
      </w:r>
      <w:r>
        <w:rPr>
          <w:rFonts w:hint="eastAsia" w:ascii="宋体" w:hAnsi="宋体" w:cs="宋体"/>
          <w:color w:val="auto"/>
          <w:szCs w:val="21"/>
          <w:highlight w:val="none"/>
          <w:u w:val="single"/>
        </w:rPr>
        <w:t>119</w:t>
      </w:r>
      <w:r>
        <w:rPr>
          <w:rFonts w:hint="eastAsia" w:ascii="宋体" w:hAnsi="宋体" w:cs="宋体"/>
          <w:color w:val="auto"/>
          <w:szCs w:val="21"/>
          <w:highlight w:val="none"/>
        </w:rPr>
        <w:t>天）。之后，发包人就不应对本担保再提出任何索赔要求并应根据承包人的申请办理履约保函的退还手续。</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671" w:name="_Toc2178"/>
      <w:bookmarkStart w:id="1672" w:name="_Toc31607"/>
      <w:bookmarkStart w:id="1673" w:name="_Toc517530773"/>
      <w:bookmarkStart w:id="1674" w:name="_Toc9065"/>
      <w:bookmarkStart w:id="1675" w:name="_Toc27515"/>
      <w:bookmarkStart w:id="1676" w:name="_Toc15403"/>
      <w:bookmarkStart w:id="1677" w:name="_Toc1228"/>
      <w:bookmarkStart w:id="1678" w:name="_Toc22541"/>
      <w:bookmarkStart w:id="1679" w:name="_Toc24776"/>
      <w:bookmarkStart w:id="1680" w:name="_Toc29556"/>
      <w:bookmarkStart w:id="1681" w:name="_Toc10783"/>
      <w:bookmarkStart w:id="1682" w:name="_Toc16506"/>
      <w:bookmarkStart w:id="1683" w:name="_Toc5205"/>
      <w:bookmarkStart w:id="1684" w:name="_Toc517532049"/>
      <w:bookmarkStart w:id="1685" w:name="_Toc22765"/>
      <w:bookmarkStart w:id="1686" w:name="_Toc512"/>
      <w:bookmarkStart w:id="1687" w:name="_Toc12251"/>
      <w:bookmarkStart w:id="1688" w:name="_Toc20224"/>
      <w:bookmarkStart w:id="1689" w:name="_Toc28240"/>
      <w:bookmarkStart w:id="1690" w:name="_Toc25398"/>
      <w:r>
        <w:rPr>
          <w:rFonts w:hint="eastAsia" w:ascii="宋体" w:hAnsi="宋体" w:cs="宋体"/>
          <w:b/>
          <w:bCs/>
          <w:color w:val="auto"/>
          <w:sz w:val="24"/>
          <w:szCs w:val="24"/>
          <w:highlight w:val="none"/>
        </w:rPr>
        <w:t>3.7.4履约担保项下的索赔</w:t>
      </w:r>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发包人在对履约担保提出索赔要求之前，应通知承包人，说明有关此项索赔要求所涉及承包人违约的性质。发包人应在履约担保的范围内对承包人提起索赔。</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在出现下列情形时，发包人根据合同规定有权获得相应的金额，除此之外发包人不应对履约担保提出索赔：</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（a）承包人未能按第3.7.3条所述要求保持履约担保持续有效，这时发包人可以在履约担保有效期满前</w:t>
      </w:r>
      <w:r>
        <w:rPr>
          <w:rFonts w:hint="eastAsia" w:ascii="宋体" w:hAnsi="宋体" w:cs="宋体"/>
          <w:color w:val="auto"/>
          <w:szCs w:val="21"/>
          <w:highlight w:val="none"/>
          <w:u w:val="single"/>
        </w:rPr>
        <w:t>7</w:t>
      </w:r>
      <w:r>
        <w:rPr>
          <w:rFonts w:hint="eastAsia" w:ascii="宋体" w:hAnsi="宋体" w:cs="宋体"/>
          <w:color w:val="auto"/>
          <w:szCs w:val="21"/>
          <w:highlight w:val="none"/>
        </w:rPr>
        <w:t>天内索赔履约担保的全部金额；</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（b）承包人未能在商定或确定后</w:t>
      </w:r>
      <w:r>
        <w:rPr>
          <w:rFonts w:hint="eastAsia" w:ascii="宋体" w:hAnsi="宋体" w:cs="宋体"/>
          <w:color w:val="auto"/>
          <w:szCs w:val="21"/>
          <w:highlight w:val="none"/>
          <w:u w:val="single"/>
        </w:rPr>
        <w:t>42</w:t>
      </w:r>
      <w:r>
        <w:rPr>
          <w:rFonts w:hint="eastAsia" w:ascii="宋体" w:hAnsi="宋体" w:cs="宋体"/>
          <w:color w:val="auto"/>
          <w:szCs w:val="21"/>
          <w:highlight w:val="none"/>
        </w:rPr>
        <w:t>天内，将承包人同意的，或按规定确定的承包人应付金额付给发包人；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（c）承包人未能在收到发包人要求纠正违约的通知后</w:t>
      </w:r>
      <w:r>
        <w:rPr>
          <w:rFonts w:hint="eastAsia" w:ascii="宋体" w:hAnsi="宋体" w:cs="宋体"/>
          <w:color w:val="auto"/>
          <w:szCs w:val="21"/>
          <w:highlight w:val="none"/>
          <w:u w:val="single"/>
        </w:rPr>
        <w:t>42</w:t>
      </w:r>
      <w:r>
        <w:rPr>
          <w:rFonts w:hint="eastAsia" w:ascii="宋体" w:hAnsi="宋体" w:cs="宋体"/>
          <w:color w:val="auto"/>
          <w:szCs w:val="21"/>
          <w:highlight w:val="none"/>
        </w:rPr>
        <w:t>天内进行纠正，或</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（d）根据第16.2.1条的规定，发包人有权终止合同的情况，不管是否已发出终止通知。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发包人应在履约担保的范围内对承包人提起索赔，若因发包人超出履约担保范围的索赔而引起承包人的损失，应予以赔偿。</w:t>
      </w:r>
    </w:p>
    <w:bookmarkEnd w:id="1622"/>
    <w:bookmarkEnd w:id="1623"/>
    <w:bookmarkEnd w:id="1624"/>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1691" w:name="_Toc465237195"/>
      <w:bookmarkStart w:id="1692" w:name="_Toc465237097"/>
      <w:bookmarkStart w:id="1693" w:name="_Toc12027"/>
      <w:bookmarkStart w:id="1694" w:name="_Toc27683"/>
      <w:bookmarkStart w:id="1695" w:name="_Toc12650"/>
      <w:bookmarkStart w:id="1696" w:name="_Toc842"/>
      <w:bookmarkStart w:id="1697" w:name="_Toc23938"/>
      <w:bookmarkStart w:id="1698" w:name="_Toc12125"/>
      <w:bookmarkStart w:id="1699" w:name="_Toc25767"/>
      <w:bookmarkStart w:id="1700" w:name="_Toc24947"/>
      <w:bookmarkStart w:id="1701" w:name="_Toc14356"/>
      <w:bookmarkStart w:id="1702" w:name="_Toc22189"/>
      <w:bookmarkStart w:id="1703" w:name="_Toc517528668"/>
      <w:bookmarkStart w:id="1704" w:name="_Toc25307"/>
      <w:bookmarkStart w:id="1705" w:name="_Toc26189"/>
      <w:bookmarkStart w:id="1706" w:name="_Toc9310"/>
      <w:bookmarkStart w:id="1707" w:name="_Toc517532050"/>
      <w:bookmarkStart w:id="1708" w:name="_Toc31423"/>
      <w:bookmarkStart w:id="1709" w:name="_Toc3958"/>
      <w:bookmarkStart w:id="1710" w:name="_Toc16783"/>
      <w:bookmarkStart w:id="1711" w:name="_Toc517530774"/>
      <w:bookmarkStart w:id="1712" w:name="_Toc21069"/>
      <w:bookmarkStart w:id="1713" w:name="_Toc26725"/>
      <w:r>
        <w:rPr>
          <w:rFonts w:hint="eastAsia" w:ascii="宋体" w:hAnsi="宋体" w:cs="宋体"/>
          <w:b/>
          <w:bCs/>
          <w:color w:val="auto"/>
          <w:sz w:val="28"/>
          <w:szCs w:val="28"/>
          <w:highlight w:val="none"/>
        </w:rPr>
        <w:t>3.8</w:t>
      </w:r>
      <w:bookmarkEnd w:id="1691"/>
      <w:bookmarkEnd w:id="1692"/>
      <w:r>
        <w:rPr>
          <w:rFonts w:hint="eastAsia" w:ascii="宋体" w:hAnsi="宋体" w:cs="宋体"/>
          <w:b/>
          <w:bCs/>
          <w:color w:val="auto"/>
          <w:sz w:val="28"/>
          <w:szCs w:val="28"/>
          <w:highlight w:val="none"/>
        </w:rPr>
        <w:t xml:space="preserve"> 联合体</w:t>
      </w:r>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714" w:name="_Toc30176"/>
      <w:bookmarkStart w:id="1715" w:name="_Toc20901"/>
      <w:bookmarkStart w:id="1716" w:name="_Toc5634"/>
      <w:bookmarkStart w:id="1717" w:name="_Toc11875"/>
      <w:bookmarkStart w:id="1718" w:name="_Toc12603"/>
      <w:bookmarkStart w:id="1719" w:name="_Toc517530775"/>
      <w:bookmarkStart w:id="1720" w:name="_Toc18452"/>
      <w:bookmarkStart w:id="1721" w:name="_Toc11825"/>
      <w:bookmarkStart w:id="1722" w:name="_Toc30660"/>
      <w:bookmarkStart w:id="1723" w:name="_Toc23052"/>
      <w:bookmarkStart w:id="1724" w:name="_Toc27006"/>
      <w:bookmarkStart w:id="1725" w:name="_Toc3213"/>
      <w:bookmarkStart w:id="1726" w:name="_Toc31784"/>
      <w:bookmarkStart w:id="1727" w:name="_Toc26890"/>
      <w:bookmarkStart w:id="1728" w:name="_Toc28010"/>
      <w:bookmarkStart w:id="1729" w:name="_Toc517532051"/>
      <w:bookmarkStart w:id="1730" w:name="_Toc27283"/>
      <w:r>
        <w:rPr>
          <w:rFonts w:hint="eastAsia" w:ascii="宋体" w:hAnsi="宋体" w:cs="宋体"/>
          <w:b/>
          <w:bCs/>
          <w:color w:val="auto"/>
          <w:sz w:val="24"/>
          <w:szCs w:val="24"/>
          <w:highlight w:val="none"/>
        </w:rPr>
        <w:t>3.8.1 连带责任</w:t>
      </w:r>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如果承包人是两个或两个以上的单位联合经营，则组成该联合体的各个单位对本单位负责的工程部分向发包人承担责任，并对联合体所有其他成员负责的工作向发包人承担连带责任。</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731" w:name="_Toc21596"/>
      <w:bookmarkStart w:id="1732" w:name="_Toc25371"/>
      <w:bookmarkStart w:id="1733" w:name="_Toc29821"/>
      <w:bookmarkStart w:id="1734" w:name="_Toc8872"/>
      <w:bookmarkStart w:id="1735" w:name="_Toc19868"/>
      <w:bookmarkStart w:id="1736" w:name="_Toc10166"/>
      <w:bookmarkStart w:id="1737" w:name="_Toc517530776"/>
      <w:bookmarkStart w:id="1738" w:name="_Toc517532052"/>
      <w:bookmarkStart w:id="1739" w:name="_Toc20399"/>
      <w:bookmarkStart w:id="1740" w:name="_Toc31270"/>
      <w:bookmarkStart w:id="1741" w:name="_Toc10040"/>
      <w:bookmarkStart w:id="1742" w:name="_Toc25980"/>
      <w:bookmarkStart w:id="1743" w:name="_Toc22841"/>
      <w:bookmarkStart w:id="1744" w:name="_Toc20113"/>
      <w:bookmarkStart w:id="1745" w:name="_Toc8292"/>
      <w:bookmarkStart w:id="1746" w:name="_Toc5887"/>
      <w:bookmarkStart w:id="1747" w:name="_Toc1267"/>
      <w:r>
        <w:rPr>
          <w:rFonts w:hint="eastAsia" w:ascii="宋体" w:hAnsi="宋体" w:cs="宋体"/>
          <w:b/>
          <w:bCs/>
          <w:color w:val="auto"/>
          <w:sz w:val="24"/>
          <w:szCs w:val="24"/>
          <w:highlight w:val="none"/>
        </w:rPr>
        <w:t>3.8.2 联合体代表</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联合体应有一个被授权的、对各个单位都有约束力的牵头单位，并应由该单位指派的代表负责，有关文件应由该被授权的代表签署。未经发包人事先同意，联合体的组成与结构不得变动。</w:t>
      </w:r>
    </w:p>
    <w:p>
      <w:pPr>
        <w:keepNext/>
        <w:keepLines/>
        <w:spacing w:before="156" w:beforeLines="50" w:after="156" w:afterLines="50" w:line="413" w:lineRule="auto"/>
        <w:outlineLvl w:val="2"/>
        <w:rPr>
          <w:rFonts w:hint="eastAsia" w:ascii="宋体" w:hAnsi="宋体" w:cs="宋体"/>
          <w:b/>
          <w:bCs/>
          <w:color w:val="auto"/>
          <w:szCs w:val="21"/>
          <w:highlight w:val="none"/>
        </w:rPr>
      </w:pPr>
      <w:bookmarkStart w:id="1748" w:name="_Toc571"/>
      <w:bookmarkStart w:id="1749" w:name="_Toc517528669"/>
      <w:bookmarkStart w:id="1750" w:name="_Toc28405"/>
      <w:bookmarkStart w:id="1751" w:name="_Toc517532053"/>
      <w:bookmarkStart w:id="1752" w:name="_Toc7856"/>
      <w:bookmarkStart w:id="1753" w:name="_Toc11990"/>
      <w:bookmarkStart w:id="1754" w:name="_Toc517530777"/>
      <w:r>
        <w:rPr>
          <w:rFonts w:hint="eastAsia" w:ascii="宋体" w:hAnsi="宋体" w:cs="宋体"/>
          <w:b/>
          <w:bCs/>
          <w:color w:val="auto"/>
          <w:sz w:val="28"/>
          <w:szCs w:val="28"/>
          <w:highlight w:val="none"/>
        </w:rPr>
        <w:t>3.9 严格执行合同要求</w:t>
      </w:r>
      <w:bookmarkEnd w:id="1748"/>
      <w:bookmarkEnd w:id="1749"/>
      <w:bookmarkEnd w:id="1750"/>
      <w:bookmarkEnd w:id="1751"/>
      <w:bookmarkEnd w:id="1752"/>
      <w:bookmarkEnd w:id="1753"/>
      <w:bookmarkEnd w:id="1754"/>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严格按照合同规定实施和完成本合同工程及其缺陷的修复，使工程质量、进度、价款、安全和文明达到符合合同要求的程度。其中，专业承包工程或发包范围内各分部分项工程以及有关重点工艺，必须按发包人提供或发布的实施标准、技术标准、图集、工艺指引等的要求组织实施并进行验收，符合要求的方视为合格。</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承包人应该严格遵守并执行监理人对有关该工程实施的任何事项所作的指令，无论这些事项在合同中写明与否。除合同第5.3条规定的情形外，承包人仅限于从监理人或者总监理工程师处取得指令。</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承包人确认知悉并理解发包人提供的或发包人已公开发布的实施标准、技术标准、图集、工艺指引、制度规范等相关文件的全部内容，将根据合同要求执行相应的文件。</w:t>
      </w:r>
    </w:p>
    <w:p>
      <w:pPr>
        <w:spacing w:line="360" w:lineRule="auto"/>
        <w:ind w:firstLine="420" w:firstLineChars="200"/>
        <w:jc w:val="left"/>
        <w:rPr>
          <w:rFonts w:hint="eastAsia" w:ascii="宋体" w:hAnsi="宋体" w:cs="宋体"/>
          <w:color w:val="auto"/>
          <w:szCs w:val="21"/>
          <w:highlight w:val="none"/>
        </w:rPr>
      </w:pP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1755" w:name="_Toc351203527"/>
      <w:bookmarkStart w:id="1756" w:name="_Toc296346554"/>
      <w:bookmarkStart w:id="1757" w:name="_Toc296503053"/>
      <w:bookmarkStart w:id="1758" w:name="_Toc517532054"/>
      <w:bookmarkStart w:id="1759" w:name="_Toc14659"/>
      <w:bookmarkStart w:id="1760" w:name="_Toc5503"/>
      <w:bookmarkStart w:id="1761" w:name="_Toc15909"/>
      <w:bookmarkStart w:id="1762" w:name="_Toc26074"/>
      <w:bookmarkStart w:id="1763" w:name="_Toc19076"/>
      <w:bookmarkStart w:id="1764" w:name="_Toc2331"/>
      <w:bookmarkStart w:id="1765" w:name="_Toc517529737"/>
      <w:bookmarkStart w:id="1766" w:name="_Toc465237196"/>
      <w:bookmarkStart w:id="1767" w:name="_Toc465237098"/>
      <w:bookmarkStart w:id="1768" w:name="_Toc517528670"/>
      <w:bookmarkStart w:id="1769" w:name="_Toc11507"/>
      <w:bookmarkStart w:id="1770" w:name="_Toc26289"/>
      <w:bookmarkStart w:id="1771" w:name="_Toc899"/>
      <w:bookmarkStart w:id="1772" w:name="_Toc24939"/>
      <w:bookmarkStart w:id="1773" w:name="_Toc18961"/>
      <w:bookmarkStart w:id="1774" w:name="_Toc16571"/>
      <w:bookmarkStart w:id="1775" w:name="_Toc29676"/>
      <w:bookmarkStart w:id="1776" w:name="_Toc8512"/>
      <w:bookmarkStart w:id="1777" w:name="_Toc20357"/>
      <w:bookmarkStart w:id="1778" w:name="_Toc517530778"/>
      <w:bookmarkStart w:id="1779" w:name="_Toc32476"/>
      <w:bookmarkStart w:id="1780" w:name="_Toc7654"/>
      <w:bookmarkStart w:id="1781" w:name="_Toc5645"/>
      <w:bookmarkStart w:id="1782" w:name="_Toc337558753"/>
      <w:r>
        <w:rPr>
          <w:rFonts w:hint="eastAsia" w:ascii="宋体" w:hAnsi="宋体" w:cs="宋体"/>
          <w:b/>
          <w:bCs/>
          <w:color w:val="auto"/>
          <w:sz w:val="30"/>
          <w:szCs w:val="30"/>
          <w:highlight w:val="none"/>
        </w:rPr>
        <w:t>4.</w:t>
      </w:r>
      <w:bookmarkEnd w:id="1755"/>
      <w:bookmarkEnd w:id="1756"/>
      <w:bookmarkEnd w:id="1757"/>
      <w:r>
        <w:rPr>
          <w:rFonts w:hint="eastAsia" w:ascii="宋体" w:hAnsi="宋体" w:cs="宋体"/>
          <w:b/>
          <w:bCs/>
          <w:color w:val="auto"/>
          <w:sz w:val="30"/>
          <w:szCs w:val="30"/>
          <w:highlight w:val="none"/>
        </w:rPr>
        <w:t xml:space="preserve"> 监理人</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p>
    <w:bookmarkEnd w:id="1782"/>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783" w:name="_Toc465237197"/>
      <w:bookmarkStart w:id="1784" w:name="_Toc465237099"/>
      <w:bookmarkStart w:id="1785" w:name="_Toc2588"/>
      <w:bookmarkStart w:id="1786" w:name="_Toc2484"/>
      <w:bookmarkStart w:id="1787" w:name="_Toc12907"/>
      <w:bookmarkStart w:id="1788" w:name="_Toc28999"/>
      <w:bookmarkStart w:id="1789" w:name="_Toc8375"/>
      <w:bookmarkStart w:id="1790" w:name="_Toc517530779"/>
      <w:bookmarkStart w:id="1791" w:name="_Toc23635"/>
      <w:bookmarkStart w:id="1792" w:name="_Toc4804"/>
      <w:bookmarkStart w:id="1793" w:name="_Toc28653"/>
      <w:bookmarkStart w:id="1794" w:name="_Toc32664"/>
      <w:bookmarkStart w:id="1795" w:name="_Toc26087"/>
      <w:bookmarkStart w:id="1796" w:name="_Toc15185"/>
      <w:bookmarkStart w:id="1797" w:name="_Toc517528671"/>
      <w:bookmarkStart w:id="1798" w:name="_Toc1728"/>
      <w:bookmarkStart w:id="1799" w:name="_Toc28284"/>
      <w:bookmarkStart w:id="1800" w:name="_Toc517532055"/>
      <w:bookmarkStart w:id="1801" w:name="_Toc27443"/>
      <w:bookmarkStart w:id="1802" w:name="_Toc31417"/>
      <w:bookmarkStart w:id="1803" w:name="_Toc27770"/>
      <w:bookmarkStart w:id="1804" w:name="_Toc12318"/>
      <w:bookmarkStart w:id="1805" w:name="_Toc30521"/>
      <w:bookmarkStart w:id="1806" w:name="_Toc351203528"/>
      <w:r>
        <w:rPr>
          <w:rFonts w:hint="eastAsia" w:ascii="宋体" w:hAnsi="宋体" w:cs="宋体"/>
          <w:b/>
          <w:bCs/>
          <w:color w:val="auto"/>
          <w:sz w:val="28"/>
          <w:szCs w:val="28"/>
          <w:highlight w:val="none"/>
        </w:rPr>
        <w:t>4.1</w:t>
      </w:r>
      <w:bookmarkEnd w:id="1783"/>
      <w:bookmarkEnd w:id="1784"/>
      <w:r>
        <w:rPr>
          <w:rFonts w:hint="eastAsia" w:ascii="宋体" w:hAnsi="宋体" w:cs="宋体"/>
          <w:b/>
          <w:bCs/>
          <w:color w:val="auto"/>
          <w:sz w:val="28"/>
          <w:szCs w:val="28"/>
          <w:highlight w:val="none"/>
        </w:rPr>
        <w:t>监理人</w:t>
      </w:r>
      <w:bookmarkEnd w:id="1785"/>
      <w:r>
        <w:rPr>
          <w:rFonts w:hint="eastAsia" w:ascii="宋体" w:hAnsi="宋体" w:cs="宋体"/>
          <w:b/>
          <w:bCs/>
          <w:color w:val="auto"/>
          <w:sz w:val="28"/>
          <w:szCs w:val="28"/>
          <w:highlight w:val="none"/>
        </w:rPr>
        <w:t>的一般规定</w:t>
      </w:r>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除专用合同条款另有约定外，监理人在施工现场的办公场所、生活场所由承包人提供，所发生的费用由发包人承担。</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807" w:name="_Toc7011"/>
      <w:bookmarkStart w:id="1808" w:name="_Toc1842"/>
      <w:bookmarkStart w:id="1809" w:name="_Toc30092"/>
      <w:bookmarkStart w:id="1810" w:name="_Toc21876"/>
      <w:bookmarkStart w:id="1811" w:name="_Toc21317"/>
      <w:bookmarkStart w:id="1812" w:name="_Toc30131"/>
      <w:bookmarkStart w:id="1813" w:name="_Toc12815"/>
      <w:bookmarkStart w:id="1814" w:name="_Toc27778"/>
      <w:bookmarkStart w:id="1815" w:name="_Toc4306"/>
      <w:bookmarkStart w:id="1816" w:name="_Toc595"/>
      <w:bookmarkStart w:id="1817" w:name="_Toc263"/>
      <w:bookmarkStart w:id="1818" w:name="_Toc26290"/>
      <w:bookmarkStart w:id="1819" w:name="_Toc517530780"/>
      <w:bookmarkStart w:id="1820" w:name="_Toc22977"/>
      <w:bookmarkStart w:id="1821" w:name="_Toc15766"/>
      <w:bookmarkStart w:id="1822" w:name="_Toc27966"/>
      <w:bookmarkStart w:id="1823" w:name="_Toc517532056"/>
      <w:bookmarkStart w:id="1824" w:name="_Toc23826"/>
      <w:bookmarkStart w:id="1825" w:name="_Toc31448"/>
      <w:bookmarkStart w:id="1826" w:name="_Toc16494"/>
      <w:r>
        <w:rPr>
          <w:rFonts w:hint="eastAsia" w:ascii="宋体" w:hAnsi="宋体" w:cs="宋体"/>
          <w:b/>
          <w:bCs/>
          <w:color w:val="auto"/>
          <w:sz w:val="24"/>
          <w:szCs w:val="24"/>
          <w:highlight w:val="none"/>
        </w:rPr>
        <w:t>4.1.1监理人的职责和权限</w:t>
      </w:r>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(1)监理人必须履行合同规定的职责。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(2)监理人可以行使合同规定的职权。监理人根据合同行使的职权，都应认为已从发包人处取得了必要的批准。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(3)除在合同中有明确的规定外，监理人无权解除合同规定的承包人的任何义务。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(4)监理人在行使下述职权之前，应先取得发包人的书面批准：</w:t>
      </w:r>
    </w:p>
    <w:p>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（a）发布开工令、停工令、复工令，如在紧急情况下未能事先报告时，则应在24小时内向发包人做出书面报告；</w:t>
      </w:r>
    </w:p>
    <w:p>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（b）向设计单位提出建议，且提出的建议可能会提高工程造价或者延误工期时；</w:t>
      </w:r>
    </w:p>
    <w:p>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（c）向承包人提出建议，且拟提出的建议可能会提高工程造价或者延误工期时；</w:t>
      </w:r>
    </w:p>
    <w:p>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（d）对合同规定的承包人义务进行变更；</w:t>
      </w:r>
    </w:p>
    <w:p>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（e）行使索赔权利。</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尽管工程任何形式、质量、数量和内容上的变动都需要获得发包人批准，但当监理人认为出现了危及人身、财产安全和影响工程安危的紧急情况时，在不解除合同规定的承包人的任何义务和责任的情况下，监理人可以指令承包人实施上述工作。</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827" w:name="_Toc13917"/>
      <w:bookmarkStart w:id="1828" w:name="_Toc10884"/>
      <w:bookmarkStart w:id="1829" w:name="_Toc17659"/>
      <w:bookmarkStart w:id="1830" w:name="_Toc26050"/>
      <w:bookmarkStart w:id="1831" w:name="_Toc16889"/>
      <w:bookmarkStart w:id="1832" w:name="_Toc517532057"/>
      <w:bookmarkStart w:id="1833" w:name="_Toc18600"/>
      <w:bookmarkStart w:id="1834" w:name="_Toc7604"/>
      <w:bookmarkStart w:id="1835" w:name="_Toc7336"/>
      <w:bookmarkStart w:id="1836" w:name="_Toc31823"/>
      <w:bookmarkStart w:id="1837" w:name="_Toc19214"/>
      <w:bookmarkStart w:id="1838" w:name="_Toc517530781"/>
      <w:bookmarkStart w:id="1839" w:name="_Toc18535"/>
      <w:bookmarkStart w:id="1840" w:name="_Toc23119"/>
      <w:bookmarkStart w:id="1841" w:name="_Toc1719"/>
      <w:bookmarkStart w:id="1842" w:name="_Toc13916"/>
      <w:bookmarkStart w:id="1843" w:name="_Toc3881"/>
      <w:bookmarkStart w:id="1844" w:name="_Toc29801"/>
      <w:bookmarkStart w:id="1845" w:name="_Toc21031"/>
      <w:bookmarkStart w:id="1846" w:name="_Toc1711"/>
      <w:r>
        <w:rPr>
          <w:rFonts w:hint="eastAsia" w:ascii="宋体" w:hAnsi="宋体" w:cs="宋体"/>
          <w:b/>
          <w:bCs/>
          <w:color w:val="auto"/>
          <w:sz w:val="24"/>
          <w:szCs w:val="24"/>
          <w:highlight w:val="none"/>
        </w:rPr>
        <w:t>4.1.2书面指令</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监理人发出的指令应是书面的，在某些特殊情形下，监理人可以发出口头指令，承包人必须执行口头指令，但事后监理人应以书面形式确认上述口头指令。如果承包人在监理人发出口头指令的</w:t>
      </w:r>
      <w:r>
        <w:rPr>
          <w:rFonts w:hint="eastAsia" w:ascii="宋体" w:hAnsi="宋体" w:cs="宋体"/>
          <w:color w:val="auto"/>
          <w:szCs w:val="21"/>
          <w:highlight w:val="none"/>
          <w:u w:val="single"/>
        </w:rPr>
        <w:t>3</w:t>
      </w:r>
      <w:r>
        <w:rPr>
          <w:rFonts w:hint="eastAsia" w:ascii="宋体" w:hAnsi="宋体" w:cs="宋体"/>
          <w:color w:val="auto"/>
          <w:szCs w:val="21"/>
          <w:highlight w:val="none"/>
        </w:rPr>
        <w:t>天内，未收到监理人的书面确认，承包人应立即以书面形式要求监理人确认上述口头指令。如监理人在收到承包人的书面要求</w:t>
      </w:r>
      <w:r>
        <w:rPr>
          <w:rFonts w:hint="eastAsia" w:ascii="宋体" w:hAnsi="宋体" w:cs="宋体"/>
          <w:color w:val="auto"/>
          <w:szCs w:val="21"/>
          <w:highlight w:val="none"/>
          <w:u w:val="single"/>
        </w:rPr>
        <w:t>3</w:t>
      </w:r>
      <w:r>
        <w:rPr>
          <w:rFonts w:hint="eastAsia" w:ascii="宋体" w:hAnsi="宋体" w:cs="宋体"/>
          <w:color w:val="auto"/>
          <w:szCs w:val="21"/>
          <w:highlight w:val="none"/>
        </w:rPr>
        <w:t>天之内没有以书面形式驳回上述确认，则该口头指令应认为已被监理人书面确认。</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本款的规定同样地适用于总监理工程师发出的指令，并适用于根据4.2.2条规定任命的监理工程师或总监理工程师的助理发出的指令。</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847" w:name="_Toc3464"/>
      <w:bookmarkStart w:id="1848" w:name="_Toc13776"/>
      <w:bookmarkStart w:id="1849" w:name="_Toc7337"/>
      <w:bookmarkStart w:id="1850" w:name="_Toc5864"/>
      <w:bookmarkStart w:id="1851" w:name="_Toc27836"/>
      <w:bookmarkStart w:id="1852" w:name="_Toc27734"/>
      <w:bookmarkStart w:id="1853" w:name="_Toc1929"/>
      <w:bookmarkStart w:id="1854" w:name="_Toc11864"/>
      <w:bookmarkStart w:id="1855" w:name="_Toc7321"/>
      <w:bookmarkStart w:id="1856" w:name="_Toc21645"/>
      <w:bookmarkStart w:id="1857" w:name="_Toc517530782"/>
      <w:bookmarkStart w:id="1858" w:name="_Toc517532058"/>
      <w:bookmarkStart w:id="1859" w:name="_Toc20274"/>
      <w:bookmarkStart w:id="1860" w:name="_Toc5425"/>
      <w:bookmarkStart w:id="1861" w:name="_Toc17455"/>
      <w:bookmarkStart w:id="1862" w:name="_Toc697"/>
      <w:bookmarkStart w:id="1863" w:name="_Toc684"/>
      <w:bookmarkStart w:id="1864" w:name="_Toc6996"/>
      <w:bookmarkStart w:id="1865" w:name="_Toc12348"/>
      <w:bookmarkStart w:id="1866" w:name="_Toc31379"/>
      <w:r>
        <w:rPr>
          <w:rFonts w:hint="eastAsia" w:ascii="宋体" w:hAnsi="宋体" w:cs="宋体"/>
          <w:b/>
          <w:bCs/>
          <w:color w:val="auto"/>
          <w:sz w:val="24"/>
          <w:szCs w:val="24"/>
          <w:highlight w:val="none"/>
        </w:rPr>
        <w:t>4.1.3监理人客观中立</w:t>
      </w:r>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监理人在按本合同要求作出各项决定时，应该根据合同条款规定，考虑各种情况，实事求是和公正地作出判断并接受检查。如发现有不当之处，应进行修正。</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867" w:name="_Toc465237100"/>
      <w:bookmarkStart w:id="1868" w:name="_Toc7911"/>
      <w:bookmarkStart w:id="1869" w:name="_Toc517530783"/>
      <w:bookmarkStart w:id="1870" w:name="_Toc18716"/>
      <w:bookmarkStart w:id="1871" w:name="_Toc1513"/>
      <w:bookmarkStart w:id="1872" w:name="_Toc22492"/>
      <w:bookmarkStart w:id="1873" w:name="_Toc2665"/>
      <w:bookmarkStart w:id="1874" w:name="_Toc465237198"/>
      <w:bookmarkStart w:id="1875" w:name="_Toc517528672"/>
      <w:bookmarkStart w:id="1876" w:name="_Toc22001"/>
      <w:bookmarkStart w:id="1877" w:name="_Toc20124"/>
      <w:bookmarkStart w:id="1878" w:name="_Toc31528"/>
      <w:bookmarkStart w:id="1879" w:name="_Toc12685"/>
      <w:bookmarkStart w:id="1880" w:name="_Toc29497"/>
      <w:bookmarkStart w:id="1881" w:name="_Toc843"/>
      <w:bookmarkStart w:id="1882" w:name="_Toc23312"/>
      <w:bookmarkStart w:id="1883" w:name="_Toc17435"/>
      <w:bookmarkStart w:id="1884" w:name="_Toc32725"/>
      <w:bookmarkStart w:id="1885" w:name="_Toc22929"/>
      <w:bookmarkStart w:id="1886" w:name="_Toc13774"/>
      <w:bookmarkStart w:id="1887" w:name="_Toc517532059"/>
      <w:bookmarkStart w:id="1888" w:name="_Toc11090"/>
      <w:bookmarkStart w:id="1889" w:name="_Toc13583"/>
      <w:r>
        <w:rPr>
          <w:rFonts w:hint="eastAsia" w:ascii="宋体" w:hAnsi="宋体" w:cs="宋体"/>
          <w:b/>
          <w:bCs/>
          <w:color w:val="auto"/>
          <w:sz w:val="28"/>
          <w:szCs w:val="28"/>
          <w:highlight w:val="none"/>
        </w:rPr>
        <w:t>4.2监理人员</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p>
    <w:p>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890" w:name="_Toc2373"/>
      <w:bookmarkStart w:id="1891" w:name="_Toc17268"/>
      <w:bookmarkStart w:id="1892" w:name="_Toc9395"/>
      <w:bookmarkStart w:id="1893" w:name="_Toc2228"/>
      <w:bookmarkStart w:id="1894" w:name="_Toc9384"/>
      <w:bookmarkStart w:id="1895" w:name="_Toc2141"/>
      <w:bookmarkStart w:id="1896" w:name="_Toc16315"/>
      <w:bookmarkStart w:id="1897" w:name="_Toc25799"/>
      <w:bookmarkStart w:id="1898" w:name="_Toc3299"/>
      <w:bookmarkStart w:id="1899" w:name="_Toc517532060"/>
      <w:bookmarkStart w:id="1900" w:name="_Toc6869"/>
      <w:bookmarkStart w:id="1901" w:name="_Toc28017"/>
      <w:bookmarkStart w:id="1902" w:name="_Toc16954"/>
      <w:bookmarkStart w:id="1903" w:name="_Toc28103"/>
      <w:bookmarkStart w:id="1904" w:name="_Toc6891"/>
      <w:bookmarkStart w:id="1905" w:name="_Toc517530784"/>
      <w:bookmarkStart w:id="1906" w:name="_Toc14410"/>
      <w:bookmarkStart w:id="1907" w:name="_Toc32497"/>
      <w:bookmarkStart w:id="1908" w:name="_Toc22956"/>
      <w:bookmarkStart w:id="1909" w:name="_Toc28276"/>
      <w:r>
        <w:rPr>
          <w:rFonts w:hint="eastAsia" w:ascii="宋体" w:hAnsi="宋体" w:cs="宋体"/>
          <w:b/>
          <w:bCs/>
          <w:color w:val="auto"/>
          <w:sz w:val="24"/>
          <w:szCs w:val="24"/>
          <w:highlight w:val="none"/>
        </w:rPr>
        <w:t>4.2.1总监理工程师</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总监理工程师应由监理人任命，并对监理人负责。总监理工程师履行和行使监理人委托的职责与职权。</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总监理工程师根据上述的委托向承包人发出的任何函电等，都与由监理人发出的同等有效，但是：</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(a)总监理工程师如对任何工作、材料或设备未加反对，应不影响监理人对上述问题的否定和给予指令去纠正的权力；</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(b)承包人对总监理工程师的所来函电如有疑问，承包人可将该疑问提交监理人，而监理人应对上述函电内容做出确认、否定或改变。</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1910" w:name="_Toc10955"/>
      <w:bookmarkStart w:id="1911" w:name="_Toc517532061"/>
      <w:bookmarkStart w:id="1912" w:name="_Toc23998"/>
      <w:bookmarkStart w:id="1913" w:name="_Toc21010"/>
      <w:bookmarkStart w:id="1914" w:name="_Toc12737"/>
      <w:bookmarkStart w:id="1915" w:name="_Toc25899"/>
      <w:bookmarkStart w:id="1916" w:name="_Toc15829"/>
      <w:bookmarkStart w:id="1917" w:name="_Toc19589"/>
      <w:bookmarkStart w:id="1918" w:name="_Toc10171"/>
      <w:bookmarkStart w:id="1919" w:name="_Toc29010"/>
      <w:bookmarkStart w:id="1920" w:name="_Toc16770"/>
      <w:bookmarkStart w:id="1921" w:name="_Toc517530785"/>
      <w:bookmarkStart w:id="1922" w:name="_Toc6584"/>
      <w:bookmarkStart w:id="1923" w:name="_Toc8246"/>
      <w:bookmarkStart w:id="1924" w:name="_Toc491"/>
      <w:bookmarkStart w:id="1925" w:name="_Toc16810"/>
      <w:bookmarkStart w:id="1926" w:name="_Toc31468"/>
      <w:bookmarkStart w:id="1927" w:name="_Toc31265"/>
      <w:bookmarkStart w:id="1928" w:name="_Toc8028"/>
      <w:bookmarkStart w:id="1929" w:name="_Toc6492"/>
      <w:r>
        <w:rPr>
          <w:rFonts w:hint="eastAsia" w:ascii="宋体" w:hAnsi="宋体" w:cs="宋体"/>
          <w:b/>
          <w:bCs/>
          <w:color w:val="auto"/>
          <w:sz w:val="24"/>
          <w:szCs w:val="24"/>
          <w:highlight w:val="none"/>
        </w:rPr>
        <w:t>4.2.2总监理工程师助理</w:t>
      </w:r>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可以任命一定数量的人员协助总监理工程师完成第4.2.1条规定的总监理工程师的任务。监理人或总监理工程师应将上述人员的姓名、职权和权限范围通知承包人。上述助理无权向承包人签发指令，除非此类指令是为履行其本身职责和按合同规定验收材料设备或操作工艺等所必需的，其为此目的而发出的任何指令均应视为是总监理工程师发出的。</w:t>
      </w:r>
    </w:p>
    <w:bookmarkEnd w:id="1806"/>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1930" w:name="_Toc2367"/>
      <w:bookmarkStart w:id="1931" w:name="_Toc517530786"/>
      <w:bookmarkStart w:id="1932" w:name="_Toc30182"/>
      <w:bookmarkStart w:id="1933" w:name="_Toc29632"/>
      <w:bookmarkStart w:id="1934" w:name="_Toc10105"/>
      <w:bookmarkStart w:id="1935" w:name="_Toc15715"/>
      <w:bookmarkStart w:id="1936" w:name="_Toc21888"/>
      <w:bookmarkStart w:id="1937" w:name="_Toc30390"/>
      <w:bookmarkStart w:id="1938" w:name="_Toc465237101"/>
      <w:bookmarkStart w:id="1939" w:name="_Toc17513"/>
      <w:bookmarkStart w:id="1940" w:name="_Toc4408"/>
      <w:bookmarkStart w:id="1941" w:name="_Toc3819"/>
      <w:bookmarkStart w:id="1942" w:name="_Toc517528673"/>
      <w:bookmarkStart w:id="1943" w:name="_Toc54"/>
      <w:bookmarkStart w:id="1944" w:name="_Toc25787"/>
      <w:bookmarkStart w:id="1945" w:name="_Toc20507"/>
      <w:bookmarkStart w:id="1946" w:name="_Toc19312"/>
      <w:bookmarkStart w:id="1947" w:name="_Toc465237199"/>
      <w:bookmarkStart w:id="1948" w:name="_Toc9417"/>
      <w:bookmarkStart w:id="1949" w:name="_Toc351203538"/>
      <w:bookmarkStart w:id="1950" w:name="_Toc517529738"/>
      <w:bookmarkStart w:id="1951" w:name="_Toc11881"/>
      <w:bookmarkStart w:id="1952" w:name="_Toc30632"/>
      <w:bookmarkStart w:id="1953" w:name="_Toc517532062"/>
      <w:bookmarkStart w:id="1954" w:name="_Toc18619"/>
      <w:bookmarkStart w:id="1955" w:name="_Toc337558763"/>
      <w:r>
        <w:rPr>
          <w:rFonts w:hint="eastAsia" w:ascii="宋体" w:hAnsi="宋体" w:cs="宋体"/>
          <w:b/>
          <w:bCs/>
          <w:color w:val="auto"/>
          <w:sz w:val="30"/>
          <w:szCs w:val="30"/>
          <w:highlight w:val="none"/>
        </w:rPr>
        <w:t>5.工程质量</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956" w:name="_Toc23472"/>
      <w:bookmarkStart w:id="1957" w:name="_Toc3340"/>
      <w:bookmarkStart w:id="1958" w:name="_Toc7032"/>
      <w:bookmarkStart w:id="1959" w:name="_Toc30149"/>
      <w:bookmarkStart w:id="1960" w:name="_Toc517528674"/>
      <w:bookmarkStart w:id="1961" w:name="_Toc30767"/>
      <w:bookmarkStart w:id="1962" w:name="_Toc3988"/>
      <w:bookmarkStart w:id="1963" w:name="_Toc27337"/>
      <w:bookmarkStart w:id="1964" w:name="_Toc165"/>
      <w:bookmarkStart w:id="1965" w:name="_Toc2993"/>
      <w:bookmarkStart w:id="1966" w:name="_Toc27960"/>
      <w:bookmarkStart w:id="1967" w:name="_Toc25931"/>
      <w:bookmarkStart w:id="1968" w:name="_Toc517532063"/>
      <w:bookmarkStart w:id="1969" w:name="_Toc9064"/>
      <w:bookmarkStart w:id="1970" w:name="_Toc517530787"/>
      <w:bookmarkStart w:id="1971" w:name="_Toc17586"/>
      <w:bookmarkStart w:id="1972" w:name="_Toc19106"/>
      <w:bookmarkStart w:id="1973" w:name="_Toc27036"/>
      <w:r>
        <w:rPr>
          <w:rFonts w:hint="eastAsia" w:ascii="宋体" w:hAnsi="宋体" w:cs="宋体"/>
          <w:b/>
          <w:bCs/>
          <w:color w:val="auto"/>
          <w:sz w:val="28"/>
          <w:szCs w:val="28"/>
          <w:highlight w:val="none"/>
        </w:rPr>
        <w:t>5.1质量要求</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工程质量标准必须符合现行国家有关工程施工质量验收规范和标准的要求</w:t>
      </w:r>
      <w:r>
        <w:rPr>
          <w:rFonts w:hint="eastAsia" w:ascii="宋体" w:hAnsi="宋体" w:cs="宋体"/>
          <w:color w:val="auto"/>
          <w:szCs w:val="21"/>
          <w:highlight w:val="none"/>
        </w:rPr>
        <w:t>、工程所在地的地方性标准以及相应的规范、规程等（若存在冲突，以较严格的为准，除非设计另有约定），此外还需满足发包人制定的技术标准。</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1974" w:name="_Toc5457"/>
      <w:bookmarkStart w:id="1975" w:name="_Toc18564"/>
      <w:bookmarkStart w:id="1976" w:name="_Toc29634"/>
      <w:bookmarkStart w:id="1977" w:name="_Toc517530788"/>
      <w:bookmarkStart w:id="1978" w:name="_Toc32185"/>
      <w:bookmarkStart w:id="1979" w:name="_Toc5596"/>
      <w:bookmarkStart w:id="1980" w:name="_Toc6249"/>
      <w:bookmarkStart w:id="1981" w:name="_Toc517532064"/>
      <w:bookmarkStart w:id="1982" w:name="_Toc8059"/>
      <w:bookmarkStart w:id="1983" w:name="_Toc32183"/>
      <w:bookmarkStart w:id="1984" w:name="_Toc517528675"/>
      <w:bookmarkStart w:id="1985" w:name="_Toc26206"/>
      <w:bookmarkStart w:id="1986" w:name="_Toc8004"/>
      <w:bookmarkStart w:id="1987" w:name="_Toc14137"/>
      <w:bookmarkStart w:id="1988" w:name="_Toc2800"/>
      <w:bookmarkStart w:id="1989" w:name="_Toc24751"/>
      <w:bookmarkStart w:id="1990" w:name="_Toc23219"/>
      <w:bookmarkStart w:id="1991" w:name="_Toc19999"/>
      <w:r>
        <w:rPr>
          <w:rFonts w:hint="eastAsia" w:ascii="宋体" w:hAnsi="宋体" w:cs="宋体"/>
          <w:b/>
          <w:bCs/>
          <w:color w:val="auto"/>
          <w:sz w:val="28"/>
          <w:szCs w:val="28"/>
          <w:highlight w:val="none"/>
        </w:rPr>
        <w:t>5.2承包人控制质量的责任</w:t>
      </w:r>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承包人就所有工程的质量及其指定的供货商的物料质量对发包人负责，所有工程是指由承包人及其分包人负责的全部工程。承包人应采取相应措施控制工程质量，包括但不限于下列内容：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(a)编制和审查施工技术方案，确定特殊工程的施工技术措施，制定工程质量保证措施，虽然这些方案和措施要求由监理人审批，但监理人的批示并不免除承包人的责任；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(b)提供和组织足够的工程质量控制与检验人员，检查与控制施工质量；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(c)控制施工所用的材料、设备包括承包人或其分包人自行采购的和指定供货商所供应的材料、设备，使其不低于规范、设计文件和发包人要求的标准；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(d)组织并参与所有工程的验收工作，包括隐蔽验收、中间验收直至竣工验收，组织分包人参加工程竣工验收；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(e)负责组织分包人共同承担缺陷责任期的工程保修责任；对经监理人确认因承包人在质量控制方面的责任造成的工程损坏，由承包人自行修复到符合质量要求的程度，并承担由此产生给发包人造成的损失。</w:t>
      </w:r>
      <w:bookmarkStart w:id="1992" w:name="_Toc16516"/>
      <w:bookmarkStart w:id="1993" w:name="_Toc517532065"/>
      <w:bookmarkStart w:id="1994" w:name="_Toc517530789"/>
      <w:bookmarkStart w:id="1995" w:name="_Toc19119"/>
      <w:bookmarkStart w:id="1996" w:name="_Toc3088"/>
      <w:bookmarkStart w:id="1997" w:name="_Toc10557"/>
      <w:bookmarkStart w:id="1998" w:name="_Toc28983"/>
      <w:bookmarkStart w:id="1999" w:name="_Toc5306"/>
      <w:bookmarkStart w:id="2000" w:name="_Toc517528676"/>
      <w:bookmarkStart w:id="2001" w:name="_Toc11500"/>
      <w:bookmarkStart w:id="2002" w:name="_Toc21538"/>
      <w:bookmarkStart w:id="2003" w:name="_Toc25564"/>
      <w:bookmarkStart w:id="2004" w:name="_Toc3072"/>
      <w:bookmarkStart w:id="2005" w:name="_Toc19447"/>
      <w:bookmarkStart w:id="2006" w:name="_Toc21043"/>
      <w:bookmarkStart w:id="2007" w:name="_Toc23145"/>
      <w:bookmarkStart w:id="2008" w:name="_Toc16712"/>
      <w:bookmarkStart w:id="2009" w:name="_Toc3294"/>
    </w:p>
    <w:p>
      <w:pPr>
        <w:spacing w:line="360" w:lineRule="auto"/>
        <w:ind w:firstLine="562" w:firstLineChars="200"/>
        <w:jc w:val="left"/>
        <w:outlineLvl w:val="2"/>
        <w:rPr>
          <w:rFonts w:hint="eastAsia" w:ascii="宋体" w:hAnsi="宋体" w:cs="宋体"/>
          <w:color w:val="auto"/>
          <w:szCs w:val="21"/>
          <w:highlight w:val="none"/>
        </w:rPr>
      </w:pPr>
      <w:r>
        <w:rPr>
          <w:rFonts w:hint="eastAsia" w:ascii="宋体" w:hAnsi="宋体" w:cs="宋体"/>
          <w:b/>
          <w:bCs/>
          <w:color w:val="auto"/>
          <w:sz w:val="28"/>
          <w:szCs w:val="28"/>
          <w:highlight w:val="none"/>
        </w:rPr>
        <w:t>5.3发包人的抽查权</w:t>
      </w:r>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p>
    <w:p>
      <w:pPr>
        <w:keepNext/>
        <w:keepLines/>
        <w:spacing w:before="156" w:beforeLines="50" w:after="156" w:afterLines="50" w:line="360" w:lineRule="auto"/>
        <w:ind w:firstLine="561"/>
        <w:rPr>
          <w:rFonts w:hint="eastAsia" w:ascii="宋体" w:hAnsi="宋体" w:cs="宋体"/>
          <w:color w:val="auto"/>
          <w:szCs w:val="21"/>
          <w:highlight w:val="none"/>
        </w:rPr>
      </w:pPr>
      <w:bookmarkStart w:id="2010" w:name="_Toc4000"/>
      <w:bookmarkStart w:id="2011" w:name="_Toc19608"/>
      <w:bookmarkStart w:id="2012" w:name="_Toc28578"/>
      <w:bookmarkStart w:id="2013" w:name="_Toc9068"/>
      <w:bookmarkStart w:id="2014" w:name="_Toc517528677"/>
      <w:bookmarkStart w:id="2015" w:name="_Toc18306"/>
      <w:bookmarkStart w:id="2016" w:name="_Toc29382"/>
      <w:bookmarkStart w:id="2017" w:name="_Toc517532066"/>
      <w:bookmarkStart w:id="2018" w:name="_Toc12764"/>
      <w:bookmarkStart w:id="2019" w:name="_Toc3017"/>
      <w:bookmarkStart w:id="2020" w:name="_Toc10988"/>
      <w:bookmarkStart w:id="2021" w:name="_Toc8449"/>
      <w:bookmarkStart w:id="2022" w:name="_Toc841"/>
      <w:bookmarkStart w:id="2023" w:name="_Toc23755"/>
      <w:bookmarkStart w:id="2024" w:name="_Toc18279"/>
      <w:bookmarkStart w:id="2025" w:name="_Toc4485"/>
      <w:bookmarkStart w:id="2026" w:name="_Toc517530790"/>
      <w:bookmarkStart w:id="2027" w:name="_Toc12159"/>
      <w:r>
        <w:rPr>
          <w:rFonts w:hint="eastAsia" w:ascii="宋体" w:hAnsi="宋体" w:cs="宋体"/>
          <w:color w:val="auto"/>
          <w:szCs w:val="21"/>
          <w:highlight w:val="none"/>
        </w:rPr>
        <w:t>工程竣工前的施工过程中，发包人有权随时对工程或工程任何部分的质量和安全、施工行为及为完成工程所作的其他任何工作进行抽查，对使用在工程项目的材料设备进行抽检，并对抽查、抽检情况进行详细记录。</w:t>
      </w:r>
    </w:p>
    <w:p>
      <w:pPr>
        <w:keepNext/>
        <w:keepLines/>
        <w:spacing w:before="156" w:beforeLines="50" w:after="156" w:afterLines="50" w:line="360" w:lineRule="auto"/>
        <w:ind w:firstLine="561"/>
        <w:rPr>
          <w:rFonts w:hint="eastAsia" w:ascii="宋体" w:hAnsi="宋体" w:cs="宋体"/>
          <w:color w:val="auto"/>
          <w:szCs w:val="21"/>
          <w:highlight w:val="none"/>
        </w:rPr>
      </w:pPr>
      <w:r>
        <w:rPr>
          <w:rFonts w:hint="eastAsia" w:ascii="宋体" w:hAnsi="宋体" w:cs="宋体"/>
          <w:color w:val="auto"/>
          <w:szCs w:val="21"/>
          <w:highlight w:val="none"/>
        </w:rPr>
        <w:t>在对材料设备进行抽检的过程中，抽取的材料设备样品的费用由承包人承担，检测合格时相关检测费用由发包人承担，检测不合格时相关检测费用由承包人承担。</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5.4质量、安全检查</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发包人或发包人委托的第三方将定期或不定期对所管理的工程项目进行质量、安全检查，根据检查情况汇总形成年度房建（市政）工程质量排名（分若干组）和年度房建（市政）工程安全文明排名。</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2028" w:name="_Toc31637"/>
      <w:bookmarkStart w:id="2029" w:name="_Toc27140"/>
      <w:bookmarkStart w:id="2030" w:name="_Toc6325"/>
      <w:bookmarkStart w:id="2031" w:name="_Toc13733"/>
      <w:bookmarkStart w:id="2032" w:name="_Toc13708"/>
      <w:bookmarkStart w:id="2033" w:name="_Toc31730"/>
      <w:bookmarkStart w:id="2034" w:name="_Toc26704"/>
      <w:bookmarkStart w:id="2035" w:name="_Toc517532067"/>
      <w:bookmarkStart w:id="2036" w:name="_Toc6331"/>
      <w:bookmarkStart w:id="2037" w:name="_Toc517530791"/>
      <w:bookmarkStart w:id="2038" w:name="_Toc27328"/>
      <w:bookmarkStart w:id="2039" w:name="_Toc13090"/>
      <w:bookmarkStart w:id="2040" w:name="_Toc517528678"/>
      <w:bookmarkStart w:id="2041" w:name="_Toc517529739"/>
      <w:bookmarkStart w:id="2042" w:name="_Toc20116"/>
      <w:bookmarkStart w:id="2043" w:name="_Toc583"/>
      <w:bookmarkStart w:id="2044" w:name="_Toc21316"/>
      <w:bookmarkStart w:id="2045" w:name="_Toc18665"/>
      <w:bookmarkStart w:id="2046" w:name="_Toc2476"/>
      <w:r>
        <w:rPr>
          <w:rFonts w:hint="eastAsia" w:ascii="宋体" w:hAnsi="宋体" w:cs="宋体"/>
          <w:b/>
          <w:bCs/>
          <w:color w:val="auto"/>
          <w:sz w:val="30"/>
          <w:szCs w:val="30"/>
          <w:highlight w:val="none"/>
        </w:rPr>
        <w:t>6.安全文明施工与环境保护</w:t>
      </w:r>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047" w:name="_Toc26361"/>
      <w:bookmarkStart w:id="2048" w:name="_Toc19011"/>
      <w:bookmarkStart w:id="2049" w:name="_Toc29639"/>
      <w:bookmarkStart w:id="2050" w:name="_Toc18861"/>
      <w:bookmarkStart w:id="2051" w:name="_Toc517532068"/>
      <w:bookmarkStart w:id="2052" w:name="_Toc29986"/>
      <w:bookmarkStart w:id="2053" w:name="_Toc465237102"/>
      <w:bookmarkStart w:id="2054" w:name="_Toc25334"/>
      <w:bookmarkStart w:id="2055" w:name="_Toc13377"/>
      <w:bookmarkStart w:id="2056" w:name="_Toc517530792"/>
      <w:bookmarkStart w:id="2057" w:name="_Toc17938"/>
      <w:bookmarkStart w:id="2058" w:name="_Toc24120"/>
      <w:bookmarkStart w:id="2059" w:name="_Toc29561"/>
      <w:bookmarkStart w:id="2060" w:name="_Toc6313"/>
      <w:bookmarkStart w:id="2061" w:name="_Toc14434"/>
      <w:bookmarkStart w:id="2062" w:name="_Toc11363"/>
      <w:bookmarkStart w:id="2063" w:name="_Toc517528679"/>
      <w:bookmarkStart w:id="2064" w:name="_Toc20378"/>
      <w:bookmarkStart w:id="2065" w:name="_Toc7465"/>
      <w:bookmarkStart w:id="2066" w:name="_Toc13058"/>
      <w:bookmarkStart w:id="2067" w:name="_Toc27135"/>
      <w:bookmarkStart w:id="2068" w:name="_Toc13215"/>
      <w:bookmarkStart w:id="2069" w:name="_Toc465237200"/>
      <w:r>
        <w:rPr>
          <w:rFonts w:hint="eastAsia" w:ascii="宋体" w:hAnsi="宋体" w:cs="宋体"/>
          <w:b/>
          <w:bCs/>
          <w:color w:val="auto"/>
          <w:sz w:val="28"/>
          <w:szCs w:val="28"/>
          <w:highlight w:val="none"/>
        </w:rPr>
        <w:t>6.1安全文明施工</w:t>
      </w:r>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070" w:name="_Toc22697"/>
      <w:bookmarkStart w:id="2071" w:name="_Toc13390"/>
      <w:bookmarkStart w:id="2072" w:name="_Toc31767"/>
      <w:bookmarkStart w:id="2073" w:name="_Toc29361"/>
      <w:bookmarkStart w:id="2074" w:name="_Toc30764"/>
      <w:bookmarkStart w:id="2075" w:name="_Toc27980"/>
      <w:bookmarkStart w:id="2076" w:name="_Toc10249"/>
      <w:bookmarkStart w:id="2077" w:name="_Toc20024"/>
      <w:bookmarkStart w:id="2078" w:name="_Toc16309"/>
      <w:bookmarkStart w:id="2079" w:name="_Toc27729"/>
      <w:bookmarkStart w:id="2080" w:name="_Toc32487"/>
      <w:bookmarkStart w:id="2081" w:name="_Toc10927"/>
      <w:bookmarkStart w:id="2082" w:name="_Toc517532069"/>
      <w:bookmarkStart w:id="2083" w:name="_Toc20045"/>
      <w:bookmarkStart w:id="2084" w:name="_Toc517530793"/>
      <w:bookmarkStart w:id="2085" w:name="_Toc19894"/>
      <w:bookmarkStart w:id="2086" w:name="_Toc8630"/>
      <w:bookmarkStart w:id="2087" w:name="_Toc16989"/>
      <w:bookmarkStart w:id="2088" w:name="_Toc15389"/>
      <w:bookmarkStart w:id="2089" w:name="_Toc4035"/>
      <w:r>
        <w:rPr>
          <w:rFonts w:hint="eastAsia" w:ascii="宋体" w:hAnsi="宋体" w:cs="宋体"/>
          <w:b/>
          <w:bCs/>
          <w:color w:val="auto"/>
          <w:sz w:val="24"/>
          <w:szCs w:val="24"/>
          <w:highlight w:val="none"/>
        </w:rPr>
        <w:t>6.1.1安全文明施工方案</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中标人在递交施工组织设计的同时递交安全文明施工方案，并按照《深圳市建设工程安全文明施工标准》和《深圳市建筑工务署项目建设安全文明标准化手册3.0》，落实安全防护、环境保护、安全培训和信息化管理等要求，安全文明施工措施费专款专用。</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6.1.</w:t>
      </w:r>
      <w:bookmarkEnd w:id="2070"/>
      <w:bookmarkEnd w:id="2071"/>
      <w:bookmarkEnd w:id="2072"/>
      <w:bookmarkEnd w:id="2073"/>
      <w:bookmarkEnd w:id="2074"/>
      <w:bookmarkEnd w:id="2075"/>
      <w:bookmarkEnd w:id="2076"/>
      <w:bookmarkEnd w:id="2077"/>
      <w:bookmarkEnd w:id="2078"/>
      <w:r>
        <w:rPr>
          <w:rFonts w:hint="eastAsia" w:ascii="宋体" w:hAnsi="宋体" w:cs="宋体"/>
          <w:b/>
          <w:bCs/>
          <w:color w:val="auto"/>
          <w:sz w:val="24"/>
          <w:szCs w:val="24"/>
          <w:highlight w:val="none"/>
        </w:rPr>
        <w:t>2一般要求</w:t>
      </w:r>
      <w:bookmarkEnd w:id="2079"/>
      <w:bookmarkEnd w:id="2080"/>
      <w:bookmarkEnd w:id="2081"/>
      <w:bookmarkEnd w:id="2082"/>
      <w:bookmarkEnd w:id="2083"/>
      <w:bookmarkEnd w:id="2084"/>
      <w:bookmarkEnd w:id="2085"/>
      <w:bookmarkEnd w:id="2086"/>
      <w:bookmarkEnd w:id="2087"/>
      <w:bookmarkEnd w:id="2088"/>
      <w:bookmarkEnd w:id="208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在实施和完成本合同工程及其缺陷修复的整个过程中，承包人应该：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(a)充分关注和保障所有在现场工作的人员的安全，采取有效措施，使现场和本合同工程的实施保持有条不紊，以免使上述人员的安全受到威胁；</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(b)为了保护本合同工程免遭损坏，或为了现场附近和过往群众的安全与方便，在确有必要或当监理人或有关主管部门要求时，应自费提供照明、警卫、护栅、安全网、警告标志等安全防护设施；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(c)采取一切合理措施保护现场内外的环境，避免由于施工操作引起的粉尘、有害气体、噪音等对环境的污染，或其他原因造成的人身伤害或财产损失；</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(d)采取可靠措施保证原有交通的正常通行和维持沿线居民饮水、生产生活用电及通讯等管线的正常使用。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如果由于承包人未能对其负责的上述事项采取各种必要的措施而导致或发生与此有关的一切责任应由承包人负责。</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090" w:name="_Toc19699"/>
      <w:bookmarkStart w:id="2091" w:name="_Toc11529"/>
      <w:bookmarkStart w:id="2092" w:name="_Toc28322"/>
      <w:bookmarkStart w:id="2093" w:name="_Toc5273"/>
      <w:bookmarkStart w:id="2094" w:name="_Toc6944"/>
      <w:bookmarkStart w:id="2095" w:name="_Toc6228"/>
      <w:bookmarkStart w:id="2096" w:name="_Toc24638"/>
      <w:bookmarkStart w:id="2097" w:name="_Toc11770"/>
      <w:bookmarkStart w:id="2098" w:name="_Toc6266"/>
      <w:bookmarkStart w:id="2099" w:name="_Toc517530794"/>
      <w:bookmarkStart w:id="2100" w:name="_Toc517532070"/>
      <w:bookmarkStart w:id="2101" w:name="_Toc7118"/>
      <w:bookmarkStart w:id="2102" w:name="_Toc28108"/>
      <w:bookmarkStart w:id="2103" w:name="_Toc23375"/>
      <w:bookmarkStart w:id="2104" w:name="_Toc31643"/>
      <w:bookmarkStart w:id="2105" w:name="_Toc4564"/>
      <w:bookmarkStart w:id="2106" w:name="_Toc24711"/>
      <w:bookmarkStart w:id="2107" w:name="_Toc15552"/>
      <w:bookmarkStart w:id="2108" w:name="_Toc20087"/>
      <w:bookmarkStart w:id="2109" w:name="_Toc29775"/>
      <w:r>
        <w:rPr>
          <w:rFonts w:hint="eastAsia" w:ascii="宋体" w:hAnsi="宋体" w:cs="宋体"/>
          <w:b/>
          <w:bCs/>
          <w:color w:val="auto"/>
          <w:sz w:val="24"/>
          <w:szCs w:val="24"/>
          <w:highlight w:val="none"/>
        </w:rPr>
        <w:t>6.1.3施工对邻近房产和群众的干扰</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实施和完成本合同工程及缺陷修复工程中的一切施工作业，不得影响邻近建筑物、构筑物的安全与正常使用，应尽量避免干扰群众的通行，</w:t>
      </w:r>
      <w:r>
        <w:rPr>
          <w:rFonts w:ascii="宋体" w:hAnsi="宋体" w:cs="宋体"/>
          <w:color w:val="auto"/>
          <w:szCs w:val="21"/>
          <w:highlight w:val="none"/>
        </w:rPr>
        <w:t>同时仍应保证施工</w:t>
      </w:r>
      <w:r>
        <w:rPr>
          <w:rFonts w:hint="eastAsia" w:ascii="宋体" w:hAnsi="宋体" w:cs="宋体"/>
          <w:color w:val="auto"/>
          <w:szCs w:val="21"/>
          <w:highlight w:val="none"/>
        </w:rPr>
        <w:t>作业</w:t>
      </w:r>
      <w:r>
        <w:rPr>
          <w:rFonts w:ascii="宋体" w:hAnsi="宋体" w:cs="宋体"/>
          <w:color w:val="auto"/>
          <w:szCs w:val="21"/>
          <w:highlight w:val="none"/>
        </w:rPr>
        <w:t>符合合同要求</w:t>
      </w:r>
      <w:r>
        <w:rPr>
          <w:rFonts w:hint="eastAsia" w:ascii="宋体" w:hAnsi="宋体" w:cs="宋体"/>
          <w:color w:val="auto"/>
          <w:szCs w:val="21"/>
          <w:highlight w:val="none"/>
        </w:rPr>
        <w:t>。如果发生上述情况，并由此导致索赔、赔偿、诉讼费、指控费及其他价款时，应由承包人承担一切责任及费用。但属于发包人或监理人对本工程提供的设计所引起的损失或损害除外。承包人在爆破施工中应采用经监理人批准的施工方案（包括安全措施）以保证当地的一切建筑物、构造物、附近人群等的安全及交通道路的通行方便,且应自行负责同当地的一切协调工作。由此发生的相关费用由承包人承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因降水或基础施工不当等引起邻近建筑物、构筑物、道路、管网等受到损害或构成安全隐患的，由承包人承担全部责任及费用。</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110" w:name="_Toc166"/>
      <w:bookmarkStart w:id="2111" w:name="_Toc19233"/>
      <w:bookmarkStart w:id="2112" w:name="_Toc5036"/>
      <w:bookmarkStart w:id="2113" w:name="_Toc15078"/>
      <w:bookmarkStart w:id="2114" w:name="_Toc3186"/>
      <w:bookmarkStart w:id="2115" w:name="_Toc30047"/>
      <w:bookmarkStart w:id="2116" w:name="_Toc32060"/>
      <w:bookmarkStart w:id="2117" w:name="_Toc29448"/>
      <w:bookmarkStart w:id="2118" w:name="_Toc22363"/>
      <w:bookmarkStart w:id="2119" w:name="_Toc517532071"/>
      <w:bookmarkStart w:id="2120" w:name="_Toc22201"/>
      <w:bookmarkStart w:id="2121" w:name="_Toc20452"/>
      <w:bookmarkStart w:id="2122" w:name="_Toc30517"/>
      <w:bookmarkStart w:id="2123" w:name="_Toc19332"/>
      <w:bookmarkStart w:id="2124" w:name="_Toc12634"/>
      <w:bookmarkStart w:id="2125" w:name="_Toc517530795"/>
      <w:bookmarkStart w:id="2126" w:name="_Toc21946"/>
      <w:bookmarkStart w:id="2127" w:name="_Toc13931"/>
      <w:bookmarkStart w:id="2128" w:name="_Toc20152"/>
      <w:bookmarkStart w:id="2129" w:name="_Toc828"/>
      <w:r>
        <w:rPr>
          <w:rFonts w:hint="eastAsia" w:ascii="宋体" w:hAnsi="宋体" w:cs="宋体"/>
          <w:b/>
          <w:bCs/>
          <w:color w:val="auto"/>
          <w:sz w:val="24"/>
          <w:szCs w:val="24"/>
          <w:highlight w:val="none"/>
        </w:rPr>
        <w:t>6.1.4工作时间的限制</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夜间或国家规定的节假日进行永久工程的施工应得到监理人的许可，并应遵守当地政府的有关规定或取得有关部门的批准，但是为了抢救生命或保护财产，或为了工程的安全、质量而不可避免的或绝对必要的作业，则不必事先经监理人的许可。在这种情况下，承包人应在事后立即向监理人书面报告。</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130" w:name="_Toc29867"/>
      <w:bookmarkStart w:id="2131" w:name="_Toc5333"/>
      <w:bookmarkStart w:id="2132" w:name="_Toc7226"/>
      <w:bookmarkStart w:id="2133" w:name="_Toc9981"/>
      <w:bookmarkStart w:id="2134" w:name="_Toc517532072"/>
      <w:bookmarkStart w:id="2135" w:name="_Toc5823"/>
      <w:bookmarkStart w:id="2136" w:name="_Toc12783"/>
      <w:bookmarkStart w:id="2137" w:name="_Toc29345"/>
      <w:bookmarkStart w:id="2138" w:name="_Toc22907"/>
      <w:bookmarkStart w:id="2139" w:name="_Toc16192"/>
      <w:bookmarkStart w:id="2140" w:name="_Toc26223"/>
      <w:bookmarkStart w:id="2141" w:name="_Toc3355"/>
      <w:bookmarkStart w:id="2142" w:name="_Toc3678"/>
      <w:bookmarkStart w:id="2143" w:name="_Toc17002"/>
      <w:bookmarkStart w:id="2144" w:name="_Toc15065"/>
      <w:bookmarkStart w:id="2145" w:name="_Toc31480"/>
      <w:bookmarkStart w:id="2146" w:name="_Toc21114"/>
      <w:bookmarkStart w:id="2147" w:name="_Toc14597"/>
      <w:bookmarkStart w:id="2148" w:name="_Toc151"/>
      <w:bookmarkStart w:id="2149" w:name="_Toc517530796"/>
      <w:r>
        <w:rPr>
          <w:rFonts w:hint="eastAsia" w:ascii="宋体" w:hAnsi="宋体" w:cs="宋体"/>
          <w:b/>
          <w:bCs/>
          <w:color w:val="auto"/>
          <w:sz w:val="24"/>
          <w:szCs w:val="24"/>
          <w:highlight w:val="none"/>
        </w:rPr>
        <w:t>6.1.5爆破器材的运输和保管</w:t>
      </w:r>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爆破器材（炸药、雷管、引火线等）由承包人自行采购、运输和保管，其运输和保管必须符合当地公安部门的有关规定，并接受当地公安部门定期或不定期的安全检查，必要时发包人应予协助。</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150" w:name="_Toc26160"/>
      <w:bookmarkStart w:id="2151" w:name="_Toc17047"/>
      <w:bookmarkStart w:id="2152" w:name="_Toc21473"/>
      <w:bookmarkStart w:id="2153" w:name="_Toc19410"/>
      <w:bookmarkStart w:id="2154" w:name="_Toc12260"/>
      <w:bookmarkStart w:id="2155" w:name="_Toc28761"/>
      <w:bookmarkStart w:id="2156" w:name="_Toc9124"/>
      <w:bookmarkStart w:id="2157" w:name="_Toc11953"/>
      <w:bookmarkStart w:id="2158" w:name="_Toc10175"/>
      <w:bookmarkStart w:id="2159" w:name="_Toc5266"/>
      <w:bookmarkStart w:id="2160" w:name="_Toc7373"/>
      <w:bookmarkStart w:id="2161" w:name="_Toc2237"/>
      <w:bookmarkStart w:id="2162" w:name="_Toc517530797"/>
      <w:bookmarkStart w:id="2163" w:name="_Toc110"/>
      <w:bookmarkStart w:id="2164" w:name="_Toc517532073"/>
      <w:bookmarkStart w:id="2165" w:name="_Toc9121"/>
      <w:bookmarkStart w:id="2166" w:name="_Toc28370"/>
      <w:bookmarkStart w:id="2167" w:name="_Toc31551"/>
      <w:bookmarkStart w:id="2168" w:name="_Toc6778"/>
      <w:bookmarkStart w:id="2169" w:name="_Toc5533"/>
      <w:r>
        <w:rPr>
          <w:rFonts w:hint="eastAsia" w:ascii="宋体" w:hAnsi="宋体" w:cs="宋体"/>
          <w:b/>
          <w:bCs/>
          <w:color w:val="auto"/>
          <w:sz w:val="24"/>
          <w:szCs w:val="24"/>
          <w:highlight w:val="none"/>
        </w:rPr>
        <w:t>6.1.6承包人保持现场整洁</w:t>
      </w:r>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在施工期间，承包人应随时保持现场整洁，施工装备和材料、设备应妥善存放和贮存，废料、垃圾和不再需要的临时设施应从现场清除、拆除并运走。</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170" w:name="_Toc13611"/>
      <w:bookmarkStart w:id="2171" w:name="_Toc568"/>
      <w:bookmarkStart w:id="2172" w:name="_Toc32706"/>
      <w:bookmarkStart w:id="2173" w:name="_Toc13441"/>
      <w:bookmarkStart w:id="2174" w:name="_Toc18930"/>
      <w:bookmarkStart w:id="2175" w:name="_Toc26723"/>
      <w:bookmarkStart w:id="2176" w:name="_Toc15918"/>
      <w:bookmarkStart w:id="2177" w:name="_Toc10929"/>
      <w:bookmarkStart w:id="2178" w:name="_Toc3214"/>
      <w:bookmarkStart w:id="2179" w:name="_Toc21176"/>
      <w:bookmarkStart w:id="2180" w:name="_Toc26520"/>
      <w:bookmarkStart w:id="2181" w:name="_Toc517532074"/>
      <w:bookmarkStart w:id="2182" w:name="_Toc6068"/>
      <w:bookmarkStart w:id="2183" w:name="_Toc28307"/>
      <w:bookmarkStart w:id="2184" w:name="_Toc5783"/>
      <w:bookmarkStart w:id="2185" w:name="_Toc517530798"/>
      <w:bookmarkStart w:id="2186" w:name="_Toc9204"/>
      <w:bookmarkStart w:id="2187" w:name="_Toc14655"/>
      <w:bookmarkStart w:id="2188" w:name="_Toc30933"/>
      <w:bookmarkStart w:id="2189" w:name="_Toc12932"/>
      <w:r>
        <w:rPr>
          <w:rFonts w:hint="eastAsia" w:ascii="宋体" w:hAnsi="宋体" w:cs="宋体"/>
          <w:b/>
          <w:bCs/>
          <w:color w:val="auto"/>
          <w:sz w:val="24"/>
          <w:szCs w:val="24"/>
          <w:highlight w:val="none"/>
        </w:rPr>
        <w:t>6.1.7竣工时的现场清理</w:t>
      </w:r>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在签发交接证书时，承包人应从与交接证书相关的现场清除并运出承包人装备、剩余材料、垃圾和各种临时设施，并保持整个现场及工程整洁，达到符合合同要求的使用状态。</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按照前款的规定，如果承包人未在发包人或监理人指定的合理时间内所有的承包人装备、剩余材料、垃圾及各种临时设施运走，则发包人可以：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(a)委托他人将承包人装备、剩余材料及承包人的其他财产觅地存放；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(b)委托他人清除并运走垃圾、废料。</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因上述工作而发生的费用应由承包人承担，发包人可从应付承包人的款项内扣除，若不足时，发包人可出售承包人的财产用以抵补，或由发包人依照法律从承包人处收回。</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190" w:name="_Toc517532075"/>
      <w:bookmarkStart w:id="2191" w:name="_Toc4225"/>
      <w:bookmarkStart w:id="2192" w:name="_Toc23471"/>
      <w:bookmarkStart w:id="2193" w:name="_Toc24340"/>
      <w:bookmarkStart w:id="2194" w:name="_Toc15132"/>
      <w:bookmarkStart w:id="2195" w:name="_Toc465237202"/>
      <w:bookmarkStart w:id="2196" w:name="_Toc10094"/>
      <w:bookmarkStart w:id="2197" w:name="_Toc8543"/>
      <w:bookmarkStart w:id="2198" w:name="_Toc14277"/>
      <w:bookmarkStart w:id="2199" w:name="_Toc24139"/>
      <w:bookmarkStart w:id="2200" w:name="_Toc30336"/>
      <w:bookmarkStart w:id="2201" w:name="_Toc465237104"/>
      <w:bookmarkStart w:id="2202" w:name="_Toc29776"/>
      <w:bookmarkStart w:id="2203" w:name="_Toc20387"/>
      <w:bookmarkStart w:id="2204" w:name="_Toc18418"/>
      <w:bookmarkStart w:id="2205" w:name="_Toc32753"/>
      <w:bookmarkStart w:id="2206" w:name="_Toc517530799"/>
      <w:bookmarkStart w:id="2207" w:name="_Toc1875"/>
      <w:bookmarkStart w:id="2208" w:name="_Toc4992"/>
      <w:bookmarkStart w:id="2209" w:name="_Toc16478"/>
      <w:bookmarkStart w:id="2210" w:name="_Toc8436"/>
      <w:bookmarkStart w:id="2211" w:name="_Toc22009"/>
      <w:r>
        <w:rPr>
          <w:rFonts w:hint="eastAsia" w:ascii="宋体" w:hAnsi="宋体" w:cs="宋体"/>
          <w:b/>
          <w:bCs/>
          <w:color w:val="auto"/>
          <w:sz w:val="24"/>
          <w:szCs w:val="24"/>
          <w:highlight w:val="none"/>
        </w:rPr>
        <w:t>6.1.8安全事故报告</w:t>
      </w:r>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如果现场发生重大伤亡及其他安全事故，承包人应按规定立即上报政府有关部门并通知监理人，同时按有关部门的要求处理。</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212" w:name="_Toc465237203"/>
      <w:bookmarkStart w:id="2213" w:name="_Toc7498"/>
      <w:bookmarkStart w:id="2214" w:name="_Toc16824"/>
      <w:bookmarkStart w:id="2215" w:name="_Toc5698"/>
      <w:bookmarkStart w:id="2216" w:name="_Toc8890"/>
      <w:bookmarkStart w:id="2217" w:name="_Toc16430"/>
      <w:bookmarkStart w:id="2218" w:name="_Toc16634"/>
      <w:bookmarkStart w:id="2219" w:name="_Toc25152"/>
      <w:bookmarkStart w:id="2220" w:name="_Toc28220"/>
      <w:bookmarkStart w:id="2221" w:name="_Toc22161"/>
      <w:bookmarkStart w:id="2222" w:name="_Toc17666"/>
      <w:bookmarkStart w:id="2223" w:name="_Toc517528680"/>
      <w:bookmarkStart w:id="2224" w:name="_Toc1433"/>
      <w:bookmarkStart w:id="2225" w:name="_Toc26354"/>
      <w:bookmarkStart w:id="2226" w:name="_Toc800"/>
      <w:bookmarkStart w:id="2227" w:name="_Toc19988"/>
      <w:bookmarkStart w:id="2228" w:name="_Toc17358"/>
      <w:bookmarkStart w:id="2229" w:name="_Toc517532076"/>
      <w:bookmarkStart w:id="2230" w:name="_Toc598"/>
      <w:bookmarkStart w:id="2231" w:name="_Toc517530800"/>
      <w:bookmarkStart w:id="2232" w:name="_Toc21567"/>
      <w:bookmarkStart w:id="2233" w:name="_Toc8329"/>
      <w:bookmarkStart w:id="2234" w:name="_Toc465237105"/>
      <w:r>
        <w:rPr>
          <w:rFonts w:hint="eastAsia" w:ascii="宋体" w:hAnsi="宋体" w:cs="宋体"/>
          <w:b/>
          <w:bCs/>
          <w:color w:val="auto"/>
          <w:sz w:val="28"/>
          <w:szCs w:val="28"/>
          <w:highlight w:val="none"/>
        </w:rPr>
        <w:t>6.2人身和财产损害</w:t>
      </w:r>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235" w:name="_Toc30955"/>
      <w:bookmarkStart w:id="2236" w:name="_Toc10787"/>
      <w:bookmarkStart w:id="2237" w:name="_Toc517532077"/>
      <w:bookmarkStart w:id="2238" w:name="_Toc6627"/>
      <w:bookmarkStart w:id="2239" w:name="_Toc27293"/>
      <w:bookmarkStart w:id="2240" w:name="_Toc27559"/>
      <w:bookmarkStart w:id="2241" w:name="_Toc517530801"/>
      <w:bookmarkStart w:id="2242" w:name="_Toc3493"/>
      <w:bookmarkStart w:id="2243" w:name="_Toc548"/>
      <w:bookmarkStart w:id="2244" w:name="_Toc20144"/>
      <w:bookmarkStart w:id="2245" w:name="_Toc17954"/>
      <w:bookmarkStart w:id="2246" w:name="_Toc2734"/>
      <w:bookmarkStart w:id="2247" w:name="_Toc18213"/>
      <w:bookmarkStart w:id="2248" w:name="_Toc24286"/>
      <w:bookmarkStart w:id="2249" w:name="_Toc27510"/>
      <w:bookmarkStart w:id="2250" w:name="_Toc31033"/>
      <w:bookmarkStart w:id="2251" w:name="_Toc29333"/>
      <w:bookmarkStart w:id="2252" w:name="_Toc31655"/>
      <w:bookmarkStart w:id="2253" w:name="_Toc5819"/>
      <w:bookmarkStart w:id="2254" w:name="_Toc28684"/>
      <w:r>
        <w:rPr>
          <w:rFonts w:hint="eastAsia" w:ascii="宋体" w:hAnsi="宋体" w:cs="宋体"/>
          <w:b/>
          <w:bCs/>
          <w:color w:val="auto"/>
          <w:sz w:val="24"/>
          <w:szCs w:val="24"/>
          <w:highlight w:val="none"/>
        </w:rPr>
        <w:t>6.2.1人身和财产的损害</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除合同另有规定外，承包人实施和完成本合同工程和缺陷修复过程中，应保障发包人免于承担由于下列原因发生或引起的损失和索赔：</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(a)任何人身死亡或伤残；</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(b)任何财产（不含本工程）的损失或损害。</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承包人并应保障发包人免于承担与此有关的一切赔偿或费用，包括但不限于损害赔偿金、违约金、诉讼费、仲裁费、律师费等，但第6.2.2条定义的例外事项除外。</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255" w:name="_Toc15524"/>
      <w:bookmarkStart w:id="2256" w:name="_Toc21744"/>
      <w:bookmarkStart w:id="2257" w:name="_Toc5325"/>
      <w:bookmarkStart w:id="2258" w:name="_Toc6604"/>
      <w:bookmarkStart w:id="2259" w:name="_Toc517530802"/>
      <w:bookmarkStart w:id="2260" w:name="_Toc23243"/>
      <w:bookmarkStart w:id="2261" w:name="_Toc28214"/>
      <w:bookmarkStart w:id="2262" w:name="_Toc31123"/>
      <w:bookmarkStart w:id="2263" w:name="_Toc7033"/>
      <w:bookmarkStart w:id="2264" w:name="_Toc30481"/>
      <w:bookmarkStart w:id="2265" w:name="_Toc17997"/>
      <w:bookmarkStart w:id="2266" w:name="_Toc1525"/>
      <w:bookmarkStart w:id="2267" w:name="_Toc5159"/>
      <w:bookmarkStart w:id="2268" w:name="_Toc16551"/>
      <w:bookmarkStart w:id="2269" w:name="_Toc23707"/>
      <w:bookmarkStart w:id="2270" w:name="_Toc4609"/>
      <w:bookmarkStart w:id="2271" w:name="_Toc16412"/>
      <w:bookmarkStart w:id="2272" w:name="_Toc517532078"/>
      <w:bookmarkStart w:id="2273" w:name="_Toc19645"/>
      <w:bookmarkStart w:id="2274" w:name="_Toc3978"/>
      <w:r>
        <w:rPr>
          <w:rFonts w:hint="eastAsia" w:ascii="宋体" w:hAnsi="宋体" w:cs="宋体"/>
          <w:b/>
          <w:bCs/>
          <w:color w:val="auto"/>
          <w:sz w:val="24"/>
          <w:szCs w:val="24"/>
          <w:highlight w:val="none"/>
        </w:rPr>
        <w:t>6.2.2例外事项</w:t>
      </w:r>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在第6.2.1条中所指的“例外事项”是：</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(a)本合同工程或其任何部分对土地的永久使用或占用；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(b)发包人在任何土地之上、之下、之内或穿过其间实施本合同工程或其任何部分的权利；</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(c)按照合同规定，实施和完成工程或修复工程中任何缺陷所导致的、无法避免的对财产的损害；</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(d)由发包人或其他承包人而不是承包人的职工的行为或疏忽所造成的人身伤亡或财产的损失，或与此有关的任何赔偿或费用，包括但不限于损害赔偿金、违约金、诉讼费、仲裁费、律师费等；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应保障承包人免于承担前款例外事项中所规定的有关赔偿或费用，包括但不限于损害赔偿金、违约金、诉讼费、仲裁费、律师费等。但当承包人或其职工也对伤害或损坏负有部分责任时，应公正合理地按发包人或其他承包人对上述伤害或损坏应负的责任程度而确定其偿付损害费用的相应部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275" w:name="_Toc25320"/>
      <w:bookmarkStart w:id="2276" w:name="_Toc27779"/>
      <w:bookmarkStart w:id="2277" w:name="_Toc25323"/>
      <w:bookmarkStart w:id="2278" w:name="_Toc517532079"/>
      <w:bookmarkStart w:id="2279" w:name="_Toc517530803"/>
      <w:bookmarkStart w:id="2280" w:name="_Toc22154"/>
      <w:bookmarkStart w:id="2281" w:name="_Toc30228"/>
      <w:bookmarkStart w:id="2282" w:name="_Toc10606"/>
      <w:bookmarkStart w:id="2283" w:name="_Toc3107"/>
      <w:bookmarkStart w:id="2284" w:name="_Toc16587"/>
      <w:bookmarkStart w:id="2285" w:name="_Toc1676"/>
      <w:bookmarkStart w:id="2286" w:name="_Toc17612"/>
      <w:bookmarkStart w:id="2287" w:name="_Toc18643"/>
      <w:bookmarkStart w:id="2288" w:name="_Toc32126"/>
      <w:bookmarkStart w:id="2289" w:name="_Toc22579"/>
      <w:bookmarkStart w:id="2290" w:name="_Toc577"/>
      <w:bookmarkStart w:id="2291" w:name="_Toc24984"/>
      <w:bookmarkStart w:id="2292" w:name="_Toc28860"/>
      <w:bookmarkStart w:id="2293" w:name="_Toc871"/>
      <w:bookmarkStart w:id="2294" w:name="_Toc15301"/>
      <w:r>
        <w:rPr>
          <w:rFonts w:hint="eastAsia" w:ascii="宋体" w:hAnsi="宋体" w:cs="宋体"/>
          <w:b/>
          <w:bCs/>
          <w:color w:val="auto"/>
          <w:sz w:val="24"/>
          <w:szCs w:val="24"/>
          <w:highlight w:val="none"/>
        </w:rPr>
        <w:t>6.2.3职工的事故或伤亡</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对承包人或任何分包人派遣或雇用的工人或其他人员的任何伤害或支付补偿不负责任，除非死亡或伤残是由于发包人或其职工的行为所造成的。承包人应保障发包人不承担除本文上述应由发包人负责以外的一切伤害赔偿和补偿以及与此有关的一切赔偿或费用，包括但不限于损害赔偿金、违约金、诉讼费、仲裁费、律师费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对于因工作或在受雇用期间死亡或受伤的工人，承包人须根据其雇用合同及发生意外的地点，按相关法律、法规的规定给予补偿。</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295" w:name="_Toc9795"/>
      <w:bookmarkStart w:id="2296" w:name="_Toc19174"/>
      <w:bookmarkStart w:id="2297" w:name="_Toc7249"/>
      <w:bookmarkStart w:id="2298" w:name="_Toc11346"/>
      <w:bookmarkStart w:id="2299" w:name="_Toc6514"/>
      <w:bookmarkStart w:id="2300" w:name="_Toc25525"/>
      <w:bookmarkStart w:id="2301" w:name="_Toc22957"/>
      <w:bookmarkStart w:id="2302" w:name="_Toc517528681"/>
      <w:bookmarkStart w:id="2303" w:name="_Toc1588"/>
      <w:bookmarkStart w:id="2304" w:name="_Toc16633"/>
      <w:bookmarkStart w:id="2305" w:name="_Toc13216"/>
      <w:bookmarkStart w:id="2306" w:name="_Toc465237204"/>
      <w:bookmarkStart w:id="2307" w:name="_Toc517532080"/>
      <w:bookmarkStart w:id="2308" w:name="_Toc7220"/>
      <w:bookmarkStart w:id="2309" w:name="_Toc465237106"/>
      <w:bookmarkStart w:id="2310" w:name="_Toc20405"/>
      <w:bookmarkStart w:id="2311" w:name="_Toc10642"/>
      <w:bookmarkStart w:id="2312" w:name="_Toc576"/>
      <w:bookmarkStart w:id="2313" w:name="_Toc21779"/>
      <w:bookmarkStart w:id="2314" w:name="_Toc18455"/>
      <w:bookmarkStart w:id="2315" w:name="_Toc23629"/>
      <w:bookmarkStart w:id="2316" w:name="_Toc29854"/>
      <w:bookmarkStart w:id="2317" w:name="_Toc517530804"/>
      <w:r>
        <w:rPr>
          <w:rFonts w:hint="eastAsia" w:ascii="宋体" w:hAnsi="宋体" w:cs="宋体"/>
          <w:b/>
          <w:bCs/>
          <w:color w:val="auto"/>
          <w:sz w:val="28"/>
          <w:szCs w:val="28"/>
          <w:highlight w:val="none"/>
        </w:rPr>
        <w:t>6.3环境保护</w:t>
      </w:r>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318" w:name="_Toc32266"/>
      <w:bookmarkStart w:id="2319" w:name="_Toc20188"/>
      <w:bookmarkStart w:id="2320" w:name="_Toc7753"/>
      <w:bookmarkStart w:id="2321" w:name="_Toc16854"/>
      <w:bookmarkStart w:id="2322" w:name="_Toc9362"/>
      <w:bookmarkStart w:id="2323" w:name="_Toc28788"/>
      <w:bookmarkStart w:id="2324" w:name="_Toc517532081"/>
      <w:bookmarkStart w:id="2325" w:name="_Toc13528"/>
      <w:bookmarkStart w:id="2326" w:name="_Toc18977"/>
      <w:bookmarkStart w:id="2327" w:name="_Toc16358"/>
      <w:bookmarkStart w:id="2328" w:name="_Toc31839"/>
      <w:bookmarkStart w:id="2329" w:name="_Toc17235"/>
      <w:bookmarkStart w:id="2330" w:name="_Toc517530805"/>
      <w:bookmarkStart w:id="2331" w:name="_Toc19883"/>
      <w:bookmarkStart w:id="2332" w:name="_Toc19334"/>
      <w:bookmarkStart w:id="2333" w:name="_Toc13621"/>
      <w:bookmarkStart w:id="2334" w:name="_Toc1387"/>
      <w:bookmarkStart w:id="2335" w:name="_Toc17258"/>
      <w:bookmarkStart w:id="2336" w:name="_Toc31455"/>
      <w:bookmarkStart w:id="2337" w:name="_Toc30365"/>
      <w:r>
        <w:rPr>
          <w:rFonts w:hint="eastAsia" w:ascii="宋体" w:hAnsi="宋体" w:cs="宋体"/>
          <w:b/>
          <w:bCs/>
          <w:color w:val="auto"/>
          <w:sz w:val="24"/>
          <w:szCs w:val="24"/>
          <w:highlight w:val="none"/>
        </w:rPr>
        <w:t>6.3.1扬尘污染防治</w:t>
      </w:r>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根据深圳市有关扬尘污染防治的管理办法，承包人对建设项目的扬尘污染负有防治责任，施工前，承包人应当制定具体的施工扬尘污染防治实施方案。</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338" w:name="_Toc15648"/>
      <w:bookmarkStart w:id="2339" w:name="_Toc31001"/>
      <w:bookmarkStart w:id="2340" w:name="_Toc13718"/>
      <w:bookmarkStart w:id="2341" w:name="_Toc23905"/>
      <w:bookmarkStart w:id="2342" w:name="_Toc6589"/>
      <w:bookmarkStart w:id="2343" w:name="_Toc16809"/>
      <w:bookmarkStart w:id="2344" w:name="_Toc2111"/>
      <w:bookmarkStart w:id="2345" w:name="_Toc19508"/>
      <w:bookmarkStart w:id="2346" w:name="_Toc26211"/>
      <w:bookmarkStart w:id="2347" w:name="_Toc517532082"/>
      <w:bookmarkStart w:id="2348" w:name="_Toc4393"/>
      <w:bookmarkStart w:id="2349" w:name="_Toc30470"/>
      <w:bookmarkStart w:id="2350" w:name="_Toc8525"/>
      <w:bookmarkStart w:id="2351" w:name="_Toc25184"/>
      <w:bookmarkStart w:id="2352" w:name="_Toc20733"/>
      <w:bookmarkStart w:id="2353" w:name="_Toc517530806"/>
      <w:bookmarkStart w:id="2354" w:name="_Toc25321"/>
      <w:bookmarkStart w:id="2355" w:name="_Toc9861"/>
      <w:bookmarkStart w:id="2356" w:name="_Toc31259"/>
      <w:r>
        <w:rPr>
          <w:rFonts w:hint="eastAsia" w:ascii="宋体" w:hAnsi="宋体" w:cs="宋体"/>
          <w:b/>
          <w:bCs/>
          <w:color w:val="auto"/>
          <w:sz w:val="24"/>
          <w:szCs w:val="24"/>
          <w:highlight w:val="none"/>
        </w:rPr>
        <w:t>6.3.2责任承担</w:t>
      </w:r>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bookmarkEnd w:id="1955"/>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2357" w:name="_Toc351203542"/>
      <w:bookmarkStart w:id="2358" w:name="_Toc465237108"/>
      <w:bookmarkStart w:id="2359" w:name="_Toc3447"/>
      <w:bookmarkStart w:id="2360" w:name="_Toc19289"/>
      <w:bookmarkStart w:id="2361" w:name="_Toc465237206"/>
      <w:bookmarkStart w:id="2362" w:name="_Toc517530807"/>
      <w:bookmarkStart w:id="2363" w:name="_Toc23865"/>
      <w:bookmarkStart w:id="2364" w:name="_Toc18934"/>
      <w:bookmarkStart w:id="2365" w:name="_Toc517532083"/>
      <w:bookmarkStart w:id="2366" w:name="_Toc517529740"/>
      <w:bookmarkStart w:id="2367" w:name="_Toc19398"/>
      <w:bookmarkStart w:id="2368" w:name="_Toc28997"/>
      <w:bookmarkStart w:id="2369" w:name="_Toc30278"/>
      <w:bookmarkStart w:id="2370" w:name="_Toc29433"/>
      <w:bookmarkStart w:id="2371" w:name="_Toc6387"/>
      <w:bookmarkStart w:id="2372" w:name="_Toc17953"/>
      <w:bookmarkStart w:id="2373" w:name="_Toc18781"/>
      <w:bookmarkStart w:id="2374" w:name="_Toc30307"/>
      <w:bookmarkStart w:id="2375" w:name="_Toc16959"/>
      <w:bookmarkStart w:id="2376" w:name="_Toc6347"/>
      <w:bookmarkStart w:id="2377" w:name="_Toc10049"/>
      <w:bookmarkStart w:id="2378" w:name="_Toc517528682"/>
      <w:bookmarkStart w:id="2379" w:name="_Toc20841"/>
      <w:bookmarkStart w:id="2380" w:name="_Toc13132"/>
      <w:bookmarkStart w:id="2381" w:name="_Toc8489"/>
      <w:bookmarkStart w:id="2382" w:name="_Toc337558767"/>
      <w:r>
        <w:rPr>
          <w:rFonts w:hint="eastAsia" w:ascii="宋体" w:hAnsi="宋体" w:cs="宋体"/>
          <w:b/>
          <w:bCs/>
          <w:color w:val="auto"/>
          <w:sz w:val="30"/>
          <w:szCs w:val="30"/>
          <w:highlight w:val="none"/>
        </w:rPr>
        <w:t>7.</w:t>
      </w:r>
      <w:bookmarkEnd w:id="2357"/>
      <w:r>
        <w:rPr>
          <w:rFonts w:hint="eastAsia" w:ascii="宋体" w:hAnsi="宋体" w:cs="宋体"/>
          <w:b/>
          <w:bCs/>
          <w:color w:val="auto"/>
          <w:sz w:val="30"/>
          <w:szCs w:val="30"/>
          <w:highlight w:val="none"/>
        </w:rPr>
        <w:t xml:space="preserve"> 工期和进度</w:t>
      </w:r>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p>
    <w:bookmarkEnd w:id="2382"/>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383" w:name="_Toc19927"/>
      <w:bookmarkStart w:id="2384" w:name="_Toc27122"/>
      <w:bookmarkStart w:id="2385" w:name="_Toc7744"/>
      <w:bookmarkStart w:id="2386" w:name="_Toc517532084"/>
      <w:bookmarkStart w:id="2387" w:name="_Toc25470"/>
      <w:bookmarkStart w:id="2388" w:name="_Toc24425"/>
      <w:bookmarkStart w:id="2389" w:name="_Toc16736"/>
      <w:bookmarkStart w:id="2390" w:name="_Toc20434"/>
      <w:bookmarkStart w:id="2391" w:name="_Toc17982"/>
      <w:bookmarkStart w:id="2392" w:name="_Toc837"/>
      <w:bookmarkStart w:id="2393" w:name="_Toc8446"/>
      <w:bookmarkStart w:id="2394" w:name="_Toc517528683"/>
      <w:bookmarkStart w:id="2395" w:name="_Toc27246"/>
      <w:bookmarkStart w:id="2396" w:name="_Toc5768"/>
      <w:bookmarkStart w:id="2397" w:name="_Toc279"/>
      <w:bookmarkStart w:id="2398" w:name="_Toc16300"/>
      <w:bookmarkStart w:id="2399" w:name="_Toc517530808"/>
      <w:bookmarkStart w:id="2400" w:name="_Toc24743"/>
      <w:bookmarkStart w:id="2401" w:name="_Toc24050"/>
      <w:bookmarkStart w:id="2402" w:name="_Toc465237207"/>
      <w:bookmarkStart w:id="2403" w:name="_Toc465237109"/>
      <w:bookmarkStart w:id="2404" w:name="_Toc7320"/>
      <w:bookmarkStart w:id="2405" w:name="_Toc17868"/>
      <w:bookmarkStart w:id="2406" w:name="_Toc337558769"/>
      <w:bookmarkStart w:id="2407" w:name="_Toc296503066"/>
      <w:bookmarkStart w:id="2408" w:name="_Toc296346567"/>
      <w:r>
        <w:rPr>
          <w:rFonts w:hint="eastAsia" w:ascii="宋体" w:hAnsi="宋体" w:cs="宋体"/>
          <w:b/>
          <w:bCs/>
          <w:color w:val="auto"/>
          <w:sz w:val="28"/>
          <w:szCs w:val="28"/>
          <w:highlight w:val="none"/>
        </w:rPr>
        <w:t>7.1 施工进度计划</w:t>
      </w:r>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bookmarkEnd w:id="2406"/>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409" w:name="_Toc7723"/>
      <w:bookmarkStart w:id="2410" w:name="_Toc517530809"/>
      <w:bookmarkStart w:id="2411" w:name="_Toc13008"/>
      <w:bookmarkStart w:id="2412" w:name="_Toc26372"/>
      <w:bookmarkStart w:id="2413" w:name="_Toc10297"/>
      <w:bookmarkStart w:id="2414" w:name="_Toc24069"/>
      <w:bookmarkStart w:id="2415" w:name="_Toc4587"/>
      <w:bookmarkStart w:id="2416" w:name="_Toc14844"/>
      <w:bookmarkStart w:id="2417" w:name="_Toc5933"/>
      <w:bookmarkStart w:id="2418" w:name="_Toc5604"/>
      <w:bookmarkStart w:id="2419" w:name="_Toc22413"/>
      <w:bookmarkStart w:id="2420" w:name="_Toc517532085"/>
      <w:bookmarkStart w:id="2421" w:name="_Toc10205"/>
      <w:bookmarkStart w:id="2422" w:name="_Toc3018"/>
      <w:bookmarkStart w:id="2423" w:name="_Toc15446"/>
      <w:bookmarkStart w:id="2424" w:name="_Toc1667"/>
      <w:bookmarkStart w:id="2425" w:name="_Toc3151"/>
      <w:bookmarkStart w:id="2426" w:name="_Toc11707"/>
      <w:bookmarkStart w:id="2427" w:name="_Toc22551"/>
      <w:bookmarkStart w:id="2428" w:name="_Toc5011"/>
      <w:r>
        <w:rPr>
          <w:rFonts w:hint="eastAsia" w:ascii="宋体" w:hAnsi="宋体" w:cs="宋体"/>
          <w:b/>
          <w:bCs/>
          <w:color w:val="auto"/>
          <w:sz w:val="24"/>
          <w:szCs w:val="24"/>
          <w:highlight w:val="none"/>
        </w:rPr>
        <w:t>7.1.1工程进度计划的提交</w:t>
      </w:r>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承包人在收到中标通知书之日后，在收到全部或部分图纸和技术资料后</w:t>
      </w:r>
      <w:r>
        <w:rPr>
          <w:rFonts w:hint="eastAsia" w:ascii="宋体" w:hAnsi="宋体" w:cs="宋体"/>
          <w:color w:val="auto"/>
          <w:szCs w:val="21"/>
          <w:highlight w:val="none"/>
          <w:u w:val="single"/>
        </w:rPr>
        <w:t>14</w:t>
      </w:r>
      <w:r>
        <w:rPr>
          <w:rFonts w:hint="eastAsia" w:ascii="宋体" w:hAnsi="宋体" w:cs="宋体"/>
          <w:color w:val="auto"/>
          <w:szCs w:val="21"/>
          <w:highlight w:val="none"/>
        </w:rPr>
        <w:t>天内，应</w:t>
      </w:r>
      <w:r>
        <w:rPr>
          <w:rFonts w:hint="eastAsia" w:ascii="宋体" w:hAnsi="宋体" w:cs="宋体"/>
          <w:color w:val="auto"/>
          <w:spacing w:val="2"/>
          <w:szCs w:val="21"/>
          <w:highlight w:val="none"/>
        </w:rPr>
        <w:t>向监理人提交</w:t>
      </w:r>
      <w:r>
        <w:rPr>
          <w:rFonts w:hint="eastAsia" w:ascii="宋体" w:hAnsi="宋体" w:cs="宋体"/>
          <w:color w:val="auto"/>
          <w:spacing w:val="2"/>
          <w:szCs w:val="21"/>
          <w:highlight w:val="none"/>
          <w:u w:val="single"/>
        </w:rPr>
        <w:t>3</w:t>
      </w:r>
      <w:r>
        <w:rPr>
          <w:rFonts w:hint="eastAsia" w:ascii="宋体" w:hAnsi="宋体" w:cs="宋体"/>
          <w:color w:val="auto"/>
          <w:spacing w:val="2"/>
          <w:szCs w:val="21"/>
          <w:highlight w:val="none"/>
        </w:rPr>
        <w:t>份其格式和内容符合监理人</w:t>
      </w:r>
      <w:r>
        <w:rPr>
          <w:rFonts w:hint="eastAsia" w:ascii="宋体" w:hAnsi="宋体" w:cs="宋体"/>
          <w:color w:val="auto"/>
          <w:szCs w:val="21"/>
          <w:highlight w:val="none"/>
        </w:rPr>
        <w:t>规定的工程进度计划，以及为完成该计划而采用的施工安排和施工方案的说明。监理人应在收到该计划后的</w:t>
      </w:r>
      <w:r>
        <w:rPr>
          <w:rFonts w:hint="eastAsia" w:ascii="宋体" w:hAnsi="宋体" w:cs="宋体"/>
          <w:color w:val="auto"/>
          <w:szCs w:val="21"/>
          <w:highlight w:val="none"/>
          <w:u w:val="single"/>
        </w:rPr>
        <w:t>14</w:t>
      </w:r>
      <w:r>
        <w:rPr>
          <w:rFonts w:hint="eastAsia" w:ascii="宋体" w:hAnsi="宋体" w:cs="宋体"/>
          <w:color w:val="auto"/>
          <w:szCs w:val="21"/>
          <w:highlight w:val="none"/>
        </w:rPr>
        <w:t>天内审查批准或提出修改意见。工程进度计划应按照关键线路网络图和主要工作横道图两种形式分别编绘，并应包括每月预计完成的工作量和形象进度，在需要时每个季度修正一次。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合同工程或合同规定有单独工期的区段或单项工程，应根据第13条的规定，在投标书附件中对合同工程或该区段或单项工程（如果有）写明的工期内完成，或按第7.6条规定允许的延长工期内完成，均从开工期的最后一天算起。</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429" w:name="_Toc18570"/>
      <w:bookmarkStart w:id="2430" w:name="_Toc23539"/>
      <w:bookmarkStart w:id="2431" w:name="_Toc18544"/>
      <w:bookmarkStart w:id="2432" w:name="_Toc517530810"/>
      <w:bookmarkStart w:id="2433" w:name="_Toc12461"/>
      <w:bookmarkStart w:id="2434" w:name="_Toc7676"/>
      <w:bookmarkStart w:id="2435" w:name="_Toc10995"/>
      <w:bookmarkStart w:id="2436" w:name="_Toc4415"/>
      <w:bookmarkStart w:id="2437" w:name="_Toc25758"/>
      <w:bookmarkStart w:id="2438" w:name="_Toc889"/>
      <w:bookmarkStart w:id="2439" w:name="_Toc29938"/>
      <w:bookmarkStart w:id="2440" w:name="_Toc517532086"/>
      <w:bookmarkStart w:id="2441" w:name="_Toc22872"/>
      <w:bookmarkStart w:id="2442" w:name="_Toc25020"/>
      <w:bookmarkStart w:id="2443" w:name="_Toc28459"/>
      <w:bookmarkStart w:id="2444" w:name="_Toc18000"/>
      <w:bookmarkStart w:id="2445" w:name="_Toc8415"/>
      <w:bookmarkStart w:id="2446" w:name="_Toc9475"/>
      <w:bookmarkStart w:id="2447" w:name="_Toc1091"/>
      <w:bookmarkStart w:id="2448" w:name="_Toc32710"/>
      <w:r>
        <w:rPr>
          <w:rFonts w:hint="eastAsia" w:ascii="宋体" w:hAnsi="宋体" w:cs="宋体"/>
          <w:b/>
          <w:bCs/>
          <w:color w:val="auto"/>
          <w:sz w:val="24"/>
          <w:szCs w:val="24"/>
          <w:highlight w:val="none"/>
        </w:rPr>
        <w:t>7.1.2工程进度计划的修订</w:t>
      </w:r>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如果监理人认为工程的实际进度不符合根据7.1.1条已经同意的工程进度计划，则承包人应根据监理人的要求立即对工程进度计划进行修订，并提交</w:t>
      </w:r>
      <w:r>
        <w:rPr>
          <w:rFonts w:hint="eastAsia" w:ascii="宋体" w:hAnsi="宋体" w:cs="宋体"/>
          <w:color w:val="auto"/>
          <w:szCs w:val="21"/>
          <w:highlight w:val="none"/>
          <w:u w:val="single"/>
        </w:rPr>
        <w:t>3</w:t>
      </w:r>
      <w:r>
        <w:rPr>
          <w:rFonts w:hint="eastAsia" w:ascii="宋体" w:hAnsi="宋体" w:cs="宋体"/>
          <w:color w:val="auto"/>
          <w:szCs w:val="21"/>
          <w:highlight w:val="none"/>
        </w:rPr>
        <w:t>份修改后的工程进度计划，仍应保证本合同工程在合同规定的工期内完成。</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449" w:name="_Toc15621"/>
      <w:bookmarkStart w:id="2450" w:name="_Toc18182"/>
      <w:bookmarkStart w:id="2451" w:name="_Toc1078"/>
      <w:bookmarkStart w:id="2452" w:name="_Toc3021"/>
      <w:bookmarkStart w:id="2453" w:name="_Toc20684"/>
      <w:bookmarkStart w:id="2454" w:name="_Toc9458"/>
      <w:bookmarkStart w:id="2455" w:name="_Toc13940"/>
      <w:bookmarkStart w:id="2456" w:name="_Toc24426"/>
      <w:bookmarkStart w:id="2457" w:name="_Toc517532087"/>
      <w:bookmarkStart w:id="2458" w:name="_Toc3383"/>
      <w:bookmarkStart w:id="2459" w:name="_Toc18603"/>
      <w:bookmarkStart w:id="2460" w:name="_Toc8913"/>
      <w:bookmarkStart w:id="2461" w:name="_Toc517530811"/>
      <w:bookmarkStart w:id="2462" w:name="_Toc21770"/>
      <w:bookmarkStart w:id="2463" w:name="_Toc17914"/>
      <w:bookmarkStart w:id="2464" w:name="_Toc17700"/>
      <w:bookmarkStart w:id="2465" w:name="_Toc1152"/>
      <w:bookmarkStart w:id="2466" w:name="_Toc21788"/>
      <w:bookmarkStart w:id="2467" w:name="_Toc28266"/>
      <w:bookmarkStart w:id="2468" w:name="_Toc16603"/>
      <w:r>
        <w:rPr>
          <w:rFonts w:hint="eastAsia" w:ascii="宋体" w:hAnsi="宋体" w:cs="宋体"/>
          <w:b/>
          <w:bCs/>
          <w:color w:val="auto"/>
          <w:sz w:val="24"/>
          <w:szCs w:val="24"/>
          <w:highlight w:val="none"/>
        </w:rPr>
        <w:t>7.1.3年度施工计划的提交</w:t>
      </w:r>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承包人应每年</w:t>
      </w:r>
      <w:r>
        <w:rPr>
          <w:rFonts w:hint="eastAsia" w:ascii="宋体" w:hAnsi="宋体" w:cs="宋体"/>
          <w:color w:val="auto"/>
          <w:szCs w:val="21"/>
          <w:highlight w:val="none"/>
          <w:u w:val="single"/>
        </w:rPr>
        <w:t>11</w:t>
      </w:r>
      <w:r>
        <w:rPr>
          <w:rFonts w:hint="eastAsia" w:ascii="宋体" w:hAnsi="宋体" w:cs="宋体"/>
          <w:color w:val="auto"/>
          <w:szCs w:val="21"/>
          <w:highlight w:val="none"/>
        </w:rPr>
        <w:t>月底前，根据批准的工程进度计划或其修订的计划，向监理人</w:t>
      </w:r>
      <w:r>
        <w:rPr>
          <w:rFonts w:hint="eastAsia" w:ascii="宋体" w:hAnsi="宋体" w:cs="宋体"/>
          <w:color w:val="auto"/>
          <w:spacing w:val="2"/>
          <w:szCs w:val="21"/>
          <w:highlight w:val="none"/>
        </w:rPr>
        <w:t>提交</w:t>
      </w:r>
      <w:r>
        <w:rPr>
          <w:rFonts w:hint="eastAsia" w:ascii="宋体" w:hAnsi="宋体" w:cs="宋体"/>
          <w:color w:val="auto"/>
          <w:spacing w:val="2"/>
          <w:szCs w:val="21"/>
          <w:highlight w:val="none"/>
          <w:u w:val="single"/>
        </w:rPr>
        <w:t>3</w:t>
      </w:r>
      <w:r>
        <w:rPr>
          <w:rFonts w:hint="eastAsia" w:ascii="宋体" w:hAnsi="宋体" w:cs="宋体"/>
          <w:color w:val="auto"/>
          <w:spacing w:val="2"/>
          <w:szCs w:val="21"/>
          <w:highlight w:val="none"/>
        </w:rPr>
        <w:t>份其格式和内容符合监理人合理规定的下一年度的</w:t>
      </w:r>
      <w:r>
        <w:rPr>
          <w:rFonts w:hint="eastAsia" w:ascii="宋体" w:hAnsi="宋体" w:cs="宋体"/>
          <w:color w:val="auto"/>
          <w:szCs w:val="21"/>
          <w:highlight w:val="none"/>
        </w:rPr>
        <w:t>施工计划供审批。该计划应包括本年度估计完成和下一年度预计完成的分项工程数量和工作量，以及为实施此计划将采取的措施。</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469" w:name="_Toc15260"/>
      <w:bookmarkStart w:id="2470" w:name="_Toc11012"/>
      <w:bookmarkStart w:id="2471" w:name="_Toc31571"/>
      <w:bookmarkStart w:id="2472" w:name="_Toc9015"/>
      <w:bookmarkStart w:id="2473" w:name="_Toc8708"/>
      <w:bookmarkStart w:id="2474" w:name="_Toc2967"/>
      <w:bookmarkStart w:id="2475" w:name="_Toc7681"/>
      <w:bookmarkStart w:id="2476" w:name="_Toc3599"/>
      <w:bookmarkStart w:id="2477" w:name="_Toc26516"/>
      <w:bookmarkStart w:id="2478" w:name="_Toc12148"/>
      <w:bookmarkStart w:id="2479" w:name="_Toc13650"/>
      <w:bookmarkStart w:id="2480" w:name="_Toc14015"/>
      <w:bookmarkStart w:id="2481" w:name="_Toc14270"/>
      <w:bookmarkStart w:id="2482" w:name="_Toc6180"/>
      <w:bookmarkStart w:id="2483" w:name="_Toc19650"/>
      <w:bookmarkStart w:id="2484" w:name="_Toc17529"/>
      <w:bookmarkStart w:id="2485" w:name="_Toc21848"/>
      <w:bookmarkStart w:id="2486" w:name="_Toc517532088"/>
      <w:bookmarkStart w:id="2487" w:name="_Toc517530812"/>
      <w:bookmarkStart w:id="2488" w:name="_Toc2817"/>
      <w:r>
        <w:rPr>
          <w:rFonts w:hint="eastAsia" w:ascii="宋体" w:hAnsi="宋体" w:cs="宋体"/>
          <w:b/>
          <w:bCs/>
          <w:color w:val="auto"/>
          <w:sz w:val="24"/>
          <w:szCs w:val="24"/>
          <w:highlight w:val="none"/>
        </w:rPr>
        <w:t>7.1.4批准不解除义务</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承包人向监理人提交上述工程进度计划和说明，或年度施工计划，并取得监理人的同意，不能因此而解除承包人根据合同规定应负的任何责任或义务。</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489" w:name="_Toc17238"/>
      <w:bookmarkStart w:id="2490" w:name="_Toc19804"/>
      <w:bookmarkStart w:id="2491" w:name="_Toc517530813"/>
      <w:bookmarkStart w:id="2492" w:name="_Toc21374"/>
      <w:bookmarkStart w:id="2493" w:name="_Toc1084"/>
      <w:bookmarkStart w:id="2494" w:name="_Toc17001"/>
      <w:bookmarkStart w:id="2495" w:name="_Toc16263"/>
      <w:bookmarkStart w:id="2496" w:name="_Toc517532089"/>
      <w:bookmarkStart w:id="2497" w:name="_Toc465237110"/>
      <w:bookmarkStart w:id="2498" w:name="_Toc6474"/>
      <w:bookmarkStart w:id="2499" w:name="_Toc465237208"/>
      <w:bookmarkStart w:id="2500" w:name="_Toc16759"/>
      <w:bookmarkStart w:id="2501" w:name="_Toc11815"/>
      <w:bookmarkStart w:id="2502" w:name="_Toc517528684"/>
      <w:bookmarkStart w:id="2503" w:name="_Toc31635"/>
      <w:bookmarkStart w:id="2504" w:name="_Toc868"/>
      <w:bookmarkStart w:id="2505" w:name="_Toc24987"/>
      <w:bookmarkStart w:id="2506" w:name="_Toc15847"/>
      <w:bookmarkStart w:id="2507" w:name="_Toc622"/>
      <w:bookmarkStart w:id="2508" w:name="_Toc29731"/>
      <w:bookmarkStart w:id="2509" w:name="_Toc14347"/>
      <w:bookmarkStart w:id="2510" w:name="_Toc26042"/>
      <w:bookmarkStart w:id="2511" w:name="_Toc18088"/>
      <w:r>
        <w:rPr>
          <w:rFonts w:hint="eastAsia" w:ascii="宋体" w:hAnsi="宋体" w:cs="宋体"/>
          <w:b/>
          <w:bCs/>
          <w:color w:val="auto"/>
          <w:sz w:val="28"/>
          <w:szCs w:val="28"/>
          <w:highlight w:val="none"/>
        </w:rPr>
        <w:t>7.2工程用地</w:t>
      </w:r>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512" w:name="_Toc4684"/>
      <w:bookmarkStart w:id="2513" w:name="_Toc517530814"/>
      <w:bookmarkStart w:id="2514" w:name="_Toc5442"/>
      <w:bookmarkStart w:id="2515" w:name="_Toc13584"/>
      <w:bookmarkStart w:id="2516" w:name="_Toc32644"/>
      <w:bookmarkStart w:id="2517" w:name="_Toc7314"/>
      <w:bookmarkStart w:id="2518" w:name="_Toc9887"/>
      <w:bookmarkStart w:id="2519" w:name="_Toc16470"/>
      <w:bookmarkStart w:id="2520" w:name="_Toc25841"/>
      <w:bookmarkStart w:id="2521" w:name="_Toc12847"/>
      <w:bookmarkStart w:id="2522" w:name="_Toc10834"/>
      <w:bookmarkStart w:id="2523" w:name="_Toc26993"/>
      <w:bookmarkStart w:id="2524" w:name="_Toc20509"/>
      <w:bookmarkStart w:id="2525" w:name="_Toc18281"/>
      <w:bookmarkStart w:id="2526" w:name="_Toc26151"/>
      <w:bookmarkStart w:id="2527" w:name="_Toc12429"/>
      <w:bookmarkStart w:id="2528" w:name="_Toc18638"/>
      <w:bookmarkStart w:id="2529" w:name="_Toc11215"/>
      <w:bookmarkStart w:id="2530" w:name="_Toc517532090"/>
      <w:bookmarkStart w:id="2531" w:name="_Toc29350"/>
      <w:r>
        <w:rPr>
          <w:rFonts w:hint="eastAsia" w:ascii="宋体" w:hAnsi="宋体" w:cs="宋体"/>
          <w:b/>
          <w:bCs/>
          <w:color w:val="auto"/>
          <w:sz w:val="24"/>
          <w:szCs w:val="24"/>
          <w:highlight w:val="none"/>
        </w:rPr>
        <w:t>7.2.1永久占地的征用</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承包人在按第7.1和12.3.1条规定提交工程进度计划的同时，应向监理人提交一份按施工先后次序所需的永久占地计划。监理人应在收到此计划后的</w:t>
      </w:r>
      <w:r>
        <w:rPr>
          <w:rFonts w:hint="eastAsia" w:ascii="宋体" w:hAnsi="宋体" w:cs="宋体"/>
          <w:color w:val="auto"/>
          <w:szCs w:val="21"/>
          <w:highlight w:val="none"/>
          <w:u w:val="single"/>
        </w:rPr>
        <w:t>14</w:t>
      </w:r>
      <w:r>
        <w:rPr>
          <w:rFonts w:hint="eastAsia" w:ascii="宋体" w:hAnsi="宋体" w:cs="宋体"/>
          <w:color w:val="auto"/>
          <w:szCs w:val="21"/>
          <w:highlight w:val="none"/>
        </w:rPr>
        <w:t>天内审核并转报发包人备查。发包人应在监理人发出开工通知书之前，将承包人开工所需的永久占地办妥征用以及土地之上、之下和架空的青苗、树木、房屋建筑、管线设施等的拆迁赔偿手续，通知承包人使用，以使承包人能够及时开工；此后按承包人提交并经监理人同意的工程进度计划的安排分期（也可以一次）将施工所需的其余永久占地办妥征用以及拆迁赔偿手续，通知承包人使用，以使承包人能够连续不间断地施工。永久占地的征用以及与之有关的拆迁赔偿手续均由发包人负责办理并承担其费用。如果由于承包人施工考虑不周或措施不当等原因而造成的超计划占地或拆迁等所发生的征用和赔偿费用，应由承包人承担，但是由于监理人按第10.1条确定的变更而引起的超占除外。</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532" w:name="_Toc7940"/>
      <w:bookmarkStart w:id="2533" w:name="_Toc30593"/>
      <w:bookmarkStart w:id="2534" w:name="_Toc19467"/>
      <w:bookmarkStart w:id="2535" w:name="_Toc517530815"/>
      <w:bookmarkStart w:id="2536" w:name="_Toc27273"/>
      <w:bookmarkStart w:id="2537" w:name="_Toc15652"/>
      <w:bookmarkStart w:id="2538" w:name="_Toc18745"/>
      <w:bookmarkStart w:id="2539" w:name="_Toc11934"/>
      <w:bookmarkStart w:id="2540" w:name="_Toc15332"/>
      <w:bookmarkStart w:id="2541" w:name="_Toc22168"/>
      <w:bookmarkStart w:id="2542" w:name="_Toc13077"/>
      <w:bookmarkStart w:id="2543" w:name="_Toc1092"/>
      <w:bookmarkStart w:id="2544" w:name="_Toc15819"/>
      <w:bookmarkStart w:id="2545" w:name="_Toc24704"/>
      <w:bookmarkStart w:id="2546" w:name="_Toc6402"/>
      <w:bookmarkStart w:id="2547" w:name="_Toc30758"/>
      <w:bookmarkStart w:id="2548" w:name="_Toc517532091"/>
      <w:bookmarkStart w:id="2549" w:name="_Toc4354"/>
      <w:bookmarkStart w:id="2550" w:name="_Toc28239"/>
      <w:bookmarkStart w:id="2551" w:name="_Toc26752"/>
      <w:r>
        <w:rPr>
          <w:rFonts w:hint="eastAsia" w:ascii="宋体" w:hAnsi="宋体" w:cs="宋体"/>
          <w:b/>
          <w:bCs/>
          <w:color w:val="auto"/>
          <w:sz w:val="24"/>
          <w:szCs w:val="24"/>
          <w:highlight w:val="none"/>
        </w:rPr>
        <w:t>7.2.2未能按期办妥永久占地的征用手续</w:t>
      </w:r>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由于发包人未能按照第7.2.1条的规定办妥永久占地征用和拆迁手续，则承包人在接到监理人的通知后，应按监理人的指示及时调整承包人按第7.1和12.3.1条提交的工程进度计划中的各工作先后施工顺序，以便能够继续施工，或者对施工力量（人员和施工设备）及时进行调整，以避免停工损失的发生。应当认为，承包人的投标文件中已包含了发包人未能按期办妥永久占地的征用和拆迁手续对报价和施工进度带来的风险。</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552" w:name="_Toc20803"/>
      <w:bookmarkStart w:id="2553" w:name="_Toc31436"/>
      <w:bookmarkStart w:id="2554" w:name="_Toc7649"/>
      <w:bookmarkStart w:id="2555" w:name="_Toc14280"/>
      <w:bookmarkStart w:id="2556" w:name="_Toc18741"/>
      <w:bookmarkStart w:id="2557" w:name="_Toc7285"/>
      <w:bookmarkStart w:id="2558" w:name="_Toc517530816"/>
      <w:bookmarkStart w:id="2559" w:name="_Toc11482"/>
      <w:bookmarkStart w:id="2560" w:name="_Toc32674"/>
      <w:bookmarkStart w:id="2561" w:name="_Toc19016"/>
      <w:bookmarkStart w:id="2562" w:name="_Toc28165"/>
      <w:bookmarkStart w:id="2563" w:name="_Toc517532092"/>
      <w:bookmarkStart w:id="2564" w:name="_Toc9952"/>
      <w:bookmarkStart w:id="2565" w:name="_Toc6592"/>
      <w:bookmarkStart w:id="2566" w:name="_Toc17940"/>
      <w:bookmarkStart w:id="2567" w:name="_Toc31988"/>
      <w:bookmarkStart w:id="2568" w:name="_Toc296"/>
      <w:bookmarkStart w:id="2569" w:name="_Toc19686"/>
      <w:bookmarkStart w:id="2570" w:name="_Toc10953"/>
      <w:bookmarkStart w:id="2571" w:name="_Toc12732"/>
      <w:r>
        <w:rPr>
          <w:rFonts w:hint="eastAsia" w:ascii="宋体" w:hAnsi="宋体" w:cs="宋体"/>
          <w:b/>
          <w:bCs/>
          <w:color w:val="auto"/>
          <w:sz w:val="24"/>
          <w:szCs w:val="24"/>
          <w:highlight w:val="none"/>
        </w:rPr>
        <w:t>7.2.3临时占地的租用</w:t>
      </w:r>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承包人在按第7.1和12.3.1条的规定提交工程进度计划的同时，应根据投标文件技术标书格式中要求填写的临时占地计划表提交</w:t>
      </w:r>
      <w:r>
        <w:rPr>
          <w:rFonts w:hint="eastAsia" w:ascii="宋体" w:hAnsi="宋体" w:cs="宋体"/>
          <w:color w:val="auto"/>
          <w:szCs w:val="21"/>
          <w:highlight w:val="none"/>
          <w:u w:val="single"/>
        </w:rPr>
        <w:t>3</w:t>
      </w:r>
      <w:r>
        <w:rPr>
          <w:rFonts w:hint="eastAsia" w:ascii="宋体" w:hAnsi="宋体" w:cs="宋体"/>
          <w:color w:val="auto"/>
          <w:szCs w:val="21"/>
          <w:highlight w:val="none"/>
        </w:rPr>
        <w:t>份临时占地修正计划，取得监理人同意后报发包人备查。发包人将按上述计划与承包人协商,根据开工需要和施工先后顺序，协助承包人分期办理租用手续，通知承包人使用。征地红线范围外临时占地的租用费(含拆迁补偿)由承包人承担并支付，并计入投标报价中。</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征地红线范围内的工程用地，由发包人统一办理和支付征（租）地和拆迁手续和费用，并在不影响施工的前提下，经发包人批准，可免费提供给承包人作施工临时用地。</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临时用地租用完毕前，承包人应自费恢复临时用地至使用前的使用条件。</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572" w:name="_Toc3870"/>
      <w:bookmarkStart w:id="2573" w:name="_Toc10828"/>
      <w:bookmarkStart w:id="2574" w:name="_Toc22657"/>
      <w:bookmarkStart w:id="2575" w:name="_Toc10788"/>
      <w:bookmarkStart w:id="2576" w:name="_Toc16329"/>
      <w:bookmarkStart w:id="2577" w:name="_Toc465237209"/>
      <w:bookmarkStart w:id="2578" w:name="_Toc16956"/>
      <w:bookmarkStart w:id="2579" w:name="_Toc15251"/>
      <w:bookmarkStart w:id="2580" w:name="_Toc465237111"/>
      <w:bookmarkStart w:id="2581" w:name="_Toc26800"/>
      <w:bookmarkStart w:id="2582" w:name="_Toc28956"/>
      <w:bookmarkStart w:id="2583" w:name="_Toc11999"/>
      <w:bookmarkStart w:id="2584" w:name="_Toc517528685"/>
      <w:bookmarkStart w:id="2585" w:name="_Toc9048"/>
      <w:bookmarkStart w:id="2586" w:name="_Toc26613"/>
      <w:bookmarkStart w:id="2587" w:name="_Toc4623"/>
      <w:bookmarkStart w:id="2588" w:name="_Toc7189"/>
      <w:bookmarkStart w:id="2589" w:name="_Toc517532093"/>
      <w:bookmarkStart w:id="2590" w:name="_Toc517530817"/>
      <w:bookmarkStart w:id="2591" w:name="_Toc747"/>
      <w:bookmarkStart w:id="2592" w:name="_Toc14383"/>
      <w:bookmarkStart w:id="2593" w:name="_Toc850"/>
      <w:bookmarkStart w:id="2594" w:name="_Toc10295"/>
      <w:bookmarkStart w:id="2595" w:name="_Toc337558770"/>
      <w:r>
        <w:rPr>
          <w:rFonts w:hint="eastAsia" w:ascii="宋体" w:hAnsi="宋体" w:cs="宋体"/>
          <w:b/>
          <w:bCs/>
          <w:color w:val="auto"/>
          <w:sz w:val="28"/>
          <w:szCs w:val="28"/>
          <w:highlight w:val="none"/>
        </w:rPr>
        <w:t>7.3工程的开工</w:t>
      </w:r>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承包人收到监理人开工通知书之后，应在投标书附件中规定的开工期内开工，然后连续均衡地施工。开工通知书应在发出中标通知书之后，按投标书附件中写明的期限内发出。</w:t>
      </w:r>
    </w:p>
    <w:bookmarkEnd w:id="2595"/>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596" w:name="_Toc16095"/>
      <w:bookmarkStart w:id="2597" w:name="_Toc16781"/>
      <w:bookmarkStart w:id="2598" w:name="_Toc465237112"/>
      <w:bookmarkStart w:id="2599" w:name="_Toc19919"/>
      <w:bookmarkStart w:id="2600" w:name="_Toc2617"/>
      <w:bookmarkStart w:id="2601" w:name="_Toc465237210"/>
      <w:bookmarkStart w:id="2602" w:name="_Toc22364"/>
      <w:bookmarkStart w:id="2603" w:name="_Toc24162"/>
      <w:bookmarkStart w:id="2604" w:name="_Toc18952"/>
      <w:bookmarkStart w:id="2605" w:name="_Toc9254"/>
      <w:bookmarkStart w:id="2606" w:name="_Toc11103"/>
      <w:bookmarkStart w:id="2607" w:name="_Toc28024"/>
      <w:bookmarkStart w:id="2608" w:name="_Toc7863"/>
      <w:bookmarkStart w:id="2609" w:name="_Toc6280"/>
      <w:bookmarkStart w:id="2610" w:name="_Toc1953"/>
      <w:bookmarkStart w:id="2611" w:name="_Toc517530818"/>
      <w:bookmarkStart w:id="2612" w:name="_Toc7491"/>
      <w:bookmarkStart w:id="2613" w:name="_Toc517532094"/>
      <w:bookmarkStart w:id="2614" w:name="_Toc9513"/>
      <w:bookmarkStart w:id="2615" w:name="_Toc29861"/>
      <w:bookmarkStart w:id="2616" w:name="_Toc517528686"/>
      <w:bookmarkStart w:id="2617" w:name="_Toc14292"/>
      <w:bookmarkStart w:id="2618" w:name="_Toc12235"/>
      <w:r>
        <w:rPr>
          <w:rFonts w:hint="eastAsia" w:ascii="宋体" w:hAnsi="宋体" w:cs="宋体"/>
          <w:b/>
          <w:bCs/>
          <w:color w:val="auto"/>
          <w:sz w:val="28"/>
          <w:szCs w:val="28"/>
          <w:highlight w:val="none"/>
        </w:rPr>
        <w:t>7.4测量和放线</w:t>
      </w:r>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监理人应在发出开工通知书</w:t>
      </w:r>
      <w:r>
        <w:rPr>
          <w:rFonts w:hint="eastAsia" w:ascii="宋体" w:hAnsi="宋体" w:cs="宋体"/>
          <w:color w:val="auto"/>
          <w:szCs w:val="21"/>
          <w:highlight w:val="none"/>
          <w:u w:val="single"/>
        </w:rPr>
        <w:t>7</w:t>
      </w:r>
      <w:r>
        <w:rPr>
          <w:rFonts w:hint="eastAsia" w:ascii="宋体" w:hAnsi="宋体" w:cs="宋体"/>
          <w:color w:val="auto"/>
          <w:szCs w:val="21"/>
          <w:highlight w:val="none"/>
        </w:rPr>
        <w:t>天之前，向承包人提供原始基准点、基准线和参考标高等书面资料，并进行现场交验。承包人则应：</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(a)根据监理人书面给定的原始基准点、基准线和参考标高，负责对本工程进行准确的放样，并对本工程各部分的位置、标高、尺寸及其线形的正确性负责；以及</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(b)负责提供放样所必需的仪器、机具和劳务。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监理人对放样、线形或标高的核查，均不应解除承包人对其准确性所负的责任。承包人应认真保护一切基准点、标桩和其他有关标志。</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619" w:name="_Toc517528687"/>
      <w:bookmarkStart w:id="2620" w:name="_Toc257"/>
      <w:bookmarkStart w:id="2621" w:name="_Toc9858"/>
      <w:bookmarkStart w:id="2622" w:name="_Toc23047"/>
      <w:bookmarkStart w:id="2623" w:name="_Toc8363"/>
      <w:bookmarkStart w:id="2624" w:name="_Toc11733"/>
      <w:bookmarkStart w:id="2625" w:name="_Toc517532095"/>
      <w:bookmarkStart w:id="2626" w:name="_Toc23727"/>
      <w:bookmarkStart w:id="2627" w:name="_Toc22214"/>
      <w:bookmarkStart w:id="2628" w:name="_Toc7877"/>
      <w:bookmarkStart w:id="2629" w:name="_Toc18667"/>
      <w:bookmarkStart w:id="2630" w:name="_Toc23271"/>
      <w:bookmarkStart w:id="2631" w:name="_Toc1010"/>
      <w:bookmarkStart w:id="2632" w:name="_Toc3724"/>
      <w:bookmarkStart w:id="2633" w:name="_Toc19487"/>
      <w:bookmarkStart w:id="2634" w:name="_Toc5250"/>
      <w:bookmarkStart w:id="2635" w:name="_Toc18091"/>
      <w:bookmarkStart w:id="2636" w:name="_Toc30407"/>
      <w:bookmarkStart w:id="2637" w:name="_Toc11985"/>
      <w:bookmarkStart w:id="2638" w:name="_Toc517530819"/>
      <w:r>
        <w:rPr>
          <w:rFonts w:hint="eastAsia" w:ascii="宋体" w:hAnsi="宋体" w:cs="宋体"/>
          <w:b/>
          <w:bCs/>
          <w:color w:val="auto"/>
          <w:sz w:val="28"/>
          <w:szCs w:val="28"/>
          <w:highlight w:val="none"/>
        </w:rPr>
        <w:t>7.5钻孔和勘探性开挖</w:t>
      </w:r>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在工程施工期间，如果监理人要求承包人进行钻孔或勘探性的开挖工作，除非在工程量清单中已经列有此类工作的一个支付项目或含有此类工作的专业工程暂估价，否则此项要求应由监理人按照第10条发出指令。</w:t>
      </w:r>
    </w:p>
    <w:bookmarkEnd w:id="2407"/>
    <w:bookmarkEnd w:id="2408"/>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639" w:name="_Toc12854"/>
      <w:bookmarkStart w:id="2640" w:name="_Toc8869"/>
      <w:bookmarkStart w:id="2641" w:name="_Toc11330"/>
      <w:bookmarkStart w:id="2642" w:name="_Toc3145"/>
      <w:bookmarkStart w:id="2643" w:name="_Toc4045"/>
      <w:bookmarkStart w:id="2644" w:name="_Toc13107"/>
      <w:bookmarkStart w:id="2645" w:name="_Toc31100"/>
      <w:bookmarkStart w:id="2646" w:name="_Toc6824"/>
      <w:bookmarkStart w:id="2647" w:name="_Toc3891"/>
      <w:bookmarkStart w:id="2648" w:name="_Toc465237113"/>
      <w:bookmarkStart w:id="2649" w:name="_Toc13556"/>
      <w:bookmarkStart w:id="2650" w:name="_Toc27652"/>
      <w:bookmarkStart w:id="2651" w:name="_Toc12338"/>
      <w:bookmarkStart w:id="2652" w:name="_Toc517532096"/>
      <w:bookmarkStart w:id="2653" w:name="_Toc26020"/>
      <w:bookmarkStart w:id="2654" w:name="_Toc6560"/>
      <w:bookmarkStart w:id="2655" w:name="_Toc11738"/>
      <w:bookmarkStart w:id="2656" w:name="_Toc31632"/>
      <w:bookmarkStart w:id="2657" w:name="_Toc28371"/>
      <w:bookmarkStart w:id="2658" w:name="_Toc465237211"/>
      <w:bookmarkStart w:id="2659" w:name="_Toc29301"/>
      <w:bookmarkStart w:id="2660" w:name="_Toc517528688"/>
      <w:bookmarkStart w:id="2661" w:name="_Toc517530820"/>
      <w:bookmarkStart w:id="2662" w:name="_Toc296503073"/>
      <w:bookmarkStart w:id="2663" w:name="_Toc296346574"/>
      <w:bookmarkStart w:id="2664" w:name="_Toc337558772"/>
      <w:r>
        <w:rPr>
          <w:rFonts w:hint="eastAsia" w:ascii="宋体" w:hAnsi="宋体" w:cs="宋体"/>
          <w:b/>
          <w:bCs/>
          <w:color w:val="auto"/>
          <w:sz w:val="28"/>
          <w:szCs w:val="28"/>
          <w:highlight w:val="none"/>
        </w:rPr>
        <w:t>7.6 工期延误</w:t>
      </w:r>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p>
    <w:bookmarkEnd w:id="2662"/>
    <w:bookmarkEnd w:id="2663"/>
    <w:bookmarkEnd w:id="2664"/>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665" w:name="_Toc32303"/>
      <w:bookmarkStart w:id="2666" w:name="_Toc9298"/>
      <w:bookmarkStart w:id="2667" w:name="_Toc517530821"/>
      <w:bookmarkStart w:id="2668" w:name="_Toc44"/>
      <w:bookmarkStart w:id="2669" w:name="_Toc14393"/>
      <w:bookmarkStart w:id="2670" w:name="_Toc2309"/>
      <w:bookmarkStart w:id="2671" w:name="_Toc29508"/>
      <w:bookmarkStart w:id="2672" w:name="_Toc21836"/>
      <w:bookmarkStart w:id="2673" w:name="_Toc30868"/>
      <w:bookmarkStart w:id="2674" w:name="_Toc19445"/>
      <w:bookmarkStart w:id="2675" w:name="_Toc18799"/>
      <w:bookmarkStart w:id="2676" w:name="_Toc6862"/>
      <w:bookmarkStart w:id="2677" w:name="_Toc27591"/>
      <w:bookmarkStart w:id="2678" w:name="_Toc26429"/>
      <w:bookmarkStart w:id="2679" w:name="_Toc18383"/>
      <w:bookmarkStart w:id="2680" w:name="_Toc517532097"/>
      <w:bookmarkStart w:id="2681" w:name="_Toc3888"/>
      <w:bookmarkStart w:id="2682" w:name="_Toc19369"/>
      <w:bookmarkStart w:id="2683" w:name="_Toc16342"/>
      <w:bookmarkStart w:id="2684" w:name="_Toc32334"/>
      <w:r>
        <w:rPr>
          <w:rFonts w:hint="eastAsia" w:ascii="宋体" w:hAnsi="宋体" w:cs="宋体"/>
          <w:b/>
          <w:bCs/>
          <w:color w:val="auto"/>
          <w:sz w:val="24"/>
          <w:szCs w:val="24"/>
          <w:highlight w:val="none"/>
        </w:rPr>
        <w:t>7.6.1工期的延长</w:t>
      </w:r>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如果出现下列情形，则承包人有权延长本合同工程或其区段或单项工程的工期，监理人在与承包人适当协商并报经发包人批准后应确定延长工期的天数，并通知承包人，抄送发包人：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(a)额外或附加的工作量，如：某项工作量的显著变化引起的变更价款超过合同价款的</w:t>
      </w:r>
      <w:r>
        <w:rPr>
          <w:rFonts w:hint="eastAsia" w:ascii="宋体" w:hAnsi="宋体" w:cs="宋体"/>
          <w:color w:val="auto"/>
          <w:szCs w:val="21"/>
          <w:highlight w:val="none"/>
          <w:u w:val="single"/>
        </w:rPr>
        <w:t>5%</w:t>
      </w:r>
      <w:r>
        <w:rPr>
          <w:rFonts w:hint="eastAsia" w:ascii="宋体" w:hAnsi="宋体" w:cs="宋体"/>
          <w:color w:val="auto"/>
          <w:szCs w:val="21"/>
          <w:highlight w:val="none"/>
        </w:rPr>
        <w:t>；</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(b)本合同条款所指的延误原因；</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(c)8.2.6（g）款指明的自然灾害；</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(d)发包人的任何延误、妨碍或阻止；</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(e)可能发生的其他特殊情况，而不是由于承包人的失误或承包人应负责的违约，如：一周内非承包人原因停水、停电造成停工累计超过</w:t>
      </w:r>
      <w:r>
        <w:rPr>
          <w:rFonts w:hint="eastAsia" w:ascii="宋体" w:hAnsi="宋体" w:cs="宋体"/>
          <w:color w:val="auto"/>
          <w:szCs w:val="21"/>
          <w:highlight w:val="none"/>
          <w:u w:val="single"/>
        </w:rPr>
        <w:t>8</w:t>
      </w:r>
      <w:r>
        <w:rPr>
          <w:rFonts w:hint="eastAsia" w:ascii="宋体" w:hAnsi="宋体" w:cs="宋体"/>
          <w:color w:val="auto"/>
          <w:szCs w:val="21"/>
          <w:highlight w:val="none"/>
        </w:rPr>
        <w:t>小时。</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685" w:name="_Toc14940"/>
      <w:bookmarkStart w:id="2686" w:name="_Toc907"/>
      <w:bookmarkStart w:id="2687" w:name="_Toc10316"/>
      <w:bookmarkStart w:id="2688" w:name="_Toc27609"/>
      <w:bookmarkStart w:id="2689" w:name="_Toc7762"/>
      <w:bookmarkStart w:id="2690" w:name="_Toc23910"/>
      <w:bookmarkStart w:id="2691" w:name="_Toc517532098"/>
      <w:bookmarkStart w:id="2692" w:name="_Toc11603"/>
      <w:bookmarkStart w:id="2693" w:name="_Toc30250"/>
      <w:bookmarkStart w:id="2694" w:name="_Toc1801"/>
      <w:bookmarkStart w:id="2695" w:name="_Toc15380"/>
      <w:bookmarkStart w:id="2696" w:name="_Toc15934"/>
      <w:bookmarkStart w:id="2697" w:name="_Toc29164"/>
      <w:bookmarkStart w:id="2698" w:name="_Toc28962"/>
      <w:bookmarkStart w:id="2699" w:name="_Toc15952"/>
      <w:bookmarkStart w:id="2700" w:name="_Toc517530822"/>
      <w:bookmarkStart w:id="2701" w:name="_Toc17389"/>
      <w:bookmarkStart w:id="2702" w:name="_Toc23353"/>
      <w:bookmarkStart w:id="2703" w:name="_Toc11086"/>
      <w:bookmarkStart w:id="2704" w:name="_Toc14600"/>
      <w:r>
        <w:rPr>
          <w:rFonts w:hint="eastAsia" w:ascii="宋体" w:hAnsi="宋体" w:cs="宋体"/>
          <w:b/>
          <w:bCs/>
          <w:color w:val="auto"/>
          <w:sz w:val="24"/>
          <w:szCs w:val="24"/>
          <w:highlight w:val="none"/>
        </w:rPr>
        <w:t>7.6.2延期申请与审批</w:t>
      </w:r>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当第7.6.1条所述事件首次发生后，承包人应在</w:t>
      </w:r>
      <w:r>
        <w:rPr>
          <w:rFonts w:hint="eastAsia" w:ascii="宋体" w:hAnsi="宋体" w:cs="宋体"/>
          <w:color w:val="auto"/>
          <w:szCs w:val="21"/>
          <w:highlight w:val="none"/>
          <w:u w:val="single"/>
        </w:rPr>
        <w:t>21</w:t>
      </w:r>
      <w:r>
        <w:rPr>
          <w:rFonts w:hint="eastAsia" w:ascii="宋体" w:hAnsi="宋体" w:cs="宋体"/>
          <w:color w:val="auto"/>
          <w:szCs w:val="21"/>
          <w:highlight w:val="none"/>
        </w:rPr>
        <w:t>天内向监理人发出要求延期的通知并抄送发包人，还应在发出通知后的</w:t>
      </w:r>
      <w:r>
        <w:rPr>
          <w:rFonts w:hint="eastAsia" w:ascii="宋体" w:hAnsi="宋体" w:cs="宋体"/>
          <w:color w:val="auto"/>
          <w:szCs w:val="21"/>
          <w:highlight w:val="none"/>
          <w:u w:val="single"/>
        </w:rPr>
        <w:t>21</w:t>
      </w:r>
      <w:r>
        <w:rPr>
          <w:rFonts w:hint="eastAsia" w:ascii="宋体" w:hAnsi="宋体" w:cs="宋体"/>
          <w:color w:val="auto"/>
          <w:szCs w:val="21"/>
          <w:highlight w:val="none"/>
        </w:rPr>
        <w:t>天内或在监理人同意的其他合理的时间内向监理人提交承包人认为有权延期的具体细节，以供监理人调查。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如果承包人未能按前款和第7.6.3条规定的时间发出要求延期的通知和提交具体细节的详细资料，则事后监理人可拒绝作出任何延期的决定。</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监理人在收到要求延期的通知和提交具体细节的最后详细资料后，将在7天内</w:t>
      </w:r>
      <w:r>
        <w:rPr>
          <w:rFonts w:hint="eastAsia"/>
          <w:color w:val="auto"/>
          <w:highlight w:val="none"/>
        </w:rPr>
        <w:t>提交处理意见至发包人，发包人应在收到监理人提交的处理意见后28天内予以答复。</w:t>
      </w:r>
      <w:r>
        <w:rPr>
          <w:rFonts w:hint="eastAsia" w:ascii="宋体" w:hAnsi="宋体" w:cs="宋体"/>
          <w:color w:val="auto"/>
          <w:szCs w:val="21"/>
          <w:highlight w:val="none"/>
        </w:rPr>
        <w:t>若监理人和发包人未在该期限内予以答复，则应视为承包人要求的延期已经发包人批准。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705" w:name="_Toc11760"/>
      <w:bookmarkStart w:id="2706" w:name="_Toc5787"/>
      <w:bookmarkStart w:id="2707" w:name="_Toc7661"/>
      <w:bookmarkStart w:id="2708" w:name="_Toc24918"/>
      <w:bookmarkStart w:id="2709" w:name="_Toc16423"/>
      <w:bookmarkStart w:id="2710" w:name="_Toc26506"/>
      <w:bookmarkStart w:id="2711" w:name="_Toc24905"/>
      <w:bookmarkStart w:id="2712" w:name="_Toc517532099"/>
      <w:bookmarkStart w:id="2713" w:name="_Toc28181"/>
      <w:bookmarkStart w:id="2714" w:name="_Toc5906"/>
      <w:bookmarkStart w:id="2715" w:name="_Toc17172"/>
      <w:bookmarkStart w:id="2716" w:name="_Toc32061"/>
      <w:bookmarkStart w:id="2717" w:name="_Toc27054"/>
      <w:bookmarkStart w:id="2718" w:name="_Toc6119"/>
      <w:bookmarkStart w:id="2719" w:name="_Toc1772"/>
      <w:bookmarkStart w:id="2720" w:name="_Toc4650"/>
      <w:bookmarkStart w:id="2721" w:name="_Toc29365"/>
      <w:bookmarkStart w:id="2722" w:name="_Toc517530823"/>
      <w:bookmarkStart w:id="2723" w:name="_Toc28848"/>
      <w:bookmarkStart w:id="2724" w:name="_Toc18267"/>
      <w:r>
        <w:rPr>
          <w:rFonts w:hint="eastAsia" w:ascii="宋体" w:hAnsi="宋体" w:cs="宋体"/>
          <w:b/>
          <w:bCs/>
          <w:color w:val="auto"/>
          <w:sz w:val="24"/>
          <w:szCs w:val="24"/>
          <w:highlight w:val="none"/>
        </w:rPr>
        <w:t>7.6.3延长工期的暂时决定</w:t>
      </w:r>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如果某个事件有持续性影响，以致实际上不可能要求承包人在按第7.6.2条规定的</w:t>
      </w:r>
      <w:r>
        <w:rPr>
          <w:rFonts w:hint="eastAsia" w:ascii="宋体" w:hAnsi="宋体" w:cs="宋体"/>
          <w:color w:val="auto"/>
          <w:szCs w:val="21"/>
          <w:highlight w:val="none"/>
          <w:u w:val="single"/>
        </w:rPr>
        <w:t>21</w:t>
      </w:r>
      <w:r>
        <w:rPr>
          <w:rFonts w:hint="eastAsia" w:ascii="宋体" w:hAnsi="宋体" w:cs="宋体"/>
          <w:color w:val="auto"/>
          <w:szCs w:val="21"/>
          <w:highlight w:val="none"/>
        </w:rPr>
        <w:t>天之内提交具体细节的详细资料，只要承包人在不超过</w:t>
      </w:r>
      <w:r>
        <w:rPr>
          <w:rFonts w:hint="eastAsia" w:ascii="宋体" w:hAnsi="宋体" w:cs="宋体"/>
          <w:color w:val="auto"/>
          <w:szCs w:val="21"/>
          <w:highlight w:val="none"/>
          <w:u w:val="single"/>
        </w:rPr>
        <w:t>21</w:t>
      </w:r>
      <w:r>
        <w:rPr>
          <w:rFonts w:hint="eastAsia" w:ascii="宋体" w:hAnsi="宋体" w:cs="宋体"/>
          <w:color w:val="auto"/>
          <w:szCs w:val="21"/>
          <w:highlight w:val="none"/>
        </w:rPr>
        <w:t>天的间隔时间内向监理人提交了暂时的详细资料，并在该事件造成的影响结束后的</w:t>
      </w:r>
      <w:r>
        <w:rPr>
          <w:rFonts w:hint="eastAsia" w:ascii="宋体" w:hAnsi="宋体" w:cs="宋体"/>
          <w:color w:val="auto"/>
          <w:szCs w:val="21"/>
          <w:highlight w:val="none"/>
          <w:u w:val="single"/>
        </w:rPr>
        <w:t>21</w:t>
      </w:r>
      <w:r>
        <w:rPr>
          <w:rFonts w:hint="eastAsia" w:ascii="宋体" w:hAnsi="宋体" w:cs="宋体"/>
          <w:color w:val="auto"/>
          <w:szCs w:val="21"/>
          <w:highlight w:val="none"/>
        </w:rPr>
        <w:t>天之内提交了最后的详细资料，则承包人仍有权得到延长工期。监理人收到此暂时的详细资料时不应延误，应立即作出延长工期的暂时决定，并在收到最后的详细资料时审查全部情况，确定关于该事件的总的延长工期。在这两种情况下，监理人都应与承包人协商报发包人批准后确定，并将此确定通知承包人，抄送发包人。但最后的审查不应使监理人对已经确定的延长工期予以缩短。</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725" w:name="_Toc7278"/>
      <w:bookmarkStart w:id="2726" w:name="_Toc517530824"/>
      <w:bookmarkStart w:id="2727" w:name="_Toc2819"/>
      <w:bookmarkStart w:id="2728" w:name="_Toc7996"/>
      <w:bookmarkStart w:id="2729" w:name="_Toc14435"/>
      <w:bookmarkStart w:id="2730" w:name="_Toc517532100"/>
      <w:bookmarkStart w:id="2731" w:name="_Toc20728"/>
      <w:bookmarkStart w:id="2732" w:name="_Toc2164"/>
      <w:bookmarkStart w:id="2733" w:name="_Toc18856"/>
      <w:bookmarkStart w:id="2734" w:name="_Toc27879"/>
      <w:bookmarkStart w:id="2735" w:name="_Toc24668"/>
      <w:bookmarkStart w:id="2736" w:name="_Toc16183"/>
      <w:bookmarkStart w:id="2737" w:name="_Toc9497"/>
      <w:bookmarkStart w:id="2738" w:name="_Toc6517"/>
      <w:bookmarkStart w:id="2739" w:name="_Toc3341"/>
      <w:bookmarkStart w:id="2740" w:name="_Toc8392"/>
      <w:bookmarkStart w:id="2741" w:name="_Toc8755"/>
      <w:bookmarkStart w:id="2742" w:name="_Toc26992"/>
      <w:bookmarkStart w:id="2743" w:name="_Toc26784"/>
      <w:bookmarkStart w:id="2744" w:name="_Toc21757"/>
      <w:r>
        <w:rPr>
          <w:rFonts w:hint="eastAsia" w:ascii="宋体" w:hAnsi="宋体" w:cs="宋体"/>
          <w:b/>
          <w:bCs/>
          <w:color w:val="auto"/>
          <w:sz w:val="24"/>
          <w:szCs w:val="24"/>
          <w:highlight w:val="none"/>
        </w:rPr>
        <w:t>7.6.4工程进度过慢</w:t>
      </w:r>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承包人无任何理由取得延长工期的情况下，如果监理人认为，本合同工程或其任何部分的进度过慢，因而不能按预定的工期竣工时，则监理人应将此情况通知承包人。承包人应即据此采取监理人同意的必要的措施，以便加快工程进度，以使工程能在预定的工期内竣工。承包人无权要求为了采取这些步骤而支付任何附加费用。</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745" w:name="_Toc8596"/>
      <w:bookmarkStart w:id="2746" w:name="_Toc21573"/>
      <w:bookmarkStart w:id="2747" w:name="_Toc10065"/>
      <w:bookmarkStart w:id="2748" w:name="_Toc5756"/>
      <w:bookmarkStart w:id="2749" w:name="_Toc4315"/>
      <w:bookmarkStart w:id="2750" w:name="_Toc517530825"/>
      <w:bookmarkStart w:id="2751" w:name="_Toc517532101"/>
      <w:bookmarkStart w:id="2752" w:name="_Toc22279"/>
      <w:bookmarkStart w:id="2753" w:name="_Toc31669"/>
      <w:bookmarkStart w:id="2754" w:name="_Toc6748"/>
      <w:bookmarkStart w:id="2755" w:name="_Toc30537"/>
      <w:bookmarkStart w:id="2756" w:name="_Toc16081"/>
      <w:bookmarkStart w:id="2757" w:name="_Toc6067"/>
      <w:bookmarkStart w:id="2758" w:name="_Toc5800"/>
      <w:bookmarkStart w:id="2759" w:name="_Toc19598"/>
      <w:bookmarkStart w:id="2760" w:name="_Toc15166"/>
      <w:bookmarkStart w:id="2761" w:name="_Toc1643"/>
      <w:bookmarkStart w:id="2762" w:name="_Toc18284"/>
      <w:bookmarkStart w:id="2763" w:name="_Toc14999"/>
      <w:bookmarkStart w:id="2764" w:name="_Toc17376"/>
      <w:r>
        <w:rPr>
          <w:rFonts w:hint="eastAsia" w:ascii="宋体" w:hAnsi="宋体" w:cs="宋体"/>
          <w:b/>
          <w:bCs/>
          <w:color w:val="auto"/>
          <w:sz w:val="24"/>
          <w:szCs w:val="24"/>
          <w:highlight w:val="none"/>
        </w:rPr>
        <w:t>7.6.5工期拖延</w:t>
      </w:r>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承包人未能按照规定的工期完成合同工程，或者未能在相应的工期内完成某区段或某单项工程，发包人可事先向承包人发出指令，要求在一段合理的时间内完成前述工程，否则将雇用他人执行该项指令并明示所需费用。如承包人仍未在发包人要求的期限内完成前述工程，则发包人可雇用他人执行该项指令，并从应付给承包人的款项中扣除上述费用，不足的由承包人予以补足，承包人不得对上述费用提出异议。</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765" w:name="_Toc32593"/>
      <w:bookmarkStart w:id="2766" w:name="_Toc4189"/>
      <w:bookmarkStart w:id="2767" w:name="_Toc2375"/>
      <w:bookmarkStart w:id="2768" w:name="_Toc5578"/>
      <w:bookmarkStart w:id="2769" w:name="_Toc15804"/>
      <w:bookmarkStart w:id="2770" w:name="_Toc7075"/>
      <w:bookmarkStart w:id="2771" w:name="_Toc20400"/>
      <w:bookmarkStart w:id="2772" w:name="_Toc14754"/>
      <w:bookmarkStart w:id="2773" w:name="_Toc32716"/>
      <w:bookmarkStart w:id="2774" w:name="_Toc17865"/>
      <w:bookmarkStart w:id="2775" w:name="_Toc1873"/>
      <w:bookmarkStart w:id="2776" w:name="_Toc29645"/>
      <w:bookmarkStart w:id="2777" w:name="_Toc517532102"/>
      <w:bookmarkStart w:id="2778" w:name="_Toc16087"/>
      <w:bookmarkStart w:id="2779" w:name="_Toc2635"/>
      <w:bookmarkStart w:id="2780" w:name="_Toc11808"/>
      <w:bookmarkStart w:id="2781" w:name="_Toc29962"/>
      <w:bookmarkStart w:id="2782" w:name="_Toc9699"/>
      <w:bookmarkStart w:id="2783" w:name="_Toc517530826"/>
      <w:bookmarkStart w:id="2784" w:name="_Toc19324"/>
      <w:r>
        <w:rPr>
          <w:rFonts w:hint="eastAsia" w:ascii="宋体" w:hAnsi="宋体" w:cs="宋体"/>
          <w:b/>
          <w:bCs/>
          <w:color w:val="auto"/>
          <w:sz w:val="24"/>
          <w:szCs w:val="24"/>
          <w:highlight w:val="none"/>
        </w:rPr>
        <w:t>7.6.6拖期损失赔偿金</w:t>
      </w:r>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如果承包人未能按照第7.1.1条规定的工期完成合同工程，或者未能在相应的工期内完成某区段或某单项工程，应分情况处理：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若承包人的延误导致建设项目工程或其他承包人不能按期竣工验收的，则发包人有权要求承包人按招标文件前附表中写明金额全额计算并支付拖期损失赔偿金，时间自经批准延期后按合同约定应竣工日期起到合同工程或某区段或某单项工程的交接证书中写明的竣工日期止（即：实际工期-合同工期-批准的延长工期），按天计算。拖期损失赔偿金应不超过招标文件前附表中写明的限额。发包人可以从应付或到期应付给承包人的任何款项中扣除此赔偿金，但不排除其他扣款方法。此项支付或扣除，不应解除承包人对完成该项工程的义务或合同规定的承包人的其他义务和责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若承包人有证据证明该延误不会影响建设项目工程的按期竣工验收，也不对其他承包人按期完工产生实质性影响，则发包人可酌情决定不对承包人处拖期损失赔偿金。但若承包人的延误最终仍导致建设项目工程或其他承包人不能按期竣工验收的，则发包人有权要求承包人从最初延误之日起按前款约定计算并支付拖期损失赔偿金。</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若指定专业工程承包人工期延误而总承包单位未尽发包人根据合同有关规定要求其承担的总承包管理义务，则总承包单位应分担指定专业工程承包人拖期损失赔偿金的10%。</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在合同工程竣工之前，已对合同工程内的某区段或某单项工程签发了交接证书，且上述交接证书中写明的竣工日期并未延误，而是合同工程中的其他部分产生了工期延误，则合同工程的拖期损失赔偿金应予减少，减少的幅度按已签发交接证书的某区段或某单项工程的价值占合同工程价值的比例计算，但本款的规定不应影响该赔偿金的限额。</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785" w:name="_Toc16377"/>
      <w:bookmarkStart w:id="2786" w:name="_Toc16215"/>
      <w:bookmarkStart w:id="2787" w:name="_Toc23934"/>
      <w:bookmarkStart w:id="2788" w:name="_Toc25768"/>
      <w:bookmarkStart w:id="2789" w:name="_Toc21755"/>
      <w:bookmarkStart w:id="2790" w:name="_Toc7504"/>
      <w:bookmarkStart w:id="2791" w:name="_Toc32388"/>
      <w:bookmarkStart w:id="2792" w:name="_Toc517528689"/>
      <w:bookmarkStart w:id="2793" w:name="_Toc3922"/>
      <w:bookmarkStart w:id="2794" w:name="_Toc9583"/>
      <w:bookmarkStart w:id="2795" w:name="_Toc24176"/>
      <w:bookmarkStart w:id="2796" w:name="_Toc465237114"/>
      <w:bookmarkStart w:id="2797" w:name="_Toc24433"/>
      <w:bookmarkStart w:id="2798" w:name="_Toc15305"/>
      <w:bookmarkStart w:id="2799" w:name="_Toc14076"/>
      <w:bookmarkStart w:id="2800" w:name="_Toc32091"/>
      <w:bookmarkStart w:id="2801" w:name="_Toc22809"/>
      <w:bookmarkStart w:id="2802" w:name="_Toc4094"/>
      <w:bookmarkStart w:id="2803" w:name="_Toc17547"/>
      <w:bookmarkStart w:id="2804" w:name="_Toc24005"/>
      <w:bookmarkStart w:id="2805" w:name="_Toc517530827"/>
      <w:bookmarkStart w:id="2806" w:name="_Toc465237212"/>
      <w:bookmarkStart w:id="2807" w:name="_Toc517532103"/>
      <w:bookmarkStart w:id="2808" w:name="_Toc296346575"/>
      <w:bookmarkStart w:id="2809" w:name="_Toc296503074"/>
      <w:bookmarkStart w:id="2810" w:name="_Toc337558773"/>
      <w:bookmarkStart w:id="2811" w:name="_Toc296346578"/>
      <w:bookmarkStart w:id="2812" w:name="_Toc296503077"/>
      <w:r>
        <w:rPr>
          <w:rFonts w:hint="eastAsia" w:ascii="宋体" w:hAnsi="宋体" w:cs="宋体"/>
          <w:b/>
          <w:bCs/>
          <w:color w:val="auto"/>
          <w:sz w:val="28"/>
          <w:szCs w:val="28"/>
          <w:highlight w:val="none"/>
        </w:rPr>
        <w:t>7.7不利的外界障碍或条件</w:t>
      </w:r>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施工期间，承包人如果遇到不属于现场气候条件的，凭以往经验无法预见的外界障碍或条件，并已实际造成影响工期和增加费用时，承包人应立即就此向监理人发出书面通知，并抄送发包人。监理人收到该通知后，如经查明属实，确认该障碍或条件不可能为一个有经验的承包人所合理预见的，则监理人在与承包人协商并报发包人批准后，承包人有权获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(a)根据第7.6条规定承包人应得的延长工期；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(b)应该加到合同价格上的费用款额，并将上述确定通知承包人，抄送发包人。</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做出上述确定时，应该考虑监理人已经发给承包人的与此有关的指令，以及在没有监理人具体指令情况下，承包人采取的使监理人可接受的合理而又恰当的措施。</w:t>
      </w:r>
    </w:p>
    <w:p>
      <w:pPr>
        <w:spacing w:line="360" w:lineRule="auto"/>
        <w:ind w:firstLine="420" w:firstLineChars="200"/>
        <w:jc w:val="left"/>
        <w:rPr>
          <w:rFonts w:hint="eastAsia" w:ascii="宋体" w:hAnsi="宋体" w:cs="宋体"/>
          <w:b/>
          <w:color w:val="auto"/>
          <w:szCs w:val="21"/>
          <w:highlight w:val="none"/>
        </w:rPr>
      </w:pPr>
      <w:r>
        <w:rPr>
          <w:rFonts w:hint="eastAsia" w:ascii="宋体" w:hAnsi="宋体" w:cs="宋体"/>
          <w:color w:val="auto"/>
          <w:szCs w:val="21"/>
          <w:highlight w:val="none"/>
        </w:rPr>
        <w:t>但是，对于合同已经明确指出的不利的外界障碍或条件，无论承包人是否有经验，均视承包人在接受合同时已预见其影响因素并已在合同报价中计入由其影响而可能发生的一切费用。对合同未明确指出但在不利的外界障碍或条件发生之前，监理人已经指示承包人有可能发生，但承包人未能采取有效措施而导致的损失和后果均由承包人负责。</w:t>
      </w:r>
    </w:p>
    <w:bookmarkEnd w:id="2808"/>
    <w:bookmarkEnd w:id="2809"/>
    <w:bookmarkEnd w:id="2810"/>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813" w:name="_Toc11929"/>
      <w:bookmarkStart w:id="2814" w:name="_Toc20165"/>
      <w:bookmarkStart w:id="2815" w:name="_Toc25319"/>
      <w:bookmarkStart w:id="2816" w:name="_Toc31143"/>
      <w:bookmarkStart w:id="2817" w:name="_Toc26625"/>
      <w:bookmarkStart w:id="2818" w:name="_Toc8569"/>
      <w:bookmarkStart w:id="2819" w:name="_Toc16550"/>
      <w:bookmarkStart w:id="2820" w:name="_Toc27234"/>
      <w:bookmarkStart w:id="2821" w:name="_Toc9344"/>
      <w:bookmarkStart w:id="2822" w:name="_Toc465237115"/>
      <w:bookmarkStart w:id="2823" w:name="_Toc12710"/>
      <w:bookmarkStart w:id="2824" w:name="_Toc23780"/>
      <w:bookmarkStart w:id="2825" w:name="_Toc9773"/>
      <w:bookmarkStart w:id="2826" w:name="_Toc29256"/>
      <w:bookmarkStart w:id="2827" w:name="_Toc465237213"/>
      <w:bookmarkStart w:id="2828" w:name="_Toc517530828"/>
      <w:bookmarkStart w:id="2829" w:name="_Toc20463"/>
      <w:bookmarkStart w:id="2830" w:name="_Toc24441"/>
      <w:bookmarkStart w:id="2831" w:name="_Toc13362"/>
      <w:bookmarkStart w:id="2832" w:name="_Toc517532104"/>
      <w:bookmarkStart w:id="2833" w:name="_Toc517528690"/>
      <w:bookmarkStart w:id="2834" w:name="_Toc10542"/>
      <w:bookmarkStart w:id="2835" w:name="_Toc22483"/>
      <w:bookmarkStart w:id="2836" w:name="_Toc337558775"/>
      <w:r>
        <w:rPr>
          <w:rFonts w:hint="eastAsia" w:ascii="宋体" w:hAnsi="宋体" w:cs="宋体"/>
          <w:b/>
          <w:bCs/>
          <w:color w:val="auto"/>
          <w:sz w:val="28"/>
          <w:szCs w:val="28"/>
          <w:highlight w:val="none"/>
        </w:rPr>
        <w:t>7.8暂停施工</w:t>
      </w:r>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837" w:name="_Toc31022"/>
      <w:bookmarkStart w:id="2838" w:name="_Toc517532105"/>
      <w:bookmarkStart w:id="2839" w:name="_Toc15604"/>
      <w:bookmarkStart w:id="2840" w:name="_Toc13881"/>
      <w:bookmarkStart w:id="2841" w:name="_Toc13820"/>
      <w:bookmarkStart w:id="2842" w:name="_Toc17391"/>
      <w:bookmarkStart w:id="2843" w:name="_Toc12306"/>
      <w:bookmarkStart w:id="2844" w:name="_Toc30994"/>
      <w:bookmarkStart w:id="2845" w:name="_Toc517530829"/>
      <w:bookmarkStart w:id="2846" w:name="_Toc287"/>
      <w:bookmarkStart w:id="2847" w:name="_Toc2694"/>
      <w:bookmarkStart w:id="2848" w:name="_Toc11271"/>
      <w:bookmarkStart w:id="2849" w:name="_Toc17072"/>
      <w:bookmarkStart w:id="2850" w:name="_Toc1694"/>
      <w:bookmarkStart w:id="2851" w:name="_Toc24611"/>
      <w:bookmarkStart w:id="2852" w:name="_Toc10327"/>
      <w:bookmarkStart w:id="2853" w:name="_Toc726"/>
      <w:bookmarkStart w:id="2854" w:name="_Toc10576"/>
      <w:bookmarkStart w:id="2855" w:name="_Toc4281"/>
      <w:bookmarkStart w:id="2856" w:name="_Toc26985"/>
      <w:r>
        <w:rPr>
          <w:rFonts w:hint="eastAsia" w:ascii="宋体" w:hAnsi="宋体" w:cs="宋体"/>
          <w:b/>
          <w:bCs/>
          <w:color w:val="auto"/>
          <w:sz w:val="24"/>
          <w:szCs w:val="24"/>
          <w:highlight w:val="none"/>
        </w:rPr>
        <w:t>7.8.1暂时停工</w:t>
      </w:r>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工程建设期间，一旦监理人发出暂停施工的指令，承包人应在监理人认为适当的时间按照监理人要求的方式暂时停止本工程或其部分工程的施工。在暂时停工期间，承包人应妥善地保护本工程或其任何部分工程，并保障其安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除了下述原因的暂时停工外，在其他情况下应按7.8.2条的规定办理：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(a)在合同中另有规定的；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(b)由于承包人一方某种失误或违约导致的，或承包人应对其负责的必要停工；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(c)由于现场气候条件导致的必要的停工；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(d)承包人为了本工程的合理施工调整布署或为了工程及其任何部分的安全而采取必要的技术措施所需要的停工（因监理人或发包人的任何行为或失误所引起的，或第8.2.6条规定的任何一种风险而引起的除外）。</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857" w:name="_Toc27700"/>
      <w:bookmarkStart w:id="2858" w:name="_Toc18989"/>
      <w:bookmarkStart w:id="2859" w:name="_Toc20851"/>
      <w:bookmarkStart w:id="2860" w:name="_Toc6831"/>
      <w:bookmarkStart w:id="2861" w:name="_Toc5070"/>
      <w:bookmarkStart w:id="2862" w:name="_Toc16714"/>
      <w:bookmarkStart w:id="2863" w:name="_Toc29622"/>
      <w:bookmarkStart w:id="2864" w:name="_Toc26624"/>
      <w:bookmarkStart w:id="2865" w:name="_Toc7093"/>
      <w:bookmarkStart w:id="2866" w:name="_Toc941"/>
      <w:bookmarkStart w:id="2867" w:name="_Toc30338"/>
      <w:bookmarkStart w:id="2868" w:name="_Toc15758"/>
      <w:bookmarkStart w:id="2869" w:name="_Toc20644"/>
      <w:bookmarkStart w:id="2870" w:name="_Toc7752"/>
      <w:bookmarkStart w:id="2871" w:name="_Toc517530830"/>
      <w:bookmarkStart w:id="2872" w:name="_Toc31757"/>
      <w:bookmarkStart w:id="2873" w:name="_Toc13960"/>
      <w:bookmarkStart w:id="2874" w:name="_Toc32694"/>
      <w:bookmarkStart w:id="2875" w:name="_Toc17678"/>
      <w:bookmarkStart w:id="2876" w:name="_Toc517532106"/>
      <w:r>
        <w:rPr>
          <w:rFonts w:hint="eastAsia" w:ascii="宋体" w:hAnsi="宋体" w:cs="宋体"/>
          <w:b/>
          <w:bCs/>
          <w:color w:val="auto"/>
          <w:sz w:val="24"/>
          <w:szCs w:val="24"/>
          <w:highlight w:val="none"/>
        </w:rPr>
        <w:t>7.8.2暂时停工后监理人的决定</w:t>
      </w:r>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在执行第7.8.1条的规定时，除该条(a)、(b)、(c)、(d)所述情况外，监理人在与承包人协商并报经发包人批准后应确定：</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(a)根据第7.6条规定承包人应得的延长工期；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(b)发包人不支付给承包人任何的额外增加费用。</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877" w:name="_Toc1623"/>
      <w:bookmarkStart w:id="2878" w:name="_Toc8456"/>
      <w:bookmarkStart w:id="2879" w:name="_Toc10800"/>
      <w:bookmarkStart w:id="2880" w:name="_Toc20140"/>
      <w:bookmarkStart w:id="2881" w:name="_Toc517532107"/>
      <w:bookmarkStart w:id="2882" w:name="_Toc11468"/>
      <w:bookmarkStart w:id="2883" w:name="_Toc8175"/>
      <w:bookmarkStart w:id="2884" w:name="_Toc15226"/>
      <w:bookmarkStart w:id="2885" w:name="_Toc20291"/>
      <w:bookmarkStart w:id="2886" w:name="_Toc10473"/>
      <w:bookmarkStart w:id="2887" w:name="_Toc15392"/>
      <w:bookmarkStart w:id="2888" w:name="_Toc517530831"/>
      <w:bookmarkStart w:id="2889" w:name="_Toc9271"/>
      <w:bookmarkStart w:id="2890" w:name="_Toc8409"/>
      <w:bookmarkStart w:id="2891" w:name="_Toc25347"/>
      <w:bookmarkStart w:id="2892" w:name="_Toc31731"/>
      <w:bookmarkStart w:id="2893" w:name="_Toc21816"/>
      <w:bookmarkStart w:id="2894" w:name="_Toc18708"/>
      <w:bookmarkStart w:id="2895" w:name="_Toc28835"/>
      <w:bookmarkStart w:id="2896" w:name="_Toc27971"/>
      <w:r>
        <w:rPr>
          <w:rFonts w:hint="eastAsia" w:ascii="宋体" w:hAnsi="宋体" w:cs="宋体"/>
          <w:b/>
          <w:bCs/>
          <w:color w:val="auto"/>
          <w:sz w:val="24"/>
          <w:szCs w:val="24"/>
          <w:highlight w:val="none"/>
        </w:rPr>
        <w:t>7.8.3暂时停工持续63天以上</w:t>
      </w:r>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如果根据监理人的书面指令暂时停止了本合同工程或其部分工程的施工，并且在自暂时停工之日起</w:t>
      </w:r>
      <w:r>
        <w:rPr>
          <w:rFonts w:hint="eastAsia" w:ascii="宋体" w:hAnsi="宋体" w:cs="宋体"/>
          <w:color w:val="auto"/>
          <w:szCs w:val="21"/>
          <w:highlight w:val="none"/>
          <w:u w:val="single"/>
        </w:rPr>
        <w:t>63</w:t>
      </w:r>
      <w:r>
        <w:rPr>
          <w:rFonts w:hint="eastAsia" w:ascii="宋体" w:hAnsi="宋体" w:cs="宋体"/>
          <w:color w:val="auto"/>
          <w:szCs w:val="21"/>
          <w:highlight w:val="none"/>
        </w:rPr>
        <w:t>天的时间内，监理人仍未发出复工许可，如果该项暂时停工不属于第7.8.1条(a)、(b)、(c)或(d)所述范围之内，则承包人可向监理人发出书面通知，要求自收到该通知后</w:t>
      </w:r>
      <w:r>
        <w:rPr>
          <w:rFonts w:hint="eastAsia" w:ascii="宋体" w:hAnsi="宋体" w:cs="宋体"/>
          <w:color w:val="auto"/>
          <w:szCs w:val="21"/>
          <w:highlight w:val="none"/>
          <w:u w:val="single"/>
        </w:rPr>
        <w:t>14</w:t>
      </w:r>
      <w:r>
        <w:rPr>
          <w:rFonts w:hint="eastAsia" w:ascii="宋体" w:hAnsi="宋体" w:cs="宋体"/>
          <w:color w:val="auto"/>
          <w:szCs w:val="21"/>
          <w:highlight w:val="none"/>
        </w:rPr>
        <w:t>天内准许暂停的该工程或其部分工程继续施工，如果在上述期限内未得到此项准许，则承包人可以（但非必须如此）作如下选择：当此项停工仅影响本工程的一部分时，则按照第10条规定将该部分工程从合同中取消，同时将此事通知监理人；或者，当此项停工影响整个合同工程时，则根据第16.1条的规定将此项停工视为发包人违约事件，并终止对本合同项下的承包，有关问题按第16条的各项规定办理。</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897" w:name="_Toc32675"/>
      <w:bookmarkStart w:id="2898" w:name="_Toc517528691"/>
      <w:bookmarkStart w:id="2899" w:name="_Toc29097"/>
      <w:bookmarkStart w:id="2900" w:name="_Toc26071"/>
      <w:bookmarkStart w:id="2901" w:name="_Toc25016"/>
      <w:bookmarkStart w:id="2902" w:name="_Toc517530832"/>
      <w:bookmarkStart w:id="2903" w:name="_Toc26662"/>
      <w:bookmarkStart w:id="2904" w:name="_Toc517532108"/>
      <w:bookmarkStart w:id="2905" w:name="_Toc21318"/>
      <w:bookmarkStart w:id="2906" w:name="_Toc3103"/>
      <w:r>
        <w:rPr>
          <w:rFonts w:hint="eastAsia" w:ascii="宋体" w:hAnsi="宋体" w:cs="宋体"/>
          <w:b/>
          <w:bCs/>
          <w:color w:val="auto"/>
          <w:sz w:val="28"/>
          <w:szCs w:val="28"/>
          <w:highlight w:val="none"/>
        </w:rPr>
        <w:t>7.9工程复工</w:t>
      </w:r>
      <w:bookmarkEnd w:id="2897"/>
      <w:bookmarkEnd w:id="2898"/>
      <w:bookmarkEnd w:id="2899"/>
      <w:bookmarkEnd w:id="2900"/>
      <w:bookmarkEnd w:id="2901"/>
      <w:bookmarkEnd w:id="2902"/>
      <w:bookmarkEnd w:id="2903"/>
      <w:bookmarkEnd w:id="2904"/>
      <w:bookmarkEnd w:id="2905"/>
      <w:bookmarkEnd w:id="290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承包人无故拖延和拒绝复工的，承包人承担由此增加的费用和（或）延误的工期。</w:t>
      </w:r>
    </w:p>
    <w:bookmarkEnd w:id="2811"/>
    <w:bookmarkEnd w:id="2812"/>
    <w:bookmarkEnd w:id="2836"/>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2907" w:name="_Toc351203552"/>
      <w:bookmarkStart w:id="2908" w:name="_Toc517529741"/>
      <w:bookmarkStart w:id="2909" w:name="_Toc21913"/>
      <w:bookmarkStart w:id="2910" w:name="_Toc13885"/>
      <w:bookmarkStart w:id="2911" w:name="_Toc18470"/>
      <w:bookmarkStart w:id="2912" w:name="_Toc517532109"/>
      <w:bookmarkStart w:id="2913" w:name="_Toc465237214"/>
      <w:bookmarkStart w:id="2914" w:name="_Toc15020"/>
      <w:bookmarkStart w:id="2915" w:name="_Toc32115"/>
      <w:bookmarkStart w:id="2916" w:name="_Toc7357"/>
      <w:bookmarkStart w:id="2917" w:name="_Toc12627"/>
      <w:bookmarkStart w:id="2918" w:name="_Toc21366"/>
      <w:bookmarkStart w:id="2919" w:name="_Toc31957"/>
      <w:bookmarkStart w:id="2920" w:name="_Toc26340"/>
      <w:bookmarkStart w:id="2921" w:name="_Toc4439"/>
      <w:bookmarkStart w:id="2922" w:name="_Toc465237116"/>
      <w:bookmarkStart w:id="2923" w:name="_Toc31889"/>
      <w:bookmarkStart w:id="2924" w:name="_Toc5684"/>
      <w:bookmarkStart w:id="2925" w:name="_Toc12994"/>
      <w:bookmarkStart w:id="2926" w:name="_Toc22866"/>
      <w:bookmarkStart w:id="2927" w:name="_Toc24646"/>
      <w:bookmarkStart w:id="2928" w:name="_Toc517530833"/>
      <w:bookmarkStart w:id="2929" w:name="_Toc29290"/>
      <w:bookmarkStart w:id="2930" w:name="_Toc1562"/>
      <w:bookmarkStart w:id="2931" w:name="_Toc517528692"/>
      <w:bookmarkStart w:id="2932" w:name="_Toc337558776"/>
      <w:bookmarkStart w:id="2933" w:name="_Toc296346559"/>
      <w:bookmarkStart w:id="2934" w:name="_Toc296503058"/>
      <w:r>
        <w:rPr>
          <w:rFonts w:hint="eastAsia" w:ascii="宋体" w:hAnsi="宋体" w:cs="宋体"/>
          <w:b/>
          <w:bCs/>
          <w:color w:val="auto"/>
          <w:sz w:val="30"/>
          <w:szCs w:val="30"/>
          <w:highlight w:val="none"/>
        </w:rPr>
        <w:t>8.</w:t>
      </w:r>
      <w:bookmarkEnd w:id="2907"/>
      <w:r>
        <w:rPr>
          <w:rFonts w:hint="eastAsia" w:ascii="宋体" w:hAnsi="宋体" w:cs="宋体"/>
          <w:b/>
          <w:bCs/>
          <w:color w:val="auto"/>
          <w:sz w:val="30"/>
          <w:szCs w:val="30"/>
          <w:highlight w:val="none"/>
        </w:rPr>
        <w:t xml:space="preserve"> 材料与设备</w:t>
      </w:r>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p>
    <w:bookmarkEnd w:id="2932"/>
    <w:bookmarkEnd w:id="2933"/>
    <w:bookmarkEnd w:id="2934"/>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2935" w:name="_Toc351203554"/>
      <w:bookmarkStart w:id="2936" w:name="_Toc30178"/>
      <w:bookmarkStart w:id="2937" w:name="_Toc26132"/>
      <w:bookmarkStart w:id="2938" w:name="_Toc655"/>
      <w:bookmarkStart w:id="2939" w:name="_Toc30886"/>
      <w:bookmarkStart w:id="2940" w:name="_Toc1531"/>
      <w:bookmarkStart w:id="2941" w:name="_Toc12958"/>
      <w:bookmarkStart w:id="2942" w:name="_Toc517532110"/>
      <w:bookmarkStart w:id="2943" w:name="_Toc1996"/>
      <w:bookmarkStart w:id="2944" w:name="_Toc4845"/>
      <w:bookmarkStart w:id="2945" w:name="_Toc28281"/>
      <w:bookmarkStart w:id="2946" w:name="_Toc14033"/>
      <w:bookmarkStart w:id="2947" w:name="_Toc30085"/>
      <w:bookmarkStart w:id="2948" w:name="_Toc15516"/>
      <w:bookmarkStart w:id="2949" w:name="_Toc7445"/>
      <w:bookmarkStart w:id="2950" w:name="_Toc517528693"/>
      <w:bookmarkStart w:id="2951" w:name="_Toc465237215"/>
      <w:bookmarkStart w:id="2952" w:name="_Toc517530834"/>
      <w:bookmarkStart w:id="2953" w:name="_Toc24224"/>
      <w:bookmarkStart w:id="2954" w:name="_Toc8650"/>
      <w:bookmarkStart w:id="2955" w:name="_Toc30213"/>
      <w:bookmarkStart w:id="2956" w:name="_Toc17331"/>
      <w:bookmarkStart w:id="2957" w:name="_Toc465237117"/>
      <w:bookmarkStart w:id="2958" w:name="_Toc2010"/>
      <w:bookmarkStart w:id="2959" w:name="_Toc296503060"/>
      <w:bookmarkStart w:id="2960" w:name="_Toc296346561"/>
      <w:bookmarkStart w:id="2961" w:name="_Toc337558778"/>
      <w:bookmarkStart w:id="2962" w:name="_Toc468936960"/>
      <w:r>
        <w:rPr>
          <w:rFonts w:hint="eastAsia" w:ascii="宋体" w:hAnsi="宋体" w:cs="宋体"/>
          <w:b/>
          <w:bCs/>
          <w:color w:val="auto"/>
          <w:sz w:val="28"/>
          <w:szCs w:val="28"/>
          <w:highlight w:val="none"/>
        </w:rPr>
        <w:t>8.1承包人采购</w:t>
      </w:r>
      <w:bookmarkEnd w:id="2935"/>
      <w:r>
        <w:rPr>
          <w:rFonts w:hint="eastAsia" w:ascii="宋体" w:hAnsi="宋体" w:cs="宋体"/>
          <w:b/>
          <w:bCs/>
          <w:color w:val="auto"/>
          <w:sz w:val="28"/>
          <w:szCs w:val="28"/>
          <w:highlight w:val="none"/>
        </w:rPr>
        <w:t>或提供材料与工程设备</w:t>
      </w:r>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963" w:name="_Toc2852"/>
      <w:bookmarkStart w:id="2964" w:name="_Toc21613"/>
      <w:bookmarkStart w:id="2965" w:name="_Toc7454"/>
      <w:bookmarkStart w:id="2966" w:name="_Toc20722"/>
      <w:bookmarkStart w:id="2967" w:name="_Toc26402"/>
      <w:bookmarkStart w:id="2968" w:name="_Toc4478"/>
      <w:bookmarkStart w:id="2969" w:name="_Toc5254"/>
      <w:bookmarkStart w:id="2970" w:name="_Toc5417"/>
      <w:bookmarkStart w:id="2971" w:name="_Toc517530835"/>
      <w:bookmarkStart w:id="2972" w:name="_Toc25917"/>
      <w:bookmarkStart w:id="2973" w:name="_Toc22073"/>
      <w:bookmarkStart w:id="2974" w:name="_Toc6476"/>
      <w:bookmarkStart w:id="2975" w:name="_Toc15254"/>
      <w:bookmarkStart w:id="2976" w:name="_Toc11974"/>
      <w:bookmarkStart w:id="2977" w:name="_Toc517532111"/>
      <w:bookmarkStart w:id="2978" w:name="_Toc10192"/>
      <w:bookmarkStart w:id="2979" w:name="_Toc5096"/>
      <w:bookmarkStart w:id="2980" w:name="_Toc15442"/>
      <w:bookmarkStart w:id="2981" w:name="_Toc28861"/>
      <w:bookmarkStart w:id="2982" w:name="_Toc12359"/>
      <w:r>
        <w:rPr>
          <w:rFonts w:hint="eastAsia" w:ascii="宋体" w:hAnsi="宋体" w:cs="宋体"/>
          <w:b/>
          <w:bCs/>
          <w:color w:val="auto"/>
          <w:sz w:val="24"/>
          <w:szCs w:val="24"/>
          <w:highlight w:val="none"/>
        </w:rPr>
        <w:t>8.1.1材料与工程设备的提供和专用</w:t>
      </w:r>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合同约定由承包人负责采购材料、工程设备的，应按照设计和有关标准要求采购，并提供产品合格证明及出厂证明，对材料、工程设备质量负责。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承包人为本工程提供的一切承包人装备、临时工程和材料，一经运到现场，即视为供本合同工程施工专用。承包人除将上述物品在现场内转移外，若无监理人的同意，不得将上述物品或其中任何部分运出现场，但运输车辆进出现场可不需经监理人的同意。</w:t>
      </w:r>
    </w:p>
    <w:bookmarkEnd w:id="2959"/>
    <w:bookmarkEnd w:id="2960"/>
    <w:bookmarkEnd w:id="2961"/>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2983" w:name="_Toc2335"/>
      <w:bookmarkStart w:id="2984" w:name="_Toc1177"/>
      <w:bookmarkStart w:id="2985" w:name="_Toc28826"/>
      <w:bookmarkStart w:id="2986" w:name="_Toc8058"/>
      <w:bookmarkStart w:id="2987" w:name="_Toc609"/>
      <w:bookmarkStart w:id="2988" w:name="_Toc30946"/>
      <w:bookmarkStart w:id="2989" w:name="_Toc12117"/>
      <w:bookmarkStart w:id="2990" w:name="_Toc29034"/>
      <w:bookmarkStart w:id="2991" w:name="_Toc20139"/>
      <w:bookmarkStart w:id="2992" w:name="_Toc11042"/>
      <w:bookmarkStart w:id="2993" w:name="_Toc6194"/>
      <w:bookmarkStart w:id="2994" w:name="_Toc517530836"/>
      <w:bookmarkStart w:id="2995" w:name="_Toc7251"/>
      <w:bookmarkStart w:id="2996" w:name="_Toc22889"/>
      <w:bookmarkStart w:id="2997" w:name="_Toc16899"/>
      <w:bookmarkStart w:id="2998" w:name="_Toc13644"/>
      <w:bookmarkStart w:id="2999" w:name="_Toc517532112"/>
      <w:bookmarkStart w:id="3000" w:name="_Toc6925"/>
      <w:bookmarkStart w:id="3001" w:name="_Toc13618"/>
      <w:bookmarkStart w:id="3002" w:name="_Toc3783"/>
      <w:r>
        <w:rPr>
          <w:rFonts w:hint="eastAsia" w:ascii="宋体" w:hAnsi="宋体" w:cs="宋体"/>
          <w:b/>
          <w:bCs/>
          <w:color w:val="auto"/>
          <w:sz w:val="24"/>
          <w:szCs w:val="24"/>
          <w:highlight w:val="none"/>
        </w:rPr>
        <w:t>8.1.2材料、设备的品牌</w:t>
      </w:r>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p>
    <w:p>
      <w:pPr>
        <w:adjustRightInd w:val="0"/>
        <w:snapToGrid w:val="0"/>
        <w:spacing w:line="360" w:lineRule="auto"/>
        <w:ind w:firstLine="723" w:firstLineChars="343"/>
        <w:jc w:val="left"/>
        <w:rPr>
          <w:rFonts w:hint="eastAsia" w:ascii="宋体" w:hAnsi="宋体" w:cs="宋体"/>
          <w:b/>
          <w:bCs/>
          <w:color w:val="auto"/>
          <w:szCs w:val="21"/>
          <w:highlight w:val="none"/>
        </w:rPr>
      </w:pPr>
      <w:r>
        <w:rPr>
          <w:rFonts w:hint="eastAsia" w:ascii="宋体" w:hAnsi="宋体" w:cs="宋体"/>
          <w:b/>
          <w:bCs/>
          <w:color w:val="auto"/>
          <w:szCs w:val="21"/>
          <w:highlight w:val="none"/>
        </w:rPr>
        <w:t>(1)材料、设备的品牌的更换原则</w:t>
      </w:r>
    </w:p>
    <w:p>
      <w:pPr>
        <w:adjustRightInd w:val="0"/>
        <w:snapToGrid w:val="0"/>
        <w:spacing w:line="360" w:lineRule="auto"/>
        <w:ind w:left="315"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发包人在招标文件中给定了材料、设备参考品牌的，承包人应选用给定的参考品牌。品牌选用及更换原则如下：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（a）无论承包人在投标时是否选定唯一品牌，可以更换为招标文件列明参考品牌中同一品种、同一档次的其他品牌；</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（b）某种材料设备在项目招标阶段尚未建立品牌库，而在项目实施阶段已建立品牌库的，承包人自愿将拟用品牌更换为品牌库内品牌的，发包人予以支持；</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（c）如果承包人提出申请使用未入库但优于中标品牌的其他品牌，经发包人同意后可以更换品牌，但发包人定期集中审核时未入库的品牌不得使用；</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（d）更换品牌扣减费用为原品牌招标控制价扣除招标项目净下浮率后与新品牌市场价之差；</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（e）本项目招标之后发包人发布的新版材料设备品牌库，同档次品牌与本项目招标文件所列参考品牌具有同等效力。</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被清除出我署材料设备参考品牌库或暂停使用的品牌，对已签署购销合同的，根据以下三种情况分别处理：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（a）若产品还未到施工现场，应立即停止供货，不得使用；</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（b）若产品已到施工现场，但尚未使用，由发包人进行现场抽检，检测结果合格后，方可投入使用；检测结果不合格，则全部清退出场；</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（c）若产品已使用，由发包人根据具体情况加强抽检。若检测结果不合格，必须采取拆除等措施处理。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被我署列入材料设备黑名单的产品处理方式如下：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（a）该材料设备品牌自列入之日起三年内，在工务署工程项目中不得使用；</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（b）若产品已到施工现场，尚未使用，须在发包人和监理单位见证下全部清退出场；</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（c）若产品已使用，由发包人根据具体情况加强抽检。若检测结果不合格，必须采取拆除等措施处理。</w:t>
      </w:r>
    </w:p>
    <w:p>
      <w:pPr>
        <w:adjustRightInd w:val="0"/>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(2)采购程序</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选定实施品牌签订采购合同后，须在3天内将采购合同报送发包人备案，发包人将与该品牌生产厂家联系，要求该厂家向发包人核对材料设备的采购数量、技术参数是否与招标文件要求相符，生产厂家发货时将向发包人报送发货单，必要时协助发包人验收材料设备。</w:t>
      </w:r>
    </w:p>
    <w:p>
      <w:pPr>
        <w:adjustRightInd w:val="0"/>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(3)材料采购注意事项</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承包人采购参考品牌材料设备注意事项：</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（a）承包人不得与材料设备供应商签订阴阳合同；</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（b）承包人不得要求供应商供货定制不符合招标文件要求的材料设备；</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（c）承包人不得以投标报价偏低为由，要求材料设备供应商低于正常的市场价格供货；</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（d）承包人采购相关人员不得收受材料设备供应商的回扣、“红包”、有价证券等财物，或向材料设备供应商报销应由个人支付的费用，不得参与商业贿赂行为；</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（e）承包人不得以各种理由拖延时间采购参考品牌的材料设备，因承包人原因未及时采购材料设备导致工期延误的，不得要求发包人批准更换品牌。对此，发包人保留对承包人工期索赔的权利。</w:t>
      </w:r>
    </w:p>
    <w:p>
      <w:pPr>
        <w:adjustRightInd w:val="0"/>
        <w:snapToGrid w:val="0"/>
        <w:spacing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 xml:space="preserve"> (4) 处罚</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如承包人不按招标文件要求采购材料设备，对工程质量、进度造成不良影响的，发包人将根据情节轻重记录其不良行为，直至处于停标的处罚。</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003" w:name="_Toc13325"/>
      <w:bookmarkStart w:id="3004" w:name="_Toc8095"/>
      <w:bookmarkStart w:id="3005" w:name="_Toc18902"/>
      <w:bookmarkStart w:id="3006" w:name="_Toc24305"/>
      <w:bookmarkStart w:id="3007" w:name="_Toc517532113"/>
      <w:bookmarkStart w:id="3008" w:name="_Toc32515"/>
      <w:bookmarkStart w:id="3009" w:name="_Toc13133"/>
      <w:bookmarkStart w:id="3010" w:name="_Toc25952"/>
      <w:bookmarkStart w:id="3011" w:name="_Toc14097"/>
      <w:bookmarkStart w:id="3012" w:name="_Toc13525"/>
      <w:bookmarkStart w:id="3013" w:name="_Toc15646"/>
      <w:bookmarkStart w:id="3014" w:name="_Toc17504"/>
      <w:bookmarkStart w:id="3015" w:name="_Toc17312"/>
      <w:bookmarkStart w:id="3016" w:name="_Toc7342"/>
      <w:bookmarkStart w:id="3017" w:name="_Toc26128"/>
      <w:bookmarkStart w:id="3018" w:name="_Toc17175"/>
      <w:bookmarkStart w:id="3019" w:name="_Toc250"/>
      <w:bookmarkStart w:id="3020" w:name="_Toc13965"/>
      <w:bookmarkStart w:id="3021" w:name="_Toc30223"/>
      <w:bookmarkStart w:id="3022" w:name="_Toc517530837"/>
      <w:r>
        <w:rPr>
          <w:rFonts w:hint="eastAsia" w:ascii="宋体" w:hAnsi="宋体" w:cs="宋体"/>
          <w:b/>
          <w:bCs/>
          <w:color w:val="auto"/>
          <w:sz w:val="24"/>
          <w:szCs w:val="24"/>
          <w:highlight w:val="none"/>
        </w:rPr>
        <w:t>8.1.3混凝土使用</w:t>
      </w:r>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本项目混凝土工程要求必须采用商品混凝土浇筑，零星工程混凝土如果采用现场拌制，必须事先征得监理人的批准。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承包人应按建设行政主管部门有关建筑废弃物、预拌混凝土和预拌砂浆等相关管理规定，使用预拌混凝土和预拌砂浆。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023" w:name="_Toc15653"/>
      <w:bookmarkStart w:id="3024" w:name="_Toc18505"/>
      <w:bookmarkStart w:id="3025" w:name="_Toc30155"/>
      <w:bookmarkStart w:id="3026" w:name="_Toc2153"/>
      <w:bookmarkStart w:id="3027" w:name="_Toc26102"/>
      <w:bookmarkStart w:id="3028" w:name="_Toc517530838"/>
      <w:bookmarkStart w:id="3029" w:name="_Toc867"/>
      <w:bookmarkStart w:id="3030" w:name="_Toc289"/>
      <w:bookmarkStart w:id="3031" w:name="_Toc16897"/>
      <w:bookmarkStart w:id="3032" w:name="_Toc27392"/>
      <w:bookmarkStart w:id="3033" w:name="_Toc27894"/>
      <w:bookmarkStart w:id="3034" w:name="_Toc517532114"/>
      <w:bookmarkStart w:id="3035" w:name="_Toc29378"/>
      <w:bookmarkStart w:id="3036" w:name="_Toc4784"/>
      <w:bookmarkStart w:id="3037" w:name="_Toc29530"/>
      <w:bookmarkStart w:id="3038" w:name="_Toc5053"/>
      <w:bookmarkStart w:id="3039" w:name="_Toc5012"/>
      <w:bookmarkStart w:id="3040" w:name="_Toc32181"/>
      <w:bookmarkStart w:id="3041" w:name="_Toc18219"/>
      <w:bookmarkStart w:id="3042" w:name="_Toc8568"/>
      <w:r>
        <w:rPr>
          <w:rFonts w:hint="eastAsia" w:ascii="宋体" w:hAnsi="宋体" w:cs="宋体"/>
          <w:b/>
          <w:bCs/>
          <w:color w:val="auto"/>
          <w:sz w:val="24"/>
          <w:szCs w:val="24"/>
          <w:highlight w:val="none"/>
        </w:rPr>
        <w:t>8.1.4材料的批准</w:t>
      </w:r>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p>
    <w:p>
      <w:pPr>
        <w:autoSpaceDE w:val="0"/>
        <w:autoSpaceDN w:val="0"/>
        <w:adjustRightIn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履行第8.1条的约定，并不意味着监理人对其中所涉及的进场材料或其他物品的批准，监理人有权拒绝使用任何上述材料。</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043" w:name="_Toc17589"/>
      <w:bookmarkStart w:id="3044" w:name="_Toc517530839"/>
      <w:bookmarkStart w:id="3045" w:name="_Toc517532115"/>
      <w:bookmarkStart w:id="3046" w:name="_Toc2833"/>
      <w:bookmarkStart w:id="3047" w:name="_Toc12237"/>
      <w:bookmarkStart w:id="3048" w:name="_Toc13617"/>
      <w:bookmarkStart w:id="3049" w:name="_Toc2633"/>
      <w:bookmarkStart w:id="3050" w:name="_Toc25811"/>
      <w:bookmarkStart w:id="3051" w:name="_Toc17687"/>
      <w:bookmarkStart w:id="3052" w:name="_Toc17786"/>
      <w:bookmarkStart w:id="3053" w:name="_Toc2810"/>
      <w:bookmarkStart w:id="3054" w:name="_Toc1812"/>
      <w:bookmarkStart w:id="3055" w:name="_Toc20838"/>
      <w:bookmarkStart w:id="3056" w:name="_Toc22669"/>
      <w:bookmarkStart w:id="3057" w:name="_Toc6732"/>
      <w:bookmarkStart w:id="3058" w:name="_Toc25521"/>
      <w:bookmarkStart w:id="3059" w:name="_Toc21470"/>
      <w:bookmarkStart w:id="3060" w:name="_Toc4795"/>
      <w:bookmarkStart w:id="3061" w:name="_Toc670"/>
      <w:bookmarkStart w:id="3062" w:name="_Toc25979"/>
      <w:r>
        <w:rPr>
          <w:rFonts w:hint="eastAsia" w:ascii="宋体" w:hAnsi="宋体" w:cs="宋体"/>
          <w:b/>
          <w:bCs/>
          <w:color w:val="auto"/>
          <w:sz w:val="24"/>
          <w:szCs w:val="24"/>
          <w:highlight w:val="none"/>
        </w:rPr>
        <w:t>8.1.5为发包人提供交通设施服务</w:t>
      </w:r>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为解决发包人管理人员前往工程现场的交通问题，由承包人提供机动车辆供发包人使用，承包人应在合同签订之日起15天内按照专用条款的有关约定将车辆交发包人。</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063" w:name="_Toc26350"/>
      <w:bookmarkStart w:id="3064" w:name="_Toc19290"/>
      <w:bookmarkStart w:id="3065" w:name="_Toc745"/>
      <w:bookmarkStart w:id="3066" w:name="_Toc22970"/>
      <w:bookmarkStart w:id="3067" w:name="_Toc16325"/>
      <w:bookmarkStart w:id="3068" w:name="_Toc22753"/>
      <w:bookmarkStart w:id="3069" w:name="_Toc6641"/>
      <w:bookmarkStart w:id="3070" w:name="_Toc7195"/>
      <w:bookmarkStart w:id="3071" w:name="_Toc13492"/>
      <w:bookmarkStart w:id="3072" w:name="_Toc28974"/>
      <w:bookmarkStart w:id="3073" w:name="_Toc763"/>
      <w:bookmarkStart w:id="3074" w:name="_Toc22537"/>
      <w:bookmarkStart w:id="3075" w:name="_Toc16169"/>
      <w:bookmarkStart w:id="3076" w:name="_Toc27547"/>
      <w:bookmarkStart w:id="3077" w:name="_Toc517532116"/>
      <w:bookmarkStart w:id="3078" w:name="_Toc16912"/>
      <w:bookmarkStart w:id="3079" w:name="_Toc17681"/>
      <w:bookmarkStart w:id="3080" w:name="_Toc6531"/>
      <w:bookmarkStart w:id="3081" w:name="_Toc29126"/>
      <w:bookmarkStart w:id="3082" w:name="_Toc517530840"/>
      <w:r>
        <w:rPr>
          <w:rFonts w:hint="eastAsia" w:ascii="宋体" w:hAnsi="宋体" w:cs="宋体"/>
          <w:b/>
          <w:bCs/>
          <w:color w:val="auto"/>
          <w:sz w:val="24"/>
          <w:szCs w:val="24"/>
          <w:highlight w:val="none"/>
        </w:rPr>
        <w:t>8.1.6发包人的免责</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除第8.2条和第17条提到的外，发包人无论何时均不对上述承包人装备、临时工程或材料的损失或损坏承担责任。</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083" w:name="_Toc7020"/>
      <w:bookmarkStart w:id="3084" w:name="_Toc27710"/>
      <w:bookmarkStart w:id="3085" w:name="_Toc20263"/>
      <w:bookmarkStart w:id="3086" w:name="_Toc517530841"/>
      <w:bookmarkStart w:id="3087" w:name="_Toc25345"/>
      <w:bookmarkStart w:id="3088" w:name="_Toc6122"/>
      <w:bookmarkStart w:id="3089" w:name="_Toc12472"/>
      <w:bookmarkStart w:id="3090" w:name="_Toc517532117"/>
      <w:bookmarkStart w:id="3091" w:name="_Toc16223"/>
      <w:bookmarkStart w:id="3092" w:name="_Toc22318"/>
      <w:bookmarkStart w:id="3093" w:name="_Toc11327"/>
      <w:bookmarkStart w:id="3094" w:name="_Toc582"/>
      <w:bookmarkStart w:id="3095" w:name="_Toc21126"/>
      <w:bookmarkStart w:id="3096" w:name="_Toc20874"/>
      <w:bookmarkStart w:id="3097" w:name="_Toc4228"/>
      <w:bookmarkStart w:id="3098" w:name="_Toc8520"/>
      <w:bookmarkStart w:id="3099" w:name="_Toc20627"/>
      <w:bookmarkStart w:id="3100" w:name="_Toc30532"/>
      <w:bookmarkStart w:id="3101" w:name="_Toc16769"/>
      <w:bookmarkStart w:id="3102" w:name="_Toc13984"/>
      <w:r>
        <w:rPr>
          <w:rFonts w:hint="eastAsia" w:ascii="宋体" w:hAnsi="宋体" w:cs="宋体"/>
          <w:b/>
          <w:bCs/>
          <w:color w:val="auto"/>
          <w:sz w:val="24"/>
          <w:szCs w:val="24"/>
          <w:highlight w:val="none"/>
        </w:rPr>
        <w:t>8.1.7承包人装备的继续租用</w:t>
      </w:r>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根据第16.2条规定终止合同时，为了保证本工程施工的目的，发包人或其邀请实施本合同工程的其他承包人仍可继续使用承包人已租用的任何装备，其租用条件在各方面都应与租给承包人的条件相同。承包人应在设备租赁合同中明确约定租赁权可转让，以保障前述约定的实现。</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103" w:name="_Toc18098"/>
      <w:bookmarkStart w:id="3104" w:name="_Toc3402"/>
      <w:bookmarkStart w:id="3105" w:name="_Toc21296"/>
      <w:bookmarkStart w:id="3106" w:name="_Toc23503"/>
      <w:bookmarkStart w:id="3107" w:name="_Toc29359"/>
      <w:bookmarkStart w:id="3108" w:name="_Toc8072"/>
      <w:bookmarkStart w:id="3109" w:name="_Toc517532118"/>
      <w:bookmarkStart w:id="3110" w:name="_Toc27263"/>
      <w:bookmarkStart w:id="3111" w:name="_Toc19955"/>
      <w:bookmarkStart w:id="3112" w:name="_Toc28069"/>
      <w:bookmarkStart w:id="3113" w:name="_Toc31088"/>
      <w:bookmarkStart w:id="3114" w:name="_Toc24218"/>
      <w:bookmarkStart w:id="3115" w:name="_Toc4310"/>
      <w:bookmarkStart w:id="3116" w:name="_Toc8245"/>
      <w:bookmarkStart w:id="3117" w:name="_Toc22610"/>
      <w:bookmarkStart w:id="3118" w:name="_Toc19933"/>
      <w:bookmarkStart w:id="3119" w:name="_Toc22179"/>
      <w:bookmarkStart w:id="3120" w:name="_Toc11051"/>
      <w:bookmarkStart w:id="3121" w:name="_Toc18874"/>
      <w:bookmarkStart w:id="3122" w:name="_Toc517530842"/>
      <w:r>
        <w:rPr>
          <w:rFonts w:hint="eastAsia" w:ascii="宋体" w:hAnsi="宋体" w:cs="宋体"/>
          <w:b/>
          <w:bCs/>
          <w:color w:val="auto"/>
          <w:sz w:val="24"/>
          <w:szCs w:val="24"/>
          <w:highlight w:val="none"/>
        </w:rPr>
        <w:t>8.1.8列入分包合同</w:t>
      </w:r>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承包人在签订本合同工程分包合同时，应将本条中有关分包人的装备、临时工程或材料运入现场的各项规定写入分包合同中。</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123" w:name="_Toc23054"/>
      <w:bookmarkStart w:id="3124" w:name="_Toc18798"/>
      <w:bookmarkStart w:id="3125" w:name="_Toc31137"/>
      <w:bookmarkStart w:id="3126" w:name="_Toc29778"/>
      <w:bookmarkStart w:id="3127" w:name="_Toc11003"/>
      <w:bookmarkStart w:id="3128" w:name="_Toc32616"/>
      <w:bookmarkStart w:id="3129" w:name="_Toc11158"/>
      <w:bookmarkStart w:id="3130" w:name="_Toc25856"/>
      <w:bookmarkStart w:id="3131" w:name="_Toc517532119"/>
      <w:bookmarkStart w:id="3132" w:name="_Toc2717"/>
      <w:bookmarkStart w:id="3133" w:name="_Toc3690"/>
      <w:bookmarkStart w:id="3134" w:name="_Toc24019"/>
      <w:bookmarkStart w:id="3135" w:name="_Toc32564"/>
      <w:bookmarkStart w:id="3136" w:name="_Toc20283"/>
      <w:bookmarkStart w:id="3137" w:name="_Toc26843"/>
      <w:bookmarkStart w:id="3138" w:name="_Toc27713"/>
      <w:bookmarkStart w:id="3139" w:name="_Toc3054"/>
      <w:bookmarkStart w:id="3140" w:name="_Toc613"/>
      <w:bookmarkStart w:id="3141" w:name="_Toc3658"/>
      <w:bookmarkStart w:id="3142" w:name="_Toc517530843"/>
      <w:r>
        <w:rPr>
          <w:rFonts w:hint="eastAsia" w:ascii="宋体" w:hAnsi="宋体" w:cs="宋体"/>
          <w:b/>
          <w:bCs/>
          <w:color w:val="auto"/>
          <w:sz w:val="24"/>
          <w:szCs w:val="24"/>
          <w:highlight w:val="none"/>
        </w:rPr>
        <w:t>8.1.9料场使用费</w:t>
      </w:r>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另有规定外，承包人应承担并支付为获得本合同工程所需的石料、砂、砾石、粘土或其他当地材料等所发生的吨位费和其他料场使用费、租金及其他支付或补偿。发包人应协助承包人办理料场租用手续及解决使用过程中的有关问题。</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143" w:name="_Toc1682"/>
      <w:bookmarkStart w:id="3144" w:name="_Toc21412"/>
      <w:bookmarkStart w:id="3145" w:name="_Toc13076"/>
      <w:bookmarkStart w:id="3146" w:name="_Toc465237216"/>
      <w:bookmarkStart w:id="3147" w:name="_Toc30863"/>
      <w:bookmarkStart w:id="3148" w:name="_Toc13318"/>
      <w:bookmarkStart w:id="3149" w:name="_Toc24075"/>
      <w:bookmarkStart w:id="3150" w:name="_Toc19748"/>
      <w:bookmarkStart w:id="3151" w:name="_Toc17637"/>
      <w:bookmarkStart w:id="3152" w:name="_Toc17210"/>
      <w:bookmarkStart w:id="3153" w:name="_Toc517530844"/>
      <w:bookmarkStart w:id="3154" w:name="_Toc517532120"/>
      <w:bookmarkStart w:id="3155" w:name="_Toc26527"/>
      <w:bookmarkStart w:id="3156" w:name="_Toc12601"/>
      <w:bookmarkStart w:id="3157" w:name="_Toc9287"/>
      <w:bookmarkStart w:id="3158" w:name="_Toc27185"/>
      <w:bookmarkStart w:id="3159" w:name="_Toc465237118"/>
      <w:bookmarkStart w:id="3160" w:name="_Toc14515"/>
      <w:bookmarkStart w:id="3161" w:name="_Toc22169"/>
      <w:bookmarkStart w:id="3162" w:name="_Toc23383"/>
      <w:bookmarkStart w:id="3163" w:name="_Toc707"/>
      <w:bookmarkStart w:id="3164" w:name="_Toc517528694"/>
      <w:bookmarkStart w:id="3165" w:name="_Toc19189"/>
      <w:bookmarkStart w:id="3166" w:name="_Toc296503062"/>
      <w:bookmarkStart w:id="3167" w:name="_Toc337558780"/>
      <w:bookmarkStart w:id="3168" w:name="_Toc296346563"/>
      <w:r>
        <w:rPr>
          <w:rFonts w:hint="eastAsia" w:ascii="宋体" w:hAnsi="宋体" w:cs="宋体"/>
          <w:b/>
          <w:bCs/>
          <w:color w:val="auto"/>
          <w:sz w:val="28"/>
          <w:szCs w:val="28"/>
          <w:highlight w:val="none"/>
        </w:rPr>
        <w:t>8.2材料与工程设备的保管与使用</w:t>
      </w:r>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169" w:name="_Toc30741"/>
      <w:bookmarkStart w:id="3170" w:name="_Toc18958"/>
      <w:bookmarkStart w:id="3171" w:name="_Toc20671"/>
      <w:bookmarkStart w:id="3172" w:name="_Toc29491"/>
      <w:bookmarkStart w:id="3173" w:name="_Toc8173"/>
      <w:bookmarkStart w:id="3174" w:name="_Toc24581"/>
      <w:bookmarkStart w:id="3175" w:name="_Toc517530845"/>
      <w:bookmarkStart w:id="3176" w:name="_Toc8179"/>
      <w:bookmarkStart w:id="3177" w:name="_Toc22834"/>
      <w:bookmarkStart w:id="3178" w:name="_Toc10712"/>
      <w:bookmarkStart w:id="3179" w:name="_Toc19343"/>
      <w:bookmarkStart w:id="3180" w:name="_Toc14832"/>
      <w:bookmarkStart w:id="3181" w:name="_Toc957"/>
      <w:bookmarkStart w:id="3182" w:name="_Toc12735"/>
      <w:bookmarkStart w:id="3183" w:name="_Toc498"/>
      <w:bookmarkStart w:id="3184" w:name="_Toc18356"/>
      <w:bookmarkStart w:id="3185" w:name="_Toc7576"/>
      <w:bookmarkStart w:id="3186" w:name="_Toc517532121"/>
      <w:bookmarkStart w:id="3187" w:name="_Toc22157"/>
      <w:bookmarkStart w:id="3188" w:name="_Toc12943"/>
      <w:r>
        <w:rPr>
          <w:rFonts w:hint="eastAsia" w:ascii="宋体" w:hAnsi="宋体" w:cs="宋体"/>
          <w:b/>
          <w:bCs/>
          <w:color w:val="auto"/>
          <w:sz w:val="24"/>
          <w:szCs w:val="24"/>
          <w:highlight w:val="none"/>
        </w:rPr>
        <w:t>8.2.1工程的照管</w:t>
      </w:r>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从开工之日起，承包人应全面负责照管本合同工程及将用于和安装在本合同工程中的材料、设备，直到本合同工程交接证书签发之日为止。此后，上述照管责任即交给发包人。但是：</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(a)如果合同工程的任何区段或单项工程颁发了交接证书，则从该交接证书签发之日起承包人应立即停止对该区段或单项工程的照管，此时该区段或单项工程的照管责任应交发包人；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(b)承包人应对其在缺陷责任期内承担的尚未完成的工程和将用于和安装在工程中的材料、设备的照管完全负责，直到根据合同有关第15条规定该未完成工程已经竣工为止。</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189" w:name="_Toc20242"/>
      <w:bookmarkStart w:id="3190" w:name="_Toc3789"/>
      <w:bookmarkStart w:id="3191" w:name="_Toc26057"/>
      <w:bookmarkStart w:id="3192" w:name="_Toc25183"/>
      <w:bookmarkStart w:id="3193" w:name="_Toc4625"/>
      <w:bookmarkStart w:id="3194" w:name="_Toc15870"/>
      <w:bookmarkStart w:id="3195" w:name="_Toc4074"/>
      <w:bookmarkStart w:id="3196" w:name="_Toc517532122"/>
      <w:bookmarkStart w:id="3197" w:name="_Toc2789"/>
      <w:bookmarkStart w:id="3198" w:name="_Toc25839"/>
      <w:bookmarkStart w:id="3199" w:name="_Toc32209"/>
      <w:bookmarkStart w:id="3200" w:name="_Toc4759"/>
      <w:bookmarkStart w:id="3201" w:name="_Toc21661"/>
      <w:bookmarkStart w:id="3202" w:name="_Toc517530846"/>
      <w:bookmarkStart w:id="3203" w:name="_Toc22450"/>
      <w:bookmarkStart w:id="3204" w:name="_Toc26513"/>
      <w:bookmarkStart w:id="3205" w:name="_Toc27306"/>
      <w:bookmarkStart w:id="3206" w:name="_Toc2736"/>
      <w:bookmarkStart w:id="3207" w:name="_Toc5590"/>
      <w:bookmarkStart w:id="3208" w:name="_Toc19357"/>
      <w:r>
        <w:rPr>
          <w:rFonts w:hint="eastAsia" w:ascii="宋体" w:hAnsi="宋体" w:cs="宋体"/>
          <w:b/>
          <w:bCs/>
          <w:color w:val="auto"/>
          <w:sz w:val="24"/>
          <w:szCs w:val="24"/>
          <w:highlight w:val="none"/>
        </w:rPr>
        <w:t>8.2.2承包人在设备、材料管理的责任</w:t>
      </w:r>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承包人在设备、材料管理的责任包括但不限于下列内容：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(a)甲供设备、材料的管理：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甲供设备、材料指由发包人直接提供的用于永久性建筑的材料、设备，甲供材料由发包人负责运送到工程现场，发包人、承包人、监理人、供应商共同对有关的证明文件（产品合格证、生产许可证、检验化验报告、质量保证书）进行联合验收，符合要求后予以签认。经承包人签收的甲供设备，在其安装前由承包人进行妥善保管，保证其质量，并对因保管不善造成的损失负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(b)对分包人的材料的管理：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承包人应对分包人已安装或送到工地未安装的材料、设备、货物负保管责任，但不需对分包人的机械、工具、施工设备及类似财产负责。</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209" w:name="_Toc12274"/>
      <w:bookmarkStart w:id="3210" w:name="_Toc1425"/>
      <w:bookmarkStart w:id="3211" w:name="_Toc26487"/>
      <w:bookmarkStart w:id="3212" w:name="_Toc12022"/>
      <w:bookmarkStart w:id="3213" w:name="_Toc12524"/>
      <w:bookmarkStart w:id="3214" w:name="_Toc10412"/>
      <w:bookmarkStart w:id="3215" w:name="_Toc31985"/>
      <w:bookmarkStart w:id="3216" w:name="_Toc517532123"/>
      <w:bookmarkStart w:id="3217" w:name="_Toc22906"/>
      <w:bookmarkStart w:id="3218" w:name="_Toc517530847"/>
      <w:bookmarkStart w:id="3219" w:name="_Toc16116"/>
      <w:bookmarkStart w:id="3220" w:name="_Toc22233"/>
      <w:bookmarkStart w:id="3221" w:name="_Toc13717"/>
      <w:bookmarkStart w:id="3222" w:name="_Toc10718"/>
      <w:bookmarkStart w:id="3223" w:name="_Toc29566"/>
      <w:bookmarkStart w:id="3224" w:name="_Toc5563"/>
      <w:bookmarkStart w:id="3225" w:name="_Toc19663"/>
      <w:bookmarkStart w:id="3226" w:name="_Toc27785"/>
      <w:bookmarkStart w:id="3227" w:name="_Toc26547"/>
      <w:bookmarkStart w:id="3228" w:name="_Toc28794"/>
      <w:r>
        <w:rPr>
          <w:rFonts w:hint="eastAsia" w:ascii="宋体" w:hAnsi="宋体" w:cs="宋体"/>
          <w:b/>
          <w:bCs/>
          <w:color w:val="auto"/>
          <w:sz w:val="24"/>
          <w:szCs w:val="24"/>
          <w:highlight w:val="none"/>
        </w:rPr>
        <w:t>8.2.3成品、半成品保护</w:t>
      </w:r>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工程中分期完成的成品和半成品，在工程竣工移交前，承包人应负保护责任，任何其他分包人对其使用或在其基础上施工，必须得到承包人的许可，对经监理人确认因承包人管理保护措施不当造成的损坏，由承包人负责修复，对分包人在施工过程中造成的损坏由责任人负责修复直到符合合同要求的标准为止。</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229" w:name="_Toc24592"/>
      <w:bookmarkStart w:id="3230" w:name="_Toc7042"/>
      <w:bookmarkStart w:id="3231" w:name="_Toc4473"/>
      <w:bookmarkStart w:id="3232" w:name="_Toc517530848"/>
      <w:bookmarkStart w:id="3233" w:name="_Toc4152"/>
      <w:bookmarkStart w:id="3234" w:name="_Toc14112"/>
      <w:bookmarkStart w:id="3235" w:name="_Toc20054"/>
      <w:bookmarkStart w:id="3236" w:name="_Toc11154"/>
      <w:bookmarkStart w:id="3237" w:name="_Toc9738"/>
      <w:bookmarkStart w:id="3238" w:name="_Toc31944"/>
      <w:bookmarkStart w:id="3239" w:name="_Toc13532"/>
      <w:bookmarkStart w:id="3240" w:name="_Toc517532124"/>
      <w:bookmarkStart w:id="3241" w:name="_Toc9918"/>
      <w:bookmarkStart w:id="3242" w:name="_Toc31065"/>
      <w:bookmarkStart w:id="3243" w:name="_Toc6880"/>
      <w:bookmarkStart w:id="3244" w:name="_Toc28065"/>
      <w:bookmarkStart w:id="3245" w:name="_Toc10017"/>
      <w:bookmarkStart w:id="3246" w:name="_Toc23924"/>
      <w:bookmarkStart w:id="3247" w:name="_Toc22615"/>
      <w:bookmarkStart w:id="3248" w:name="_Toc29759"/>
      <w:r>
        <w:rPr>
          <w:rFonts w:hint="eastAsia" w:ascii="宋体" w:hAnsi="宋体" w:cs="宋体"/>
          <w:b/>
          <w:bCs/>
          <w:color w:val="auto"/>
          <w:sz w:val="24"/>
          <w:szCs w:val="24"/>
          <w:highlight w:val="none"/>
        </w:rPr>
        <w:t>8.2.4弥补损失的责任</w:t>
      </w:r>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承包人负责照管期间，如果本合同工程或其任何部分，或将用于或安装在本合同工程材料、设备等发生任何损失或损害，不论出于什么原因，除第8.2.6条规定的风险外，承包人均应自费弥补上述损失或损害，以使永久工程在各方面都符合合同的规定。承包人为了履行第15条规定的义务，在进行作业过程中由承包人造成的对工程的任何损失或损害，承包人也应对此承担责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承包人应对颁发工程交接证书前由承包人原因导致的损失负责，还应对损害结果发生在颁发工程交接证书后，但原因产生在承包人负责期间的损失负责。</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249" w:name="_Toc14773"/>
      <w:bookmarkStart w:id="3250" w:name="_Toc23863"/>
      <w:bookmarkStart w:id="3251" w:name="_Toc517530849"/>
      <w:bookmarkStart w:id="3252" w:name="_Toc10057"/>
      <w:bookmarkStart w:id="3253" w:name="_Toc31964"/>
      <w:bookmarkStart w:id="3254" w:name="_Toc10301"/>
      <w:bookmarkStart w:id="3255" w:name="_Toc3933"/>
      <w:bookmarkStart w:id="3256" w:name="_Toc24279"/>
      <w:bookmarkStart w:id="3257" w:name="_Toc20724"/>
      <w:bookmarkStart w:id="3258" w:name="_Toc14282"/>
      <w:bookmarkStart w:id="3259" w:name="_Toc10266"/>
      <w:bookmarkStart w:id="3260" w:name="_Toc3871"/>
      <w:bookmarkStart w:id="3261" w:name="_Toc563"/>
      <w:bookmarkStart w:id="3262" w:name="_Toc12974"/>
      <w:bookmarkStart w:id="3263" w:name="_Toc517532125"/>
      <w:bookmarkStart w:id="3264" w:name="_Toc27249"/>
      <w:bookmarkStart w:id="3265" w:name="_Toc6031"/>
      <w:bookmarkStart w:id="3266" w:name="_Toc30169"/>
      <w:bookmarkStart w:id="3267" w:name="_Toc19457"/>
      <w:bookmarkStart w:id="3268" w:name="_Toc31987"/>
      <w:r>
        <w:rPr>
          <w:rFonts w:hint="eastAsia" w:ascii="宋体" w:hAnsi="宋体" w:cs="宋体"/>
          <w:b/>
          <w:bCs/>
          <w:color w:val="auto"/>
          <w:sz w:val="24"/>
          <w:szCs w:val="24"/>
          <w:highlight w:val="none"/>
        </w:rPr>
        <w:t>8.2.5由于发包人风险所造成的损失或损害</w:t>
      </w:r>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于第8.2.6条规定的任何一种风险造成的，或结合其他风险而造成的任何上述损失或损害，承包人应在监理人要求的范围内弥补损失或损害，同时，监理人应按照第10条规定在与承包人协商并报发包人批准后，确定合同价格的增加额，通知承包人，并抄送发包人。对上述损失或损害的处理，监理人的任何确定都应充分考虑发包人和承包人按比例承担的原则。</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269" w:name="_Toc10365"/>
      <w:bookmarkStart w:id="3270" w:name="_Toc29343"/>
      <w:bookmarkStart w:id="3271" w:name="_Toc11923"/>
      <w:bookmarkStart w:id="3272" w:name="_Toc31972"/>
      <w:bookmarkStart w:id="3273" w:name="_Toc3137"/>
      <w:bookmarkStart w:id="3274" w:name="_Toc20418"/>
      <w:bookmarkStart w:id="3275" w:name="_Toc23786"/>
      <w:bookmarkStart w:id="3276" w:name="_Toc14859"/>
      <w:bookmarkStart w:id="3277" w:name="_Toc16699"/>
      <w:bookmarkStart w:id="3278" w:name="_Toc6539"/>
      <w:bookmarkStart w:id="3279" w:name="_Toc13252"/>
      <w:bookmarkStart w:id="3280" w:name="_Toc17941"/>
      <w:bookmarkStart w:id="3281" w:name="_Toc1111"/>
      <w:bookmarkStart w:id="3282" w:name="_Toc24804"/>
      <w:bookmarkStart w:id="3283" w:name="_Toc21547"/>
      <w:bookmarkStart w:id="3284" w:name="_Toc8915"/>
      <w:bookmarkStart w:id="3285" w:name="_Toc517532126"/>
      <w:bookmarkStart w:id="3286" w:name="_Toc517530850"/>
      <w:bookmarkStart w:id="3287" w:name="_Toc10346"/>
      <w:bookmarkStart w:id="3288" w:name="_Toc5218"/>
      <w:r>
        <w:rPr>
          <w:rFonts w:hint="eastAsia" w:ascii="宋体" w:hAnsi="宋体" w:cs="宋体"/>
          <w:b/>
          <w:bCs/>
          <w:color w:val="auto"/>
          <w:sz w:val="24"/>
          <w:szCs w:val="24"/>
          <w:highlight w:val="none"/>
        </w:rPr>
        <w:t>8.2.6发包人的风险</w:t>
      </w:r>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发包人的风险包括：</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(a)战争、入侵；</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(b)核反应、幅射或放射性污染；</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(c)空中飞行物体坠落或其他非发包人或承包人责任造成的爆炸、火灾；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(d)暴乱、骚乱，但纯系承包人或其分包人派遣、雇用人员由于本合同工程施工引起的骚乱除外；</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(e)除合同规定者外，永久工程的任何区段或单项工程被发包人使用或占用所造成的损失或损害；</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(f)除承包人提供的或承包人负责的设计的任何部分外，属于本工程设计引起的损失和损害；</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(g)任何自然界力量的作用，而一个有经验的承包人不能合理预见，或能合理预见，但其既不能合理采取措施以避免这种力量所造成的损失或损害，也不能合理地加以投保。这些自然灾害包括：</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①烈度为七级以上的地震；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②十级以上持续一天的大风；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③持续降雨24小时且降雨量为210mm以上；</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④连续二天超过39摄氏度的高温天气。</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（h）其它：</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①对工程有直接影响的重大疫情；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②政策性调整；</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③其它不可抗力的原因。</w:t>
      </w:r>
    </w:p>
    <w:bookmarkEnd w:id="2962"/>
    <w:bookmarkEnd w:id="3166"/>
    <w:bookmarkEnd w:id="3167"/>
    <w:bookmarkEnd w:id="3168"/>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3289" w:name="_Toc351203562"/>
      <w:bookmarkStart w:id="3290" w:name="_Toc517532127"/>
      <w:bookmarkStart w:id="3291" w:name="_Toc14968"/>
      <w:bookmarkStart w:id="3292" w:name="_Toc2523"/>
      <w:bookmarkStart w:id="3293" w:name="_Toc4469"/>
      <w:bookmarkStart w:id="3294" w:name="_Toc3976"/>
      <w:bookmarkStart w:id="3295" w:name="_Toc517529742"/>
      <w:bookmarkStart w:id="3296" w:name="_Toc4193"/>
      <w:bookmarkStart w:id="3297" w:name="_Toc20504"/>
      <w:bookmarkStart w:id="3298" w:name="_Toc31370"/>
      <w:bookmarkStart w:id="3299" w:name="_Toc17098"/>
      <w:bookmarkStart w:id="3300" w:name="_Toc29033"/>
      <w:bookmarkStart w:id="3301" w:name="_Toc16871"/>
      <w:bookmarkStart w:id="3302" w:name="_Toc29221"/>
      <w:bookmarkStart w:id="3303" w:name="_Toc23452"/>
      <w:bookmarkStart w:id="3304" w:name="_Toc10075"/>
      <w:bookmarkStart w:id="3305" w:name="_Toc465237120"/>
      <w:bookmarkStart w:id="3306" w:name="_Toc11752"/>
      <w:bookmarkStart w:id="3307" w:name="_Toc20876"/>
      <w:bookmarkStart w:id="3308" w:name="_Toc9519"/>
      <w:bookmarkStart w:id="3309" w:name="_Toc465237218"/>
      <w:bookmarkStart w:id="3310" w:name="_Toc14550"/>
      <w:bookmarkStart w:id="3311" w:name="_Toc517530851"/>
      <w:bookmarkStart w:id="3312" w:name="_Toc5667"/>
      <w:bookmarkStart w:id="3313" w:name="_Toc517528695"/>
      <w:bookmarkStart w:id="3314" w:name="_Toc337558782"/>
      <w:bookmarkStart w:id="3315" w:name="_Toc296503083"/>
      <w:bookmarkStart w:id="3316" w:name="_Toc296346584"/>
      <w:r>
        <w:rPr>
          <w:rFonts w:hint="eastAsia" w:ascii="宋体" w:hAnsi="宋体" w:cs="宋体"/>
          <w:b/>
          <w:bCs/>
          <w:color w:val="auto"/>
          <w:sz w:val="30"/>
          <w:szCs w:val="30"/>
          <w:highlight w:val="none"/>
        </w:rPr>
        <w:t>9.</w:t>
      </w:r>
      <w:bookmarkEnd w:id="3289"/>
      <w:r>
        <w:rPr>
          <w:rFonts w:hint="eastAsia" w:ascii="宋体" w:hAnsi="宋体" w:cs="宋体"/>
          <w:b/>
          <w:bCs/>
          <w:color w:val="auto"/>
          <w:sz w:val="30"/>
          <w:szCs w:val="30"/>
          <w:highlight w:val="none"/>
        </w:rPr>
        <w:t xml:space="preserve"> 试验与检验</w:t>
      </w:r>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
    <w:bookmarkEnd w:id="3314"/>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317" w:name="_Toc15092"/>
      <w:bookmarkStart w:id="3318" w:name="_Toc21112"/>
      <w:bookmarkStart w:id="3319" w:name="_Toc13277"/>
      <w:bookmarkStart w:id="3320" w:name="_Toc28707"/>
      <w:bookmarkStart w:id="3321" w:name="_Toc32749"/>
      <w:bookmarkStart w:id="3322" w:name="_Toc19496"/>
      <w:bookmarkStart w:id="3323" w:name="_Toc17884"/>
      <w:bookmarkStart w:id="3324" w:name="_Toc17741"/>
      <w:bookmarkStart w:id="3325" w:name="_Toc517528696"/>
      <w:bookmarkStart w:id="3326" w:name="_Toc4398"/>
      <w:bookmarkStart w:id="3327" w:name="_Toc30679"/>
      <w:bookmarkStart w:id="3328" w:name="_Toc517530852"/>
      <w:bookmarkStart w:id="3329" w:name="_Toc6426"/>
      <w:bookmarkStart w:id="3330" w:name="_Toc20305"/>
      <w:bookmarkStart w:id="3331" w:name="_Toc18242"/>
      <w:bookmarkStart w:id="3332" w:name="_Toc11129"/>
      <w:bookmarkStart w:id="3333" w:name="_Toc17452"/>
      <w:bookmarkStart w:id="3334" w:name="_Toc16976"/>
      <w:bookmarkStart w:id="3335" w:name="_Toc14594"/>
      <w:bookmarkStart w:id="3336" w:name="_Toc517532128"/>
      <w:bookmarkStart w:id="3337" w:name="_Toc10872"/>
      <w:r>
        <w:rPr>
          <w:rFonts w:hint="eastAsia" w:ascii="宋体" w:hAnsi="宋体" w:cs="宋体"/>
          <w:b/>
          <w:bCs/>
          <w:color w:val="auto"/>
          <w:sz w:val="28"/>
          <w:szCs w:val="28"/>
          <w:highlight w:val="none"/>
        </w:rPr>
        <w:t>9.1材料、设备和操作工艺的质量</w:t>
      </w:r>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一切材料、设备和操作工艺应该是：</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(a)属于合同所规定的相应类级，并符合监理人指令要求；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(b)随时按监理人的要求，在制造、加工或制配地点，或在现场进行检验。</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为了对材料或设备进行检查量测和检验，承包人应提供一切正常需要的手段，并应在用于工程之前，提供材料样品，按照监理人的选择和要求进行检验。</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338" w:name="_Toc21055"/>
      <w:bookmarkStart w:id="3339" w:name="_Toc23802"/>
      <w:bookmarkStart w:id="3340" w:name="_Toc12651"/>
      <w:bookmarkStart w:id="3341" w:name="_Toc28514"/>
      <w:bookmarkStart w:id="3342" w:name="_Toc19328"/>
      <w:bookmarkStart w:id="3343" w:name="_Toc24178"/>
      <w:bookmarkStart w:id="3344" w:name="_Toc11880"/>
      <w:bookmarkStart w:id="3345" w:name="_Toc10282"/>
      <w:bookmarkStart w:id="3346" w:name="_Toc167"/>
      <w:bookmarkStart w:id="3347" w:name="_Toc23792"/>
      <w:bookmarkStart w:id="3348" w:name="_Toc9243"/>
      <w:bookmarkStart w:id="3349" w:name="_Toc2627"/>
      <w:bookmarkStart w:id="3350" w:name="_Toc24797"/>
      <w:bookmarkStart w:id="3351" w:name="_Toc517528697"/>
      <w:bookmarkStart w:id="3352" w:name="_Toc517532129"/>
      <w:bookmarkStart w:id="3353" w:name="_Toc2697"/>
      <w:bookmarkStart w:id="3354" w:name="_Toc25664"/>
      <w:bookmarkStart w:id="3355" w:name="_Toc517530853"/>
      <w:bookmarkStart w:id="3356" w:name="_Toc10217"/>
      <w:bookmarkStart w:id="3357" w:name="_Toc31082"/>
      <w:bookmarkStart w:id="3358" w:name="_Toc32587"/>
      <w:r>
        <w:rPr>
          <w:rFonts w:hint="eastAsia" w:ascii="宋体" w:hAnsi="宋体" w:cs="宋体"/>
          <w:b/>
          <w:bCs/>
          <w:color w:val="auto"/>
          <w:sz w:val="28"/>
          <w:szCs w:val="28"/>
          <w:highlight w:val="none"/>
        </w:rPr>
        <w:t>9.2检查与检验</w:t>
      </w:r>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359" w:name="_Toc23112"/>
      <w:bookmarkStart w:id="3360" w:name="_Toc14474"/>
      <w:bookmarkStart w:id="3361" w:name="_Toc18143"/>
      <w:bookmarkStart w:id="3362" w:name="_Toc8653"/>
      <w:bookmarkStart w:id="3363" w:name="_Toc1950"/>
      <w:bookmarkStart w:id="3364" w:name="_Toc10552"/>
      <w:bookmarkStart w:id="3365" w:name="_Toc14552"/>
      <w:bookmarkStart w:id="3366" w:name="_Toc10577"/>
      <w:bookmarkStart w:id="3367" w:name="_Toc3396"/>
      <w:bookmarkStart w:id="3368" w:name="_Toc12136"/>
      <w:bookmarkStart w:id="3369" w:name="_Toc30248"/>
      <w:bookmarkStart w:id="3370" w:name="_Toc517532130"/>
      <w:bookmarkStart w:id="3371" w:name="_Toc24602"/>
      <w:bookmarkStart w:id="3372" w:name="_Toc19020"/>
      <w:bookmarkStart w:id="3373" w:name="_Toc24586"/>
      <w:bookmarkStart w:id="3374" w:name="_Toc30291"/>
      <w:bookmarkStart w:id="3375" w:name="_Toc8356"/>
      <w:bookmarkStart w:id="3376" w:name="_Toc600"/>
      <w:bookmarkStart w:id="3377" w:name="_Toc517530854"/>
      <w:bookmarkStart w:id="3378" w:name="_Toc27248"/>
      <w:r>
        <w:rPr>
          <w:rFonts w:hint="eastAsia" w:ascii="宋体" w:hAnsi="宋体" w:cs="宋体"/>
          <w:b/>
          <w:bCs/>
          <w:color w:val="auto"/>
          <w:sz w:val="24"/>
          <w:szCs w:val="24"/>
          <w:highlight w:val="none"/>
        </w:rPr>
        <w:t>9.2.1作业的检查</w:t>
      </w:r>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监理人及其委派的人员，在合理时间内均应能进入工程现场、材料或设备的制造的所有车间和场所，承包人应提供一切便利和协助。</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材料和设备制造、加工或制配期间，监理人有权检查和检验按合同提供的材料和设备。如果材料和设备在不属于承包人的车间或场所进行制造、加工或制配时，则承包人应取得第三方同意，准许监理人在他们的制配车间或场所进行上述检查和检验。上述检查和检验并不能解除承包人对合同所承担的任何责任。</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379" w:name="_Toc23797"/>
      <w:bookmarkStart w:id="3380" w:name="_Toc4584"/>
      <w:bookmarkStart w:id="3381" w:name="_Toc2753"/>
      <w:bookmarkStart w:id="3382" w:name="_Toc1524"/>
      <w:bookmarkStart w:id="3383" w:name="_Toc424"/>
      <w:bookmarkStart w:id="3384" w:name="_Toc25640"/>
      <w:bookmarkStart w:id="3385" w:name="_Toc517532131"/>
      <w:bookmarkStart w:id="3386" w:name="_Toc5113"/>
      <w:bookmarkStart w:id="3387" w:name="_Toc32245"/>
      <w:bookmarkStart w:id="3388" w:name="_Toc7608"/>
      <w:bookmarkStart w:id="3389" w:name="_Toc10130"/>
      <w:bookmarkStart w:id="3390" w:name="_Toc29913"/>
      <w:bookmarkStart w:id="3391" w:name="_Toc30089"/>
      <w:bookmarkStart w:id="3392" w:name="_Toc12477"/>
      <w:bookmarkStart w:id="3393" w:name="_Toc2688"/>
      <w:bookmarkStart w:id="3394" w:name="_Toc517530855"/>
      <w:bookmarkStart w:id="3395" w:name="_Toc3249"/>
      <w:bookmarkStart w:id="3396" w:name="_Toc27453"/>
      <w:bookmarkStart w:id="3397" w:name="_Toc16650"/>
      <w:bookmarkStart w:id="3398" w:name="_Toc806"/>
      <w:r>
        <w:rPr>
          <w:rFonts w:hint="eastAsia" w:ascii="宋体" w:hAnsi="宋体" w:cs="宋体"/>
          <w:b/>
          <w:bCs/>
          <w:color w:val="auto"/>
          <w:sz w:val="24"/>
          <w:szCs w:val="24"/>
          <w:highlight w:val="none"/>
        </w:rPr>
        <w:t>9.2.2检查和检验的日期</w:t>
      </w:r>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承包人应与监理人商定检查或检验合同规定的材料或设备的时间和地点。监理人至少提前</w:t>
      </w:r>
      <w:r>
        <w:rPr>
          <w:rFonts w:hint="eastAsia" w:ascii="宋体" w:hAnsi="宋体" w:cs="宋体"/>
          <w:color w:val="auto"/>
          <w:szCs w:val="21"/>
          <w:highlight w:val="none"/>
          <w:u w:val="single"/>
        </w:rPr>
        <w:t>24</w:t>
      </w:r>
      <w:r>
        <w:rPr>
          <w:rFonts w:hint="eastAsia" w:ascii="宋体" w:hAnsi="宋体" w:cs="宋体"/>
          <w:color w:val="auto"/>
          <w:szCs w:val="21"/>
          <w:highlight w:val="none"/>
        </w:rPr>
        <w:t>小时通知承包人其将执行检查或参加检验。如果监理人或其正式委派的代表未能在约定的时间到场，则在监理人没有另外发出指令的情况下，承包人可以进行检验，而且应该认为这一检验是在监理人在场的情况下完成的。承包人应立即向监理人提出交检验数据的正式证明的复印件，如果监理人没有参加检验，其应对上述检验数据的准确性给予认可。</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399" w:name="_Toc4982"/>
      <w:bookmarkStart w:id="3400" w:name="_Toc7135"/>
      <w:bookmarkStart w:id="3401" w:name="_Toc9609"/>
      <w:bookmarkStart w:id="3402" w:name="_Toc925"/>
      <w:bookmarkStart w:id="3403" w:name="_Toc517532132"/>
      <w:bookmarkStart w:id="3404" w:name="_Toc24900"/>
      <w:bookmarkStart w:id="3405" w:name="_Toc15406"/>
      <w:bookmarkStart w:id="3406" w:name="_Toc16260"/>
      <w:bookmarkStart w:id="3407" w:name="_Toc517530856"/>
      <w:bookmarkStart w:id="3408" w:name="_Toc27750"/>
      <w:bookmarkStart w:id="3409" w:name="_Toc26379"/>
      <w:bookmarkStart w:id="3410" w:name="_Toc21294"/>
      <w:bookmarkStart w:id="3411" w:name="_Toc7942"/>
      <w:bookmarkStart w:id="3412" w:name="_Toc26291"/>
      <w:bookmarkStart w:id="3413" w:name="_Toc9026"/>
      <w:bookmarkStart w:id="3414" w:name="_Toc31914"/>
      <w:bookmarkStart w:id="3415" w:name="_Toc838"/>
      <w:bookmarkStart w:id="3416" w:name="_Toc29788"/>
      <w:bookmarkStart w:id="3417" w:name="_Toc23625"/>
      <w:bookmarkStart w:id="3418" w:name="_Toc15104"/>
      <w:r>
        <w:rPr>
          <w:rFonts w:hint="eastAsia" w:ascii="宋体" w:hAnsi="宋体" w:cs="宋体"/>
          <w:b/>
          <w:bCs/>
          <w:color w:val="auto"/>
          <w:sz w:val="24"/>
          <w:szCs w:val="24"/>
          <w:highlight w:val="none"/>
        </w:rPr>
        <w:t>9.2.3 检验不合格的处理</w:t>
      </w:r>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p>
    <w:p>
      <w:pPr>
        <w:spacing w:line="360" w:lineRule="auto"/>
        <w:ind w:firstLine="422" w:firstLineChars="200"/>
        <w:outlineLvl w:val="5"/>
        <w:rPr>
          <w:rFonts w:hint="eastAsia" w:ascii="宋体" w:hAnsi="宋体" w:cs="宋体"/>
          <w:b/>
          <w:bCs/>
          <w:color w:val="auto"/>
          <w:szCs w:val="21"/>
          <w:highlight w:val="none"/>
        </w:rPr>
      </w:pPr>
      <w:bookmarkStart w:id="3419" w:name="_Toc517532133"/>
      <w:bookmarkStart w:id="3420" w:name="_Toc517530857"/>
      <w:r>
        <w:rPr>
          <w:rFonts w:hint="eastAsia" w:ascii="宋体" w:hAnsi="宋体" w:cs="宋体"/>
          <w:b/>
          <w:bCs/>
          <w:color w:val="auto"/>
          <w:szCs w:val="21"/>
          <w:highlight w:val="none"/>
        </w:rPr>
        <w:t>（1）拒收</w:t>
      </w:r>
      <w:bookmarkEnd w:id="3419"/>
      <w:bookmarkEnd w:id="342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在按第9.2.2条商定的时间和地点供检查或检验的材料或设备未准备好，或监理人根据本条的检查或检验结果，确定材料或设备有缺陷或不符合合同要求，监理人可以拒收材料或设备，并将此情况立即通知承包人。通知应以理说明监理人的反对意见，承包人应监理人要求在同样条件下进行或重做被拒收材料或设备的检验，则重复检验所发生的全部费用由监理人在与发包人和承包人适当协商后确定，然后由发包人从承包人处收回，也可以从任何应付或到期应付给承包人的款项中扣除上述费用。监理人应通知承包人，抄送发包人。</w:t>
      </w:r>
    </w:p>
    <w:p>
      <w:pPr>
        <w:spacing w:line="360" w:lineRule="auto"/>
        <w:ind w:firstLine="422" w:firstLineChars="200"/>
        <w:outlineLvl w:val="5"/>
        <w:rPr>
          <w:rFonts w:hint="eastAsia" w:ascii="宋体" w:hAnsi="宋体" w:cs="宋体"/>
          <w:b/>
          <w:bCs/>
          <w:color w:val="auto"/>
          <w:szCs w:val="21"/>
          <w:highlight w:val="none"/>
        </w:rPr>
      </w:pPr>
      <w:bookmarkStart w:id="3421" w:name="_Toc517530858"/>
      <w:bookmarkStart w:id="3422" w:name="_Toc517532134"/>
      <w:r>
        <w:rPr>
          <w:rFonts w:hint="eastAsia" w:ascii="宋体" w:hAnsi="宋体" w:cs="宋体"/>
          <w:b/>
          <w:bCs/>
          <w:color w:val="auto"/>
          <w:szCs w:val="21"/>
          <w:highlight w:val="none"/>
        </w:rPr>
        <w:t>（2）不合格工程材料或设备的拆运</w:t>
      </w:r>
      <w:bookmarkEnd w:id="3421"/>
      <w:bookmarkEnd w:id="342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监理人有权随时对下述事项发出指令：</w:t>
      </w:r>
    </w:p>
    <w:p>
      <w:pPr>
        <w:numPr>
          <w:ilvl w:val="0"/>
          <w:numId w:val="8"/>
        </w:num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根据指令规定的时间内，在监理人的见证下将监理人认为不符合合同规定的材料或设备从现场运走；</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(b)用合格适用的材料或设备取代；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(c)尽管先前已经过检验或期中付款；但监理人认为工程由于材料、设备或操作工艺，或承包人的设计或承包人负责的设计不符合合同规定时，将这些工程拆除，并彻底重做。</w:t>
      </w:r>
    </w:p>
    <w:p>
      <w:pPr>
        <w:spacing w:line="360" w:lineRule="auto"/>
        <w:ind w:firstLine="422" w:firstLineChars="200"/>
        <w:outlineLvl w:val="5"/>
        <w:rPr>
          <w:rFonts w:hint="eastAsia" w:ascii="宋体" w:hAnsi="宋体" w:cs="宋体"/>
          <w:b/>
          <w:bCs/>
          <w:color w:val="auto"/>
          <w:szCs w:val="21"/>
          <w:highlight w:val="none"/>
        </w:rPr>
      </w:pPr>
      <w:bookmarkStart w:id="3423" w:name="_Toc517530859"/>
      <w:bookmarkStart w:id="3424" w:name="_Toc517532135"/>
      <w:r>
        <w:rPr>
          <w:rFonts w:hint="eastAsia" w:ascii="宋体" w:hAnsi="宋体" w:cs="宋体"/>
          <w:b/>
          <w:bCs/>
          <w:color w:val="auto"/>
          <w:szCs w:val="21"/>
          <w:highlight w:val="none"/>
        </w:rPr>
        <w:t>（3）承包人不执行指令</w:t>
      </w:r>
      <w:bookmarkEnd w:id="3423"/>
      <w:bookmarkEnd w:id="342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承包人一方在指令规定的时间内（如果没有规定，则在监理人认为合理的一段时间内）不执行上述指令，则发包人有权雇用他人执行该项指令，并向其支付有关费用。所有由此造成的或伴随产生的费用，由监理人在与发包人和承包人协商后确定，然后由发包人从承包人处收回，也可以从任何应付或到期应付给承包人的款项中扣除上述费用。监理人应通知承包人，并抄送发包人。</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425" w:name="_Toc19479"/>
      <w:bookmarkStart w:id="3426" w:name="_Toc26268"/>
      <w:bookmarkStart w:id="3427" w:name="_Toc26413"/>
      <w:bookmarkStart w:id="3428" w:name="_Toc16839"/>
      <w:bookmarkStart w:id="3429" w:name="_Toc26134"/>
      <w:bookmarkStart w:id="3430" w:name="_Toc8472"/>
      <w:bookmarkStart w:id="3431" w:name="_Toc23080"/>
      <w:bookmarkStart w:id="3432" w:name="_Toc10415"/>
      <w:bookmarkStart w:id="3433" w:name="_Toc517528698"/>
      <w:bookmarkStart w:id="3434" w:name="_Toc17503"/>
      <w:bookmarkStart w:id="3435" w:name="_Toc7980"/>
      <w:bookmarkStart w:id="3436" w:name="_Toc17033"/>
      <w:bookmarkStart w:id="3437" w:name="_Toc9643"/>
      <w:bookmarkStart w:id="3438" w:name="_Toc3466"/>
      <w:bookmarkStart w:id="3439" w:name="_Toc517532136"/>
      <w:bookmarkStart w:id="3440" w:name="_Toc2864"/>
      <w:bookmarkStart w:id="3441" w:name="_Toc517530860"/>
      <w:bookmarkStart w:id="3442" w:name="_Toc21822"/>
      <w:bookmarkStart w:id="3443" w:name="_Toc758"/>
      <w:bookmarkStart w:id="3444" w:name="_Toc26091"/>
      <w:bookmarkStart w:id="3445" w:name="_Toc21935"/>
      <w:r>
        <w:rPr>
          <w:rFonts w:hint="eastAsia" w:ascii="宋体" w:hAnsi="宋体" w:cs="宋体"/>
          <w:b/>
          <w:bCs/>
          <w:color w:val="auto"/>
          <w:sz w:val="28"/>
          <w:szCs w:val="28"/>
          <w:highlight w:val="none"/>
        </w:rPr>
        <w:t>9.3工程覆盖前的检查</w:t>
      </w:r>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没有监理人的批准，任何工程均不得覆盖或掩蔽，承包人应保证监理人有充分的机会对将予以覆盖或掩蔽的任何工程进行检查和量测，尤其在基础以上的任一部分工程修筑之前，对该基础进行检查。在检查前，承包人应事先通知监理人，并约定检查的时间，监理人则应按时参加上述工程或基础的检查和量测，不得无故拖延，除非认为没有必要检查，并就此通知承包人。如果上述约定时间后的</w:t>
      </w:r>
      <w:r>
        <w:rPr>
          <w:rFonts w:hint="eastAsia" w:ascii="宋体" w:hAnsi="宋体" w:cs="宋体"/>
          <w:color w:val="auto"/>
          <w:szCs w:val="21"/>
          <w:highlight w:val="none"/>
          <w:u w:val="single"/>
        </w:rPr>
        <w:t>12</w:t>
      </w:r>
      <w:r>
        <w:rPr>
          <w:rFonts w:hint="eastAsia" w:ascii="宋体" w:hAnsi="宋体" w:cs="宋体"/>
          <w:color w:val="auto"/>
          <w:szCs w:val="21"/>
          <w:highlight w:val="none"/>
        </w:rPr>
        <w:t>小时内，监理人或其代表未能到场对上述工程或基础进行检查和量测，承包人即可自行检查，并如实作出自检报告后覆盖或掩蔽，监理人或其代表事后应予认可。监理人在组织工程覆盖前的检查时，应通知发包人及政府质检部门派人参加。</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446" w:name="_Toc517532137"/>
      <w:bookmarkStart w:id="3447" w:name="_Toc30217"/>
      <w:bookmarkStart w:id="3448" w:name="_Toc11004"/>
      <w:bookmarkStart w:id="3449" w:name="_Toc25583"/>
      <w:bookmarkStart w:id="3450" w:name="_Toc517528699"/>
      <w:bookmarkStart w:id="3451" w:name="_Toc517530861"/>
      <w:bookmarkStart w:id="3452" w:name="_Toc5307"/>
      <w:bookmarkStart w:id="3453" w:name="_Toc28117"/>
      <w:bookmarkStart w:id="3454" w:name="_Toc21286"/>
      <w:bookmarkStart w:id="3455" w:name="_Toc29323"/>
      <w:bookmarkStart w:id="3456" w:name="_Toc23985"/>
      <w:bookmarkStart w:id="3457" w:name="_Toc13722"/>
      <w:bookmarkStart w:id="3458" w:name="_Toc3508"/>
      <w:bookmarkStart w:id="3459" w:name="_Toc11479"/>
      <w:bookmarkStart w:id="3460" w:name="_Toc19839"/>
      <w:bookmarkStart w:id="3461" w:name="_Toc19155"/>
      <w:bookmarkStart w:id="3462" w:name="_Toc15076"/>
      <w:bookmarkStart w:id="3463" w:name="_Toc11769"/>
      <w:bookmarkStart w:id="3464" w:name="_Toc3428"/>
      <w:bookmarkStart w:id="3465" w:name="_Toc15187"/>
      <w:bookmarkStart w:id="3466" w:name="_Toc29838"/>
      <w:r>
        <w:rPr>
          <w:rFonts w:hint="eastAsia" w:ascii="宋体" w:hAnsi="宋体" w:cs="宋体"/>
          <w:b/>
          <w:bCs/>
          <w:color w:val="auto"/>
          <w:sz w:val="28"/>
          <w:szCs w:val="28"/>
          <w:highlight w:val="none"/>
        </w:rPr>
        <w:t>9.4剥开和开孔</w:t>
      </w:r>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按监理人随时发出的指令，剥开工程的任何一部分，或在其内部或贯穿其内部开孔，并负责使该部分恢复原状。如果该部分已经根据第9.3条要求执行并已予覆盖或掩蔽，其施工被认为符合合同规定，则监理人在与发包人和承包人适当协商后，应确定剥开或在其内部贯穿其内部钻孔以及恢复原状的费用，并应将此费用加到合同价格上，然后通知承包人并抄送发包人。除此之外，一切费用应由承包人承担。</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467" w:name="_Toc16902"/>
      <w:bookmarkStart w:id="3468" w:name="_Toc23890"/>
      <w:bookmarkStart w:id="3469" w:name="_Toc10899"/>
      <w:bookmarkStart w:id="3470" w:name="_Toc517530862"/>
      <w:bookmarkStart w:id="3471" w:name="_Toc19202"/>
      <w:bookmarkStart w:id="3472" w:name="_Toc23753"/>
      <w:bookmarkStart w:id="3473" w:name="_Toc517528700"/>
      <w:bookmarkStart w:id="3474" w:name="_Toc14044"/>
      <w:bookmarkStart w:id="3475" w:name="_Toc18513"/>
      <w:bookmarkStart w:id="3476" w:name="_Toc20076"/>
      <w:bookmarkStart w:id="3477" w:name="_Toc26631"/>
      <w:bookmarkStart w:id="3478" w:name="_Toc2692"/>
      <w:bookmarkStart w:id="3479" w:name="_Toc13818"/>
      <w:bookmarkStart w:id="3480" w:name="_Toc22416"/>
      <w:bookmarkStart w:id="3481" w:name="_Toc517532138"/>
      <w:bookmarkStart w:id="3482" w:name="_Toc13232"/>
      <w:bookmarkStart w:id="3483" w:name="_Toc29463"/>
      <w:bookmarkStart w:id="3484" w:name="_Toc25194"/>
      <w:bookmarkStart w:id="3485" w:name="_Toc24784"/>
      <w:bookmarkStart w:id="3486" w:name="_Toc12130"/>
      <w:bookmarkStart w:id="3487" w:name="_Toc4959"/>
      <w:r>
        <w:rPr>
          <w:rFonts w:hint="eastAsia" w:ascii="宋体" w:hAnsi="宋体" w:cs="宋体"/>
          <w:b/>
          <w:bCs/>
          <w:color w:val="auto"/>
          <w:sz w:val="28"/>
          <w:szCs w:val="28"/>
          <w:highlight w:val="none"/>
        </w:rPr>
        <w:t>9.5委托检查</w:t>
      </w:r>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可以将材料或设备的检查和检验委托给一家独立的检验单位。按照第4.2.2条的规定，这样的委托应是有合同效力的，为此，该委托检验单位的检验结果应视为监理人完成的，监理人应至少提前7天将该委托书面通知承包人。委托检验的费用的支出按以下原则办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(a)材料或设备检验结果为合格的，所发生的检验费用由发包人承担；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(b)材料或设备检验结果为不合格的，所发生的检验费用由承包人承担。</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488" w:name="_Toc27746"/>
      <w:bookmarkStart w:id="3489" w:name="_Toc18698"/>
      <w:bookmarkStart w:id="3490" w:name="_Toc20018"/>
      <w:bookmarkStart w:id="3491" w:name="_Toc20929"/>
      <w:bookmarkStart w:id="3492" w:name="_Toc31550"/>
      <w:bookmarkStart w:id="3493" w:name="_Toc19065"/>
      <w:bookmarkStart w:id="3494" w:name="_Toc29800"/>
      <w:bookmarkStart w:id="3495" w:name="_Toc5943"/>
      <w:bookmarkStart w:id="3496" w:name="_Toc5664"/>
      <w:bookmarkStart w:id="3497" w:name="_Toc10654"/>
      <w:bookmarkStart w:id="3498" w:name="_Toc517530863"/>
      <w:bookmarkStart w:id="3499" w:name="_Toc27989"/>
      <w:bookmarkStart w:id="3500" w:name="_Toc26796"/>
      <w:bookmarkStart w:id="3501" w:name="_Toc11136"/>
      <w:bookmarkStart w:id="3502" w:name="_Toc21246"/>
      <w:bookmarkStart w:id="3503" w:name="_Toc517532139"/>
      <w:bookmarkStart w:id="3504" w:name="_Toc8255"/>
      <w:bookmarkStart w:id="3505" w:name="_Toc25621"/>
      <w:bookmarkStart w:id="3506" w:name="_Toc517528701"/>
      <w:bookmarkStart w:id="3507" w:name="_Toc698"/>
      <w:bookmarkStart w:id="3508" w:name="_Toc2233"/>
      <w:r>
        <w:rPr>
          <w:rFonts w:hint="eastAsia" w:ascii="宋体" w:hAnsi="宋体" w:cs="宋体"/>
          <w:b/>
          <w:bCs/>
          <w:color w:val="auto"/>
          <w:sz w:val="28"/>
          <w:szCs w:val="28"/>
          <w:highlight w:val="none"/>
        </w:rPr>
        <w:t>9.6检验费用</w:t>
      </w:r>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509" w:name="_Toc517532140"/>
      <w:bookmarkStart w:id="3510" w:name="_Toc24892"/>
      <w:bookmarkStart w:id="3511" w:name="_Toc8945"/>
      <w:bookmarkStart w:id="3512" w:name="_Toc12842"/>
      <w:bookmarkStart w:id="3513" w:name="_Toc24129"/>
      <w:bookmarkStart w:id="3514" w:name="_Toc20016"/>
      <w:bookmarkStart w:id="3515" w:name="_Toc1220"/>
      <w:bookmarkStart w:id="3516" w:name="_Toc17154"/>
      <w:bookmarkStart w:id="3517" w:name="_Toc10299"/>
      <w:bookmarkStart w:id="3518" w:name="_Toc3414"/>
      <w:bookmarkStart w:id="3519" w:name="_Toc6790"/>
      <w:bookmarkStart w:id="3520" w:name="_Toc517530864"/>
      <w:bookmarkStart w:id="3521" w:name="_Toc10699"/>
      <w:bookmarkStart w:id="3522" w:name="_Toc29012"/>
      <w:bookmarkStart w:id="3523" w:name="_Toc27505"/>
      <w:bookmarkStart w:id="3524" w:name="_Toc6471"/>
      <w:bookmarkStart w:id="3525" w:name="_Toc24244"/>
      <w:bookmarkStart w:id="3526" w:name="_Toc21671"/>
      <w:bookmarkStart w:id="3527" w:name="_Toc30266"/>
      <w:bookmarkStart w:id="3528" w:name="_Toc13830"/>
      <w:r>
        <w:rPr>
          <w:rFonts w:hint="eastAsia" w:ascii="宋体" w:hAnsi="宋体" w:cs="宋体"/>
          <w:b/>
          <w:bCs/>
          <w:color w:val="auto"/>
          <w:sz w:val="24"/>
          <w:szCs w:val="24"/>
          <w:highlight w:val="none"/>
        </w:rPr>
        <w:t>9.6.1有约定的检验费用</w:t>
      </w:r>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如果检验属于下述情况，则进行检验的费用由承包人负担: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(a)在合同中明确规定的；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(b)在合同中特别指出的，并作出了足够详细的说明，使承包人能在其投标文件中报价或便于报价的（如荷载试验，或旨在确认已竣工或部分竣工的工程的设计是否达到预定目的的检验）。</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529" w:name="_Toc28306"/>
      <w:bookmarkStart w:id="3530" w:name="_Toc28510"/>
      <w:bookmarkStart w:id="3531" w:name="_Toc15747"/>
      <w:bookmarkStart w:id="3532" w:name="_Toc4701"/>
      <w:bookmarkStart w:id="3533" w:name="_Toc17597"/>
      <w:bookmarkStart w:id="3534" w:name="_Toc27400"/>
      <w:bookmarkStart w:id="3535" w:name="_Toc20410"/>
      <w:bookmarkStart w:id="3536" w:name="_Toc28831"/>
      <w:bookmarkStart w:id="3537" w:name="_Toc18252"/>
      <w:bookmarkStart w:id="3538" w:name="_Toc22391"/>
      <w:bookmarkStart w:id="3539" w:name="_Toc26064"/>
      <w:bookmarkStart w:id="3540" w:name="_Toc517532141"/>
      <w:bookmarkStart w:id="3541" w:name="_Toc31610"/>
      <w:bookmarkStart w:id="3542" w:name="_Toc23292"/>
      <w:bookmarkStart w:id="3543" w:name="_Toc9827"/>
      <w:bookmarkStart w:id="3544" w:name="_Toc18672"/>
      <w:bookmarkStart w:id="3545" w:name="_Toc30635"/>
      <w:bookmarkStart w:id="3546" w:name="_Toc517530865"/>
      <w:bookmarkStart w:id="3547" w:name="_Toc21404"/>
      <w:bookmarkStart w:id="3548" w:name="_Toc11572"/>
      <w:r>
        <w:rPr>
          <w:rFonts w:hint="eastAsia" w:ascii="宋体" w:hAnsi="宋体" w:cs="宋体"/>
          <w:b/>
          <w:bCs/>
          <w:color w:val="auto"/>
          <w:sz w:val="24"/>
          <w:szCs w:val="24"/>
          <w:highlight w:val="none"/>
        </w:rPr>
        <w:t>9.6.2未约定的检验费用</w:t>
      </w:r>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如果监理人所要求做的试验为：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(a)合同未曾指明或规定的；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(b)（在上款所述情况下）没有特别指出的；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(c)（虽已指明或规定）但监理人所要求做的检验是在被检验材料或设备的制造、加工、制配场地以外的任何其他场所进行，</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在上述任一情况下所要求的检验，如表明操作工艺或材料没有达到合同要求的标准，则其费用由承包人承担。</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549" w:name="_Toc30403"/>
      <w:bookmarkStart w:id="3550" w:name="_Toc517532142"/>
      <w:bookmarkStart w:id="3551" w:name="_Toc23231"/>
      <w:bookmarkStart w:id="3552" w:name="_Toc517530866"/>
      <w:bookmarkStart w:id="3553" w:name="_Toc7019"/>
      <w:bookmarkStart w:id="3554" w:name="_Toc28199"/>
      <w:bookmarkStart w:id="3555" w:name="_Toc10522"/>
      <w:bookmarkStart w:id="3556" w:name="_Toc11373"/>
      <w:bookmarkStart w:id="3557" w:name="_Toc22552"/>
      <w:bookmarkStart w:id="3558" w:name="_Toc32747"/>
      <w:bookmarkStart w:id="3559" w:name="_Toc3129"/>
      <w:bookmarkStart w:id="3560" w:name="_Toc1189"/>
      <w:bookmarkStart w:id="3561" w:name="_Toc24504"/>
      <w:bookmarkStart w:id="3562" w:name="_Toc23060"/>
      <w:bookmarkStart w:id="3563" w:name="_Toc20944"/>
      <w:bookmarkStart w:id="3564" w:name="_Toc24276"/>
      <w:bookmarkStart w:id="3565" w:name="_Toc9883"/>
      <w:r>
        <w:rPr>
          <w:rFonts w:hint="eastAsia" w:ascii="宋体" w:hAnsi="宋体" w:cs="宋体"/>
          <w:b/>
          <w:bCs/>
          <w:color w:val="auto"/>
          <w:sz w:val="24"/>
          <w:szCs w:val="24"/>
          <w:highlight w:val="none"/>
        </w:rPr>
        <w:t>9.6.3监理人未规定的检验的决定</w:t>
      </w:r>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根据第9.6.2条(a)、(b)、(c)所做的检验，若结果表明达到合同要求的标准，则监理人应在与发包人和承包人适当协商后，承包人有权获得：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(a)根据第7.6条的规定承包人应得的延长工期；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(b)应该加到合同价格上的上述费用款额；</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上述确定应通知承包人，抄送发包人。</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566" w:name="_Toc517532143"/>
      <w:bookmarkStart w:id="3567" w:name="_Toc14758"/>
      <w:bookmarkStart w:id="3568" w:name="_Toc3788"/>
      <w:bookmarkStart w:id="3569" w:name="_Toc22932"/>
      <w:bookmarkStart w:id="3570" w:name="_Toc26147"/>
      <w:bookmarkStart w:id="3571" w:name="_Toc11814"/>
      <w:bookmarkStart w:id="3572" w:name="_Toc7253"/>
      <w:bookmarkStart w:id="3573" w:name="_Toc20285"/>
      <w:bookmarkStart w:id="3574" w:name="_Toc10869"/>
      <w:bookmarkStart w:id="3575" w:name="_Toc26297"/>
      <w:bookmarkStart w:id="3576" w:name="_Toc4105"/>
      <w:bookmarkStart w:id="3577" w:name="_Toc517530867"/>
      <w:bookmarkStart w:id="3578" w:name="_Toc517528702"/>
      <w:bookmarkStart w:id="3579" w:name="_Toc12552"/>
      <w:bookmarkStart w:id="3580" w:name="_Toc16997"/>
      <w:bookmarkStart w:id="3581" w:name="_Toc10277"/>
      <w:bookmarkStart w:id="3582" w:name="_Toc7916"/>
      <w:bookmarkStart w:id="3583" w:name="_Toc23164"/>
      <w:r>
        <w:rPr>
          <w:rFonts w:hint="eastAsia" w:ascii="宋体" w:hAnsi="宋体" w:cs="宋体"/>
          <w:b/>
          <w:bCs/>
          <w:color w:val="auto"/>
          <w:sz w:val="28"/>
          <w:szCs w:val="28"/>
          <w:highlight w:val="none"/>
        </w:rPr>
        <w:t>9.7样品</w:t>
      </w:r>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检验全部样品应由承包人提供，并承担其费用。</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3584" w:name="_Toc351203567"/>
      <w:bookmarkStart w:id="3585" w:name="_Toc9778"/>
      <w:bookmarkStart w:id="3586" w:name="_Toc517530868"/>
      <w:bookmarkStart w:id="3587" w:name="_Toc4227"/>
      <w:bookmarkStart w:id="3588" w:name="_Toc28477"/>
      <w:bookmarkStart w:id="3589" w:name="_Toc517529743"/>
      <w:bookmarkStart w:id="3590" w:name="_Toc25403"/>
      <w:bookmarkStart w:id="3591" w:name="_Toc23569"/>
      <w:bookmarkStart w:id="3592" w:name="_Toc19641"/>
      <w:bookmarkStart w:id="3593" w:name="_Toc28958"/>
      <w:bookmarkStart w:id="3594" w:name="_Toc517528703"/>
      <w:bookmarkStart w:id="3595" w:name="_Toc23839"/>
      <w:bookmarkStart w:id="3596" w:name="_Toc465237219"/>
      <w:bookmarkStart w:id="3597" w:name="_Toc19501"/>
      <w:bookmarkStart w:id="3598" w:name="_Toc465237121"/>
      <w:bookmarkStart w:id="3599" w:name="_Toc9069"/>
      <w:bookmarkStart w:id="3600" w:name="_Toc9228"/>
      <w:bookmarkStart w:id="3601" w:name="_Toc17097"/>
      <w:bookmarkStart w:id="3602" w:name="_Toc15055"/>
      <w:bookmarkStart w:id="3603" w:name="_Toc30294"/>
      <w:bookmarkStart w:id="3604" w:name="_Toc31817"/>
      <w:bookmarkStart w:id="3605" w:name="_Toc517532144"/>
      <w:bookmarkStart w:id="3606" w:name="_Toc24573"/>
      <w:bookmarkStart w:id="3607" w:name="_Toc19704"/>
      <w:bookmarkStart w:id="3608" w:name="_Toc26652"/>
      <w:bookmarkStart w:id="3609" w:name="_Toc337558787"/>
      <w:r>
        <w:rPr>
          <w:rFonts w:hint="eastAsia" w:ascii="宋体" w:hAnsi="宋体" w:cs="宋体"/>
          <w:b/>
          <w:bCs/>
          <w:color w:val="auto"/>
          <w:sz w:val="30"/>
          <w:szCs w:val="30"/>
          <w:highlight w:val="none"/>
        </w:rPr>
        <w:t>10.</w:t>
      </w:r>
      <w:bookmarkEnd w:id="3315"/>
      <w:bookmarkEnd w:id="3316"/>
      <w:bookmarkEnd w:id="3584"/>
      <w:r>
        <w:rPr>
          <w:rFonts w:hint="eastAsia" w:ascii="宋体" w:hAnsi="宋体" w:cs="宋体"/>
          <w:b/>
          <w:bCs/>
          <w:color w:val="auto"/>
          <w:sz w:val="30"/>
          <w:szCs w:val="30"/>
          <w:highlight w:val="none"/>
        </w:rPr>
        <w:t xml:space="preserve"> 变更</w:t>
      </w:r>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610" w:name="_Toc2319"/>
      <w:bookmarkStart w:id="3611" w:name="_Toc28283"/>
      <w:bookmarkStart w:id="3612" w:name="_Toc222"/>
      <w:bookmarkStart w:id="3613" w:name="_Toc12085"/>
      <w:bookmarkStart w:id="3614" w:name="_Toc517532145"/>
      <w:bookmarkStart w:id="3615" w:name="_Toc7318"/>
      <w:bookmarkStart w:id="3616" w:name="_Toc5372"/>
      <w:bookmarkStart w:id="3617" w:name="_Toc12693"/>
      <w:bookmarkStart w:id="3618" w:name="_Toc23075"/>
      <w:bookmarkStart w:id="3619" w:name="_Toc8357"/>
      <w:bookmarkStart w:id="3620" w:name="_Toc1838"/>
      <w:bookmarkStart w:id="3621" w:name="_Toc6303"/>
      <w:bookmarkStart w:id="3622" w:name="_Toc21202"/>
      <w:bookmarkStart w:id="3623" w:name="_Toc10998"/>
      <w:bookmarkStart w:id="3624" w:name="_Toc11304"/>
      <w:bookmarkStart w:id="3625" w:name="_Toc31626"/>
      <w:bookmarkStart w:id="3626" w:name="_Toc28067"/>
      <w:bookmarkStart w:id="3627" w:name="_Toc517530869"/>
      <w:bookmarkStart w:id="3628" w:name="_Toc517528704"/>
      <w:bookmarkStart w:id="3629" w:name="_Toc32588"/>
      <w:bookmarkStart w:id="3630" w:name="_Toc31813"/>
      <w:r>
        <w:rPr>
          <w:rFonts w:hint="eastAsia" w:ascii="宋体" w:hAnsi="宋体" w:cs="宋体"/>
          <w:b/>
          <w:bCs/>
          <w:color w:val="auto"/>
          <w:sz w:val="28"/>
          <w:szCs w:val="28"/>
          <w:highlight w:val="none"/>
        </w:rPr>
        <w:t>10.1变更的范围和权限</w:t>
      </w:r>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监理人如认为有必要时，可对本合同工程或其任何部分的形式、质量或数量做出变更，有权指令承包人进行下述任何工作：</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(a)增加或减少合同中包括的任何工作的数量；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(b)取消任何此类工作；</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(c)改变任何此类工作的性质、质量或种类；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(d)改变本工程任何部分的标高、线形、位置和尺寸；</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(e)完成本工程所必要的任何种类的附加工作；</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(f)改变本工程任何部分施工的规定顺序或时间安排。</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变更均不应以任何方式使合同作废或无效，所有这类变更（如果有）的结果应该根据第10条规定进行估价。但是，如果发出本工程的变更指令是因承包人过错、承包人违反合同或承包人责任造成的，则这种违约引起的任何额外费用由承包人承担。</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631" w:name="_Toc18637"/>
      <w:bookmarkStart w:id="3632" w:name="_Toc14394"/>
      <w:bookmarkStart w:id="3633" w:name="_Toc19527"/>
      <w:bookmarkStart w:id="3634" w:name="_Toc7361"/>
      <w:bookmarkStart w:id="3635" w:name="_Toc5515"/>
      <w:bookmarkStart w:id="3636" w:name="_Toc18846"/>
      <w:bookmarkStart w:id="3637" w:name="_Toc31214"/>
      <w:bookmarkStart w:id="3638" w:name="_Toc28407"/>
      <w:bookmarkStart w:id="3639" w:name="_Toc517530870"/>
      <w:bookmarkStart w:id="3640" w:name="_Toc11734"/>
      <w:bookmarkStart w:id="3641" w:name="_Toc7098"/>
      <w:bookmarkStart w:id="3642" w:name="_Toc517528705"/>
      <w:bookmarkStart w:id="3643" w:name="_Toc5156"/>
      <w:bookmarkStart w:id="3644" w:name="_Toc23006"/>
      <w:bookmarkStart w:id="3645" w:name="_Toc5571"/>
      <w:bookmarkStart w:id="3646" w:name="_Toc9067"/>
      <w:bookmarkStart w:id="3647" w:name="_Toc2044"/>
      <w:bookmarkStart w:id="3648" w:name="_Toc24092"/>
      <w:bookmarkStart w:id="3649" w:name="_Toc16000"/>
      <w:bookmarkStart w:id="3650" w:name="_Toc4687"/>
      <w:bookmarkStart w:id="3651" w:name="_Toc517532146"/>
      <w:r>
        <w:rPr>
          <w:rFonts w:hint="eastAsia" w:ascii="宋体" w:hAnsi="宋体" w:cs="宋体"/>
          <w:b/>
          <w:bCs/>
          <w:color w:val="auto"/>
          <w:sz w:val="28"/>
          <w:szCs w:val="28"/>
          <w:highlight w:val="none"/>
        </w:rPr>
        <w:t>10.2变更的指令</w:t>
      </w:r>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没有监理人的指令，承包人不能进行任何变更。但如果工程量的增减并非执行本条规定发出的指令的结果，而是由于其工程量超过或少于工程量清单中开列的数量，则该项增减不需任何指令。如果承包人为了便于组织施工，或为了施工安全、避免干扰等原因需采取相应的技术措施而提出的局部变更设计，除须得到监理人的批准外，由此而增加的费用应由承包人自行负担。变更程序，按照《深圳市建筑工务署工程变更管理办法》及发包人要求进行，由承包人或设计人提出工程变更，报监理人审查，监理人签署审查意见后，报发包人审核，发包人同意后，监理人据此下发变更指令。</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652" w:name="_Toc29446"/>
      <w:bookmarkStart w:id="3653" w:name="_Toc23632"/>
      <w:bookmarkStart w:id="3654" w:name="_Toc517532147"/>
      <w:bookmarkStart w:id="3655" w:name="_Toc6334"/>
      <w:bookmarkStart w:id="3656" w:name="_Toc19444"/>
      <w:bookmarkStart w:id="3657" w:name="_Toc21993"/>
      <w:bookmarkStart w:id="3658" w:name="_Toc517530871"/>
      <w:bookmarkStart w:id="3659" w:name="_Toc24495"/>
      <w:bookmarkStart w:id="3660" w:name="_Toc517528706"/>
      <w:bookmarkStart w:id="3661" w:name="_Toc14890"/>
      <w:bookmarkStart w:id="3662" w:name="_Toc27084"/>
      <w:bookmarkStart w:id="3663" w:name="_Toc4021"/>
      <w:bookmarkStart w:id="3664" w:name="_Toc17201"/>
      <w:bookmarkStart w:id="3665" w:name="_Toc30606"/>
      <w:bookmarkStart w:id="3666" w:name="_Toc27256"/>
      <w:bookmarkStart w:id="3667" w:name="_Toc20947"/>
      <w:bookmarkStart w:id="3668" w:name="_Toc2892"/>
      <w:bookmarkStart w:id="3669" w:name="_Toc14396"/>
      <w:bookmarkStart w:id="3670" w:name="_Toc14234"/>
      <w:bookmarkStart w:id="3671" w:name="_Toc29056"/>
      <w:bookmarkStart w:id="3672" w:name="_Toc1119"/>
      <w:r>
        <w:rPr>
          <w:rFonts w:hint="eastAsia" w:ascii="宋体" w:hAnsi="宋体" w:cs="宋体"/>
          <w:b/>
          <w:bCs/>
          <w:color w:val="auto"/>
          <w:sz w:val="28"/>
          <w:szCs w:val="28"/>
          <w:highlight w:val="none"/>
        </w:rPr>
        <w:t>10.3变更的估价</w:t>
      </w:r>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10条所指的所有变更和根据第10条要求确定的合同价格的任何增加额（就本条而言，称之为“变更的工作”），只要监理人认为适当，应以合同中规定的综合单价或总额价进行估价。如果合同并未包含任何适用于变更的工作的综合单价或总额价，则合同内的综合单价或总额价只要合理，可用作估价的基础，如果不适用，则监理人可要求承包人报预算书由监理人审核，再报送发包人、评审中心或发包人指定的第三方确定后按本条的有关规定执行。在评审中心或发包人指定的第三方最后确定之前，监理人可先确定暂时的综合单价或总额价，以便使暂付账款能够列入根据合同有关规定签发的证书中。</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工程量清单中，任何工程项目的实际计量的工程量，无论是高于还是低于工程量清单中开列的估算工程量，其单价（或总额价）均不作调整。工程量清单以外的工程项目，只要监理人认为适当：</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(a)若工程量清单有相同项目单价，应按工程量清单单价进行计价；</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(b)若工程量清单有类似项目单价，可按类似项目单价进行计价；</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若工程量清单无类似项目单价，或类似单价不适用时，需重新定价。定价原则为：无品牌要求的且有信息价的主要材料设备采用施工期信息价(不执行合同专用条款11.1条)，人工、机械等按截标当日已发布的最新一期《深圳建设工程价格信息》信息价或截标当日已生效的人工工日单价执行(并执行合同专用条款11.1条)，之后再下浮一定比例作为结算价；有品牌要求或无信息价的主要材料设备通过市场询价或竞价方式定价的，结算时价格不再下浮。</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下浮比例为投标总价的净下浮率，即净下浮率=[1-(投标总价-不可竞争费)/(公示的招标控制价-不可竞争费)]*100%。</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(a)、(b)款中，如发包人在招标阶段已对承包人的投标价格进行调整的，则执行调整后的清单单价。</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673" w:name="_Toc19397"/>
      <w:bookmarkStart w:id="3674" w:name="_Toc24590"/>
      <w:bookmarkStart w:id="3675" w:name="_Toc6189"/>
      <w:bookmarkStart w:id="3676" w:name="_Toc517532148"/>
      <w:bookmarkStart w:id="3677" w:name="_Toc26569"/>
      <w:bookmarkStart w:id="3678" w:name="_Toc1469"/>
      <w:bookmarkStart w:id="3679" w:name="_Toc564"/>
      <w:bookmarkStart w:id="3680" w:name="_Toc3267"/>
      <w:bookmarkStart w:id="3681" w:name="_Toc4463"/>
      <w:bookmarkStart w:id="3682" w:name="_Toc29186"/>
      <w:bookmarkStart w:id="3683" w:name="_Toc17592"/>
      <w:bookmarkStart w:id="3684" w:name="_Toc20843"/>
      <w:bookmarkStart w:id="3685" w:name="_Toc2258"/>
      <w:bookmarkStart w:id="3686" w:name="_Toc24299"/>
      <w:bookmarkStart w:id="3687" w:name="_Toc20127"/>
      <w:bookmarkStart w:id="3688" w:name="_Toc22408"/>
      <w:bookmarkStart w:id="3689" w:name="_Toc517530872"/>
      <w:bookmarkStart w:id="3690" w:name="_Toc517528707"/>
      <w:bookmarkStart w:id="3691" w:name="_Toc12060"/>
      <w:bookmarkStart w:id="3692" w:name="_Toc8332"/>
      <w:bookmarkStart w:id="3693" w:name="_Toc31207"/>
      <w:r>
        <w:rPr>
          <w:rFonts w:hint="eastAsia" w:ascii="宋体" w:hAnsi="宋体" w:cs="宋体"/>
          <w:b/>
          <w:bCs/>
          <w:color w:val="auto"/>
          <w:sz w:val="28"/>
          <w:szCs w:val="28"/>
          <w:highlight w:val="none"/>
        </w:rPr>
        <w:t>10.4计日工</w:t>
      </w:r>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如认为有必要，可以指令按计日工完成任何需变更的工作。对于这种变更的工作，应按合同中包括的计日工明细表中所定的项目，和承包人在其投标书中对此所报的单价或总额价，向承包人付款。承包人应向监理人提交已付款的凭证、收据或其他凭单，并应在订购材料之前，向监理人提交订货报价单，以供批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所有按计日工方式施工的工程，承包人应在该工程持续进行过程中，每天向监理人提交从事该项工作的所有工人的姓名、工种及工时的清单一式两份，以及表明该项工程所用的材料和承包人装备（计日工明细表中已包括了以附加百分比表示的承包人装备除外）的名称和数量的报表一式两份，如果清单和报表的内容正确或经同意时，应由监理人在每种清单和报表的一份上签字，并退还给承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每月结束时，承包人应向监理人送交一份所用劳务、材料和承包人装备（以上提到的除外）的附有价格的账单，除非已完全而准确地提交了上述清单与报表，否则承包人无权获得任何款项。但如监理人认为承包人由于某种原因不可能按上述规定报送清单或报表，监理人仍应有权核准并报发包人批准后为此种工作付款。此项付款可以是对该工程所用的劳务、材料和承包人装备按计日工计算的，也可以是按监理人认为是对该项工程公平合理的价值计算。</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3694" w:name="_Toc21108"/>
      <w:bookmarkStart w:id="3695" w:name="_Toc20534"/>
      <w:bookmarkStart w:id="3696" w:name="_Toc517528708"/>
      <w:bookmarkStart w:id="3697" w:name="_Toc16184"/>
      <w:bookmarkStart w:id="3698" w:name="_Toc517530873"/>
      <w:bookmarkStart w:id="3699" w:name="_Toc22052"/>
      <w:bookmarkStart w:id="3700" w:name="_Toc517532149"/>
      <w:bookmarkStart w:id="3701" w:name="_Toc517529744"/>
      <w:bookmarkStart w:id="3702" w:name="_Toc1464"/>
      <w:bookmarkStart w:id="3703" w:name="_Toc16630"/>
      <w:bookmarkStart w:id="3704" w:name="_Toc21251"/>
      <w:bookmarkStart w:id="3705" w:name="_Toc8715"/>
      <w:bookmarkStart w:id="3706" w:name="_Toc8988"/>
      <w:bookmarkStart w:id="3707" w:name="_Toc8726"/>
      <w:bookmarkStart w:id="3708" w:name="_Toc1474"/>
      <w:bookmarkStart w:id="3709" w:name="_Toc16236"/>
      <w:bookmarkStart w:id="3710" w:name="_Toc27079"/>
      <w:bookmarkStart w:id="3711" w:name="_Toc10918"/>
      <w:bookmarkStart w:id="3712" w:name="_Toc10723"/>
      <w:r>
        <w:rPr>
          <w:rFonts w:hint="eastAsia" w:ascii="宋体" w:hAnsi="宋体" w:cs="宋体"/>
          <w:b/>
          <w:bCs/>
          <w:color w:val="auto"/>
          <w:sz w:val="30"/>
          <w:szCs w:val="30"/>
          <w:highlight w:val="none"/>
        </w:rPr>
        <w:t>11. 价格调整</w:t>
      </w:r>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713" w:name="_Toc22462"/>
      <w:bookmarkStart w:id="3714" w:name="_Toc3672"/>
      <w:bookmarkStart w:id="3715" w:name="_Toc8242"/>
      <w:bookmarkStart w:id="3716" w:name="_Toc7969"/>
      <w:bookmarkStart w:id="3717" w:name="_Toc14326"/>
      <w:bookmarkStart w:id="3718" w:name="_Toc3591"/>
      <w:bookmarkStart w:id="3719" w:name="_Toc26730"/>
      <w:bookmarkStart w:id="3720" w:name="_Toc28120"/>
      <w:bookmarkStart w:id="3721" w:name="_Toc25137"/>
      <w:bookmarkStart w:id="3722" w:name="_Toc3667"/>
      <w:bookmarkStart w:id="3723" w:name="_Toc13949"/>
      <w:bookmarkStart w:id="3724" w:name="_Toc15220"/>
      <w:bookmarkStart w:id="3725" w:name="_Toc15426"/>
      <w:bookmarkStart w:id="3726" w:name="_Toc517530874"/>
      <w:bookmarkStart w:id="3727" w:name="_Toc13063"/>
      <w:bookmarkStart w:id="3728" w:name="_Toc31433"/>
      <w:bookmarkStart w:id="3729" w:name="_Toc517528709"/>
      <w:bookmarkStart w:id="3730" w:name="_Toc517532150"/>
      <w:r>
        <w:rPr>
          <w:rFonts w:hint="eastAsia" w:ascii="宋体" w:hAnsi="宋体" w:cs="宋体"/>
          <w:b/>
          <w:bCs/>
          <w:color w:val="auto"/>
          <w:sz w:val="28"/>
          <w:szCs w:val="28"/>
          <w:highlight w:val="none"/>
        </w:rPr>
        <w:t>11.1 市场变化引起的费用的增加或减少</w:t>
      </w:r>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在合同履行期间，随着劳务和（或）材料或影响工程施工成本的任何其他事项的价格涨落而引起费用增减时，应根据专用合同条款规定的价格调整公式给予调价，将此费用加到合同价格或从合同价格中扣除。</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731" w:name="_Toc1606"/>
      <w:bookmarkStart w:id="3732" w:name="_Toc25762"/>
      <w:bookmarkStart w:id="3733" w:name="_Toc12563"/>
      <w:bookmarkStart w:id="3734" w:name="_Toc26180"/>
      <w:bookmarkStart w:id="3735" w:name="_Toc28918"/>
      <w:bookmarkStart w:id="3736" w:name="_Toc16725"/>
      <w:bookmarkStart w:id="3737" w:name="_Toc18713"/>
      <w:bookmarkStart w:id="3738" w:name="_Toc13117"/>
      <w:bookmarkStart w:id="3739" w:name="_Toc517530875"/>
      <w:bookmarkStart w:id="3740" w:name="_Toc22592"/>
      <w:bookmarkStart w:id="3741" w:name="_Toc15769"/>
      <w:bookmarkStart w:id="3742" w:name="_Toc18885"/>
      <w:bookmarkStart w:id="3743" w:name="_Toc24275"/>
      <w:bookmarkStart w:id="3744" w:name="_Toc17653"/>
      <w:bookmarkStart w:id="3745" w:name="_Toc517532151"/>
      <w:bookmarkStart w:id="3746" w:name="_Toc23883"/>
      <w:bookmarkStart w:id="3747" w:name="_Toc517528710"/>
      <w:bookmarkStart w:id="3748" w:name="_Toc19498"/>
      <w:r>
        <w:rPr>
          <w:rFonts w:hint="eastAsia" w:ascii="宋体" w:hAnsi="宋体" w:cs="宋体"/>
          <w:b/>
          <w:bCs/>
          <w:color w:val="auto"/>
          <w:sz w:val="28"/>
          <w:szCs w:val="28"/>
          <w:highlight w:val="none"/>
        </w:rPr>
        <w:t>11.2 法规变更的影响</w:t>
      </w:r>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非合同另有规定，如果在送交投标书截止期前28天之后，国家或省（自治区、直辖市）颁布的法律、法令、规章或条例出现修改或变更，因采用上述法律、法令、规章、条例等，致使承包人在履行合同中的费用发生第11.1条规定情况以外的增加或减少，则此项增加或减少的费用应由监理人在与承包人协商并报经业主批准后确定，增加到合同价格上或从合同价格中扣除，监理人应通知承包人，并抄送业主。</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749" w:name="_Toc271"/>
      <w:bookmarkStart w:id="3750" w:name="_Toc9900"/>
      <w:bookmarkStart w:id="3751" w:name="_Toc31291"/>
      <w:bookmarkStart w:id="3752" w:name="_Toc16874"/>
      <w:bookmarkStart w:id="3753" w:name="_Toc19241"/>
      <w:bookmarkStart w:id="3754" w:name="_Toc32666"/>
      <w:bookmarkStart w:id="3755" w:name="_Toc15287"/>
      <w:bookmarkStart w:id="3756" w:name="_Toc31219"/>
      <w:bookmarkStart w:id="3757" w:name="_Toc517528711"/>
      <w:bookmarkStart w:id="3758" w:name="_Toc7496"/>
      <w:bookmarkStart w:id="3759" w:name="_Toc517530876"/>
      <w:bookmarkStart w:id="3760" w:name="_Toc14338"/>
      <w:bookmarkStart w:id="3761" w:name="_Toc26336"/>
      <w:bookmarkStart w:id="3762" w:name="_Toc14400"/>
      <w:bookmarkStart w:id="3763" w:name="_Toc517532152"/>
      <w:bookmarkStart w:id="3764" w:name="_Toc19320"/>
      <w:bookmarkStart w:id="3765" w:name="_Toc20331"/>
      <w:bookmarkStart w:id="3766" w:name="_Toc15496"/>
      <w:r>
        <w:rPr>
          <w:rFonts w:hint="eastAsia" w:ascii="宋体" w:hAnsi="宋体" w:cs="宋体"/>
          <w:b/>
          <w:bCs/>
          <w:color w:val="auto"/>
          <w:sz w:val="28"/>
          <w:szCs w:val="28"/>
          <w:highlight w:val="none"/>
        </w:rPr>
        <w:t>11.3 合同价格的调整</w:t>
      </w:r>
      <w:bookmarkEnd w:id="3749"/>
      <w:bookmarkEnd w:id="3750"/>
      <w:bookmarkEnd w:id="3751"/>
      <w:bookmarkEnd w:id="3752"/>
      <w:bookmarkEnd w:id="3753"/>
      <w:bookmarkEnd w:id="3754"/>
      <w:r>
        <w:rPr>
          <w:rFonts w:hint="eastAsia" w:ascii="宋体" w:hAnsi="宋体" w:cs="宋体"/>
          <w:b/>
          <w:bCs/>
          <w:color w:val="auto"/>
          <w:sz w:val="28"/>
          <w:szCs w:val="28"/>
          <w:highlight w:val="none"/>
        </w:rPr>
        <w:t>方式</w:t>
      </w:r>
      <w:bookmarkEnd w:id="3755"/>
      <w:bookmarkEnd w:id="3756"/>
      <w:bookmarkEnd w:id="3757"/>
      <w:bookmarkEnd w:id="3758"/>
      <w:bookmarkEnd w:id="3759"/>
      <w:bookmarkEnd w:id="3760"/>
      <w:bookmarkEnd w:id="3761"/>
      <w:bookmarkEnd w:id="3762"/>
      <w:bookmarkEnd w:id="3763"/>
      <w:bookmarkEnd w:id="3764"/>
      <w:bookmarkEnd w:id="3765"/>
      <w:bookmarkEnd w:id="3766"/>
    </w:p>
    <w:p>
      <w:pPr>
        <w:adjustRightInd w:val="0"/>
        <w:snapToGrid w:val="0"/>
        <w:spacing w:line="360" w:lineRule="auto"/>
        <w:ind w:firstLine="428" w:firstLineChars="200"/>
        <w:jc w:val="left"/>
        <w:rPr>
          <w:rFonts w:hint="eastAsia" w:ascii="宋体" w:hAnsi="宋体" w:cs="宋体"/>
          <w:color w:val="auto"/>
          <w:szCs w:val="21"/>
          <w:highlight w:val="none"/>
        </w:rPr>
      </w:pPr>
      <w:r>
        <w:rPr>
          <w:rFonts w:hint="eastAsia" w:ascii="宋体" w:hAnsi="宋体" w:cs="宋体"/>
          <w:bCs/>
          <w:color w:val="auto"/>
          <w:spacing w:val="2"/>
          <w:szCs w:val="21"/>
          <w:highlight w:val="none"/>
        </w:rPr>
        <w:t>合同各方应按照专用条款确定的合同价格调整原则来调整合同价格。</w:t>
      </w:r>
    </w:p>
    <w:bookmarkEnd w:id="3609"/>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3767" w:name="_Toc351203580"/>
      <w:bookmarkStart w:id="3768" w:name="_Toc14132"/>
      <w:bookmarkStart w:id="3769" w:name="_Toc15726"/>
      <w:bookmarkStart w:id="3770" w:name="_Toc31595"/>
      <w:bookmarkStart w:id="3771" w:name="_Toc517532153"/>
      <w:bookmarkStart w:id="3772" w:name="_Toc20613"/>
      <w:bookmarkStart w:id="3773" w:name="_Toc780"/>
      <w:bookmarkStart w:id="3774" w:name="_Toc13675"/>
      <w:bookmarkStart w:id="3775" w:name="_Toc2145"/>
      <w:bookmarkStart w:id="3776" w:name="_Toc26423"/>
      <w:bookmarkStart w:id="3777" w:name="_Toc465237220"/>
      <w:bookmarkStart w:id="3778" w:name="_Toc465237122"/>
      <w:bookmarkStart w:id="3779" w:name="_Toc23043"/>
      <w:bookmarkStart w:id="3780" w:name="_Toc29489"/>
      <w:bookmarkStart w:id="3781" w:name="_Toc517529745"/>
      <w:bookmarkStart w:id="3782" w:name="_Toc22710"/>
      <w:bookmarkStart w:id="3783" w:name="_Toc517530877"/>
      <w:bookmarkStart w:id="3784" w:name="_Toc26572"/>
      <w:bookmarkStart w:id="3785" w:name="_Toc30907"/>
      <w:bookmarkStart w:id="3786" w:name="_Toc17960"/>
      <w:bookmarkStart w:id="3787" w:name="_Toc14895"/>
      <w:bookmarkStart w:id="3788" w:name="_Toc517528712"/>
      <w:bookmarkStart w:id="3789" w:name="_Toc19275"/>
      <w:bookmarkStart w:id="3790" w:name="_Toc4332"/>
      <w:bookmarkStart w:id="3791" w:name="_Toc587"/>
      <w:bookmarkStart w:id="3792" w:name="_Toc296346597"/>
      <w:bookmarkStart w:id="3793" w:name="_Toc337558799"/>
      <w:bookmarkStart w:id="3794" w:name="_Toc296503096"/>
      <w:r>
        <w:rPr>
          <w:rFonts w:hint="eastAsia" w:ascii="宋体" w:hAnsi="宋体" w:cs="宋体"/>
          <w:b/>
          <w:bCs/>
          <w:color w:val="auto"/>
          <w:sz w:val="30"/>
          <w:szCs w:val="30"/>
          <w:highlight w:val="none"/>
        </w:rPr>
        <w:t>12.</w:t>
      </w:r>
      <w:bookmarkEnd w:id="3767"/>
      <w:r>
        <w:rPr>
          <w:rFonts w:hint="eastAsia" w:ascii="宋体" w:hAnsi="宋体" w:cs="宋体"/>
          <w:b/>
          <w:bCs/>
          <w:color w:val="auto"/>
          <w:sz w:val="30"/>
          <w:szCs w:val="30"/>
          <w:highlight w:val="none"/>
        </w:rPr>
        <w:t xml:space="preserve"> 合同价格、计量与支付</w:t>
      </w:r>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795" w:name="_Toc15199"/>
      <w:bookmarkStart w:id="3796" w:name="_Toc21830"/>
      <w:bookmarkStart w:id="3797" w:name="_Toc25565"/>
      <w:bookmarkStart w:id="3798" w:name="_Toc26203"/>
      <w:bookmarkStart w:id="3799" w:name="_Toc517530878"/>
      <w:bookmarkStart w:id="3800" w:name="_Toc27979"/>
      <w:bookmarkStart w:id="3801" w:name="_Toc20232"/>
      <w:bookmarkStart w:id="3802" w:name="_Toc517532154"/>
      <w:bookmarkStart w:id="3803" w:name="_Toc465237123"/>
      <w:bookmarkStart w:id="3804" w:name="_Toc15114"/>
      <w:bookmarkStart w:id="3805" w:name="_Toc11195"/>
      <w:bookmarkStart w:id="3806" w:name="_Toc12779"/>
      <w:bookmarkStart w:id="3807" w:name="_Toc9539"/>
      <w:bookmarkStart w:id="3808" w:name="_Toc30889"/>
      <w:bookmarkStart w:id="3809" w:name="_Toc517528713"/>
      <w:bookmarkStart w:id="3810" w:name="_Toc29339"/>
      <w:bookmarkStart w:id="3811" w:name="_Toc8729"/>
      <w:bookmarkStart w:id="3812" w:name="_Toc14337"/>
      <w:bookmarkStart w:id="3813" w:name="_Toc465237221"/>
      <w:bookmarkStart w:id="3814" w:name="_Toc5769"/>
      <w:bookmarkStart w:id="3815" w:name="_Toc18176"/>
      <w:bookmarkStart w:id="3816" w:name="_Toc14413"/>
      <w:bookmarkStart w:id="3817" w:name="_Toc17664"/>
      <w:r>
        <w:rPr>
          <w:rFonts w:hint="eastAsia" w:ascii="宋体" w:hAnsi="宋体" w:cs="宋体"/>
          <w:b/>
          <w:bCs/>
          <w:color w:val="auto"/>
          <w:sz w:val="28"/>
          <w:szCs w:val="28"/>
          <w:highlight w:val="none"/>
        </w:rPr>
        <w:t>12.1 合同价格和费用</w:t>
      </w:r>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818" w:name="_Toc29600"/>
      <w:bookmarkStart w:id="3819" w:name="_Toc1004"/>
      <w:bookmarkStart w:id="3820" w:name="_Toc19268"/>
      <w:bookmarkStart w:id="3821" w:name="_Toc25567"/>
      <w:bookmarkStart w:id="3822" w:name="_Toc18156"/>
      <w:bookmarkStart w:id="3823" w:name="_Toc10313"/>
      <w:bookmarkStart w:id="3824" w:name="_Toc29157"/>
      <w:bookmarkStart w:id="3825" w:name="_Toc32433"/>
      <w:bookmarkStart w:id="3826" w:name="_Toc19656"/>
      <w:bookmarkStart w:id="3827" w:name="_Toc517530879"/>
      <w:bookmarkStart w:id="3828" w:name="_Toc465237124"/>
      <w:bookmarkStart w:id="3829" w:name="_Toc5224"/>
      <w:bookmarkStart w:id="3830" w:name="_Toc20342"/>
      <w:bookmarkStart w:id="3831" w:name="_Toc27947"/>
      <w:bookmarkStart w:id="3832" w:name="_Toc20039"/>
      <w:bookmarkStart w:id="3833" w:name="_Toc13031"/>
      <w:bookmarkStart w:id="3834" w:name="_Toc14293"/>
      <w:bookmarkStart w:id="3835" w:name="_Toc16745"/>
      <w:bookmarkStart w:id="3836" w:name="_Toc28050"/>
      <w:bookmarkStart w:id="3837" w:name="_Toc28877"/>
      <w:bookmarkStart w:id="3838" w:name="_Toc517532155"/>
      <w:r>
        <w:rPr>
          <w:rFonts w:hint="eastAsia" w:ascii="宋体" w:hAnsi="宋体" w:cs="宋体"/>
          <w:b/>
          <w:bCs/>
          <w:color w:val="auto"/>
          <w:sz w:val="24"/>
          <w:szCs w:val="24"/>
          <w:highlight w:val="none"/>
        </w:rPr>
        <w:t>12.1.1合同价格的合理性</w:t>
      </w:r>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确认，其在送交投标文件前，对本合同工程的投标文件和标价的工程量清单中开列的综合单价和总额价的正确性与完备性是认可的。除在合同中另有规定外，投标的综合单价和总额价应已包括了承包人为履行合同中规定的全部义务（包括提供货物、材料、设备、服务的义务，并包括处理意外事件的义务）以及为实施和完成本合同工程和其缺陷修复所必需的一切工作和事宜的价款。</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839" w:name="_Toc1909"/>
      <w:bookmarkStart w:id="3840" w:name="_Toc9089"/>
      <w:bookmarkStart w:id="3841" w:name="_Toc21772"/>
      <w:bookmarkStart w:id="3842" w:name="_Toc3468"/>
      <w:bookmarkStart w:id="3843" w:name="_Toc20071"/>
      <w:bookmarkStart w:id="3844" w:name="_Toc401"/>
      <w:bookmarkStart w:id="3845" w:name="_Toc3786"/>
      <w:bookmarkStart w:id="3846" w:name="_Toc7197"/>
      <w:bookmarkStart w:id="3847" w:name="_Toc12157"/>
      <w:bookmarkStart w:id="3848" w:name="_Toc83"/>
      <w:bookmarkStart w:id="3849" w:name="_Toc1190"/>
      <w:bookmarkStart w:id="3850" w:name="_Toc9580"/>
      <w:bookmarkStart w:id="3851" w:name="_Toc13904"/>
      <w:bookmarkStart w:id="3852" w:name="_Toc11872"/>
      <w:bookmarkStart w:id="3853" w:name="_Toc8967"/>
      <w:bookmarkStart w:id="3854" w:name="_Toc185"/>
      <w:bookmarkStart w:id="3855" w:name="_Toc23886"/>
      <w:bookmarkStart w:id="3856" w:name="_Toc27383"/>
      <w:bookmarkStart w:id="3857" w:name="_Toc517530880"/>
      <w:bookmarkStart w:id="3858" w:name="_Toc517532156"/>
      <w:r>
        <w:rPr>
          <w:rFonts w:hint="eastAsia" w:ascii="宋体" w:hAnsi="宋体" w:cs="宋体"/>
          <w:b/>
          <w:bCs/>
          <w:color w:val="auto"/>
          <w:sz w:val="24"/>
          <w:szCs w:val="24"/>
          <w:highlight w:val="none"/>
        </w:rPr>
        <w:t>12.1.2总额(包干)支付项的分目</w:t>
      </w:r>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为了根据第12.3.2条规定提交结账单，承包人收到中标通知书的28天之内，应向监理人提交包括在投标文件内的每个总额（包干）支付项的分目。该分目须经监理人的批准。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859" w:name="_Toc14856"/>
      <w:bookmarkStart w:id="3860" w:name="_Toc12928"/>
      <w:bookmarkStart w:id="3861" w:name="_Toc14257"/>
      <w:bookmarkStart w:id="3862" w:name="_Toc13239"/>
      <w:bookmarkStart w:id="3863" w:name="_Toc15153"/>
      <w:bookmarkStart w:id="3864" w:name="_Toc517530881"/>
      <w:bookmarkStart w:id="3865" w:name="_Toc1213"/>
      <w:bookmarkStart w:id="3866" w:name="_Toc22707"/>
      <w:bookmarkStart w:id="3867" w:name="_Toc6495"/>
      <w:bookmarkStart w:id="3868" w:name="_Toc13736"/>
      <w:bookmarkStart w:id="3869" w:name="_Toc19921"/>
      <w:bookmarkStart w:id="3870" w:name="_Toc517532157"/>
      <w:bookmarkStart w:id="3871" w:name="_Toc2530"/>
      <w:bookmarkStart w:id="3872" w:name="_Toc23045"/>
      <w:bookmarkStart w:id="3873" w:name="_Toc32380"/>
      <w:bookmarkStart w:id="3874" w:name="_Toc29890"/>
      <w:bookmarkStart w:id="3875" w:name="_Toc15974"/>
      <w:bookmarkStart w:id="3876" w:name="_Toc17780"/>
      <w:bookmarkStart w:id="3877" w:name="_Toc858"/>
      <w:bookmarkStart w:id="3878" w:name="_Toc29732"/>
      <w:r>
        <w:rPr>
          <w:rFonts w:hint="eastAsia" w:ascii="宋体" w:hAnsi="宋体" w:cs="宋体"/>
          <w:b/>
          <w:bCs/>
          <w:color w:val="auto"/>
          <w:sz w:val="24"/>
          <w:szCs w:val="24"/>
          <w:highlight w:val="none"/>
        </w:rPr>
        <w:t>12.1.3专业工程暂估价的最后确定</w:t>
      </w:r>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使用专业工程暂估价的项目有两类，其费用的最后确定方式是不相同的：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该专项工程预算价未超过招标文件中所列的专业工程暂估价的：该专项工程施工前，承包人应按合同及规定做出预算书报监理人审核，再按10.3条款中工程量清单以外的项目的程序执行确定结算价，结算时应以暂估价为上限。</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（b）该专项工程预算价超过招标文件中所列的专业工程暂估价的：发包人通过公开招标方式重新确定该专项工程的承包人。</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879" w:name="_Toc10343"/>
      <w:bookmarkStart w:id="3880" w:name="_Toc5529"/>
      <w:bookmarkStart w:id="3881" w:name="_Toc14216"/>
      <w:bookmarkStart w:id="3882" w:name="_Toc11324"/>
      <w:bookmarkStart w:id="3883" w:name="_Toc17972"/>
      <w:bookmarkStart w:id="3884" w:name="_Toc9473"/>
      <w:bookmarkStart w:id="3885" w:name="_Toc32686"/>
      <w:bookmarkStart w:id="3886" w:name="_Toc517530882"/>
      <w:bookmarkStart w:id="3887" w:name="_Toc29230"/>
      <w:bookmarkStart w:id="3888" w:name="_Toc29742"/>
      <w:bookmarkStart w:id="3889" w:name="_Toc431"/>
      <w:bookmarkStart w:id="3890" w:name="_Toc28073"/>
      <w:bookmarkStart w:id="3891" w:name="_Toc22979"/>
      <w:bookmarkStart w:id="3892" w:name="_Toc14213"/>
      <w:bookmarkStart w:id="3893" w:name="_Toc8219"/>
      <w:bookmarkStart w:id="3894" w:name="_Toc7640"/>
      <w:bookmarkStart w:id="3895" w:name="_Toc517532158"/>
      <w:bookmarkStart w:id="3896" w:name="_Toc27117"/>
      <w:bookmarkStart w:id="3897" w:name="_Toc16710"/>
      <w:bookmarkStart w:id="3898" w:name="_Toc18676"/>
      <w:r>
        <w:rPr>
          <w:rFonts w:hint="eastAsia" w:ascii="宋体" w:hAnsi="宋体" w:cs="宋体"/>
          <w:b/>
          <w:bCs/>
          <w:color w:val="auto"/>
          <w:sz w:val="24"/>
          <w:szCs w:val="24"/>
          <w:highlight w:val="none"/>
        </w:rPr>
        <w:t>12.1.4材料设备暂估价的最后确定</w:t>
      </w:r>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报价时采用的暂估价不作为结算依据。暂估价的最后确定均通过后期招标或询价方式进行（甲控乙供），同时需遵守深圳市相关主管部门的规定。结算时相应综合单价仅对主材价格及相关规费、税金进行调整（即补偿主材最终定价与暂估价间的差价），其它部分包干，不予调整。</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暂估价的最后确定的方式：</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（a）暂估价未达到法定应当招标限额的，按照深圳市相关主管部门的规定执行,根据具体情形采用询价采购、竞争性谈判等方式采购；</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 暂估价达到法定应当招标限额的，由承包人以公开招标方式进行定价，招标前相关技术标准和最高限价须报发包人审核确认。</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899" w:name="_Toc2553"/>
      <w:bookmarkStart w:id="3900" w:name="_Toc31437"/>
      <w:bookmarkStart w:id="3901" w:name="_Toc12823"/>
      <w:bookmarkStart w:id="3902" w:name="_Toc13693"/>
      <w:bookmarkStart w:id="3903" w:name="_Toc13999"/>
      <w:bookmarkStart w:id="3904" w:name="_Toc14349"/>
      <w:bookmarkStart w:id="3905" w:name="_Toc28959"/>
      <w:bookmarkStart w:id="3906" w:name="_Toc11714"/>
      <w:bookmarkStart w:id="3907" w:name="_Toc9142"/>
      <w:bookmarkStart w:id="3908" w:name="_Toc29501"/>
      <w:bookmarkStart w:id="3909" w:name="_Toc29481"/>
      <w:bookmarkStart w:id="3910" w:name="_Toc517530883"/>
      <w:bookmarkStart w:id="3911" w:name="_Toc32736"/>
      <w:bookmarkStart w:id="3912" w:name="_Toc9406"/>
      <w:bookmarkStart w:id="3913" w:name="_Toc11574"/>
      <w:bookmarkStart w:id="3914" w:name="_Toc26443"/>
      <w:bookmarkStart w:id="3915" w:name="_Toc25239"/>
      <w:bookmarkStart w:id="3916" w:name="_Toc517532159"/>
      <w:bookmarkStart w:id="3917" w:name="_Toc4442"/>
      <w:bookmarkStart w:id="3918" w:name="_Toc15928"/>
      <w:r>
        <w:rPr>
          <w:rFonts w:hint="eastAsia" w:ascii="宋体" w:hAnsi="宋体" w:cs="宋体"/>
          <w:b/>
          <w:bCs/>
          <w:color w:val="auto"/>
          <w:sz w:val="24"/>
          <w:szCs w:val="24"/>
          <w:highlight w:val="none"/>
        </w:rPr>
        <w:t>12.1.5暂列金额的最后确定</w:t>
      </w:r>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暂列金额是发包人为可能发生的工程量变更而预留的金额，并非支付给承包人的实际费用。暂列金额的使用应按第10条规定并确定使用。</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3919" w:name="_Toc12444"/>
      <w:bookmarkStart w:id="3920" w:name="_Toc517530884"/>
      <w:bookmarkStart w:id="3921" w:name="_Toc18532"/>
      <w:bookmarkStart w:id="3922" w:name="_Toc22129"/>
      <w:bookmarkStart w:id="3923" w:name="_Toc27898"/>
      <w:bookmarkStart w:id="3924" w:name="_Toc465237222"/>
      <w:bookmarkStart w:id="3925" w:name="_Toc13381"/>
      <w:bookmarkStart w:id="3926" w:name="_Toc18697"/>
      <w:bookmarkStart w:id="3927" w:name="_Toc17777"/>
      <w:bookmarkStart w:id="3928" w:name="_Toc8625"/>
      <w:bookmarkStart w:id="3929" w:name="_Toc465237125"/>
      <w:bookmarkStart w:id="3930" w:name="_Toc31867"/>
      <w:bookmarkStart w:id="3931" w:name="_Toc1063"/>
      <w:bookmarkStart w:id="3932" w:name="_Toc4086"/>
      <w:bookmarkStart w:id="3933" w:name="_Toc17309"/>
      <w:bookmarkStart w:id="3934" w:name="_Toc22071"/>
      <w:bookmarkStart w:id="3935" w:name="_Toc7972"/>
      <w:bookmarkStart w:id="3936" w:name="_Toc19059"/>
      <w:bookmarkStart w:id="3937" w:name="_Toc25419"/>
      <w:bookmarkStart w:id="3938" w:name="_Toc517532160"/>
      <w:bookmarkStart w:id="3939" w:name="_Toc5994"/>
      <w:bookmarkStart w:id="3940" w:name="_Toc13285"/>
      <w:bookmarkStart w:id="3941" w:name="_Toc517528714"/>
      <w:r>
        <w:rPr>
          <w:rFonts w:hint="eastAsia" w:ascii="宋体" w:hAnsi="宋体" w:cs="宋体"/>
          <w:b/>
          <w:bCs/>
          <w:color w:val="auto"/>
          <w:sz w:val="28"/>
          <w:szCs w:val="28"/>
          <w:highlight w:val="none"/>
        </w:rPr>
        <w:t>12.2工程量</w:t>
      </w:r>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942" w:name="_Toc517530885"/>
      <w:bookmarkStart w:id="3943" w:name="_Toc28954"/>
      <w:bookmarkStart w:id="3944" w:name="_Toc14408"/>
      <w:bookmarkStart w:id="3945" w:name="_Toc16545"/>
      <w:bookmarkStart w:id="3946" w:name="_Toc5660"/>
      <w:bookmarkStart w:id="3947" w:name="_Toc17655"/>
      <w:bookmarkStart w:id="3948" w:name="_Toc32275"/>
      <w:bookmarkStart w:id="3949" w:name="_Toc3825"/>
      <w:bookmarkStart w:id="3950" w:name="_Toc27771"/>
      <w:bookmarkStart w:id="3951" w:name="_Toc18755"/>
      <w:bookmarkStart w:id="3952" w:name="_Toc20886"/>
      <w:bookmarkStart w:id="3953" w:name="_Toc517532161"/>
      <w:bookmarkStart w:id="3954" w:name="_Toc23948"/>
      <w:bookmarkStart w:id="3955" w:name="_Toc20618"/>
      <w:bookmarkStart w:id="3956" w:name="_Toc26072"/>
      <w:bookmarkStart w:id="3957" w:name="_Toc22291"/>
      <w:bookmarkStart w:id="3958" w:name="_Toc32101"/>
      <w:bookmarkStart w:id="3959" w:name="_Toc7541"/>
      <w:bookmarkStart w:id="3960" w:name="_Toc5169"/>
      <w:bookmarkStart w:id="3961" w:name="_Toc19845"/>
      <w:r>
        <w:rPr>
          <w:rFonts w:hint="eastAsia" w:ascii="宋体" w:hAnsi="宋体" w:cs="宋体"/>
          <w:b/>
          <w:bCs/>
          <w:color w:val="auto"/>
          <w:sz w:val="24"/>
          <w:szCs w:val="24"/>
          <w:highlight w:val="none"/>
        </w:rPr>
        <w:t>12.2.1工程量清单</w:t>
      </w:r>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工程量清单中开列的工程量是根据本工程的设计提供的预计工程量，其不能作为承包人在履行合同义务过程中应予完成工程的实际和准确的工程量。</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962" w:name="_Toc29425"/>
      <w:bookmarkStart w:id="3963" w:name="_Toc15871"/>
      <w:bookmarkStart w:id="3964" w:name="_Toc2589"/>
      <w:bookmarkStart w:id="3965" w:name="_Toc19852"/>
      <w:bookmarkStart w:id="3966" w:name="_Toc15973"/>
      <w:bookmarkStart w:id="3967" w:name="_Toc18851"/>
      <w:bookmarkStart w:id="3968" w:name="_Toc23255"/>
      <w:bookmarkStart w:id="3969" w:name="_Toc28391"/>
      <w:bookmarkStart w:id="3970" w:name="_Toc17674"/>
      <w:bookmarkStart w:id="3971" w:name="_Toc16570"/>
      <w:bookmarkStart w:id="3972" w:name="_Toc517530886"/>
      <w:bookmarkStart w:id="3973" w:name="_Toc16502"/>
      <w:bookmarkStart w:id="3974" w:name="_Toc517532162"/>
      <w:bookmarkStart w:id="3975" w:name="_Toc15390"/>
      <w:bookmarkStart w:id="3976" w:name="_Toc7836"/>
      <w:bookmarkStart w:id="3977" w:name="_Toc16608"/>
      <w:bookmarkStart w:id="3978" w:name="_Toc10678"/>
      <w:bookmarkStart w:id="3979" w:name="_Toc7046"/>
      <w:bookmarkStart w:id="3980" w:name="_Toc17805"/>
      <w:bookmarkStart w:id="3981" w:name="_Toc13878"/>
      <w:r>
        <w:rPr>
          <w:rFonts w:hint="eastAsia" w:ascii="宋体" w:hAnsi="宋体" w:cs="宋体"/>
          <w:b/>
          <w:bCs/>
          <w:color w:val="auto"/>
          <w:sz w:val="24"/>
          <w:szCs w:val="24"/>
          <w:highlight w:val="none"/>
        </w:rPr>
        <w:t>12.2.2工程量清单的复核</w:t>
      </w:r>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合同签订之后</w:t>
      </w:r>
      <w:r>
        <w:rPr>
          <w:rFonts w:hint="eastAsia" w:ascii="宋体" w:hAnsi="宋体" w:cs="宋体"/>
          <w:color w:val="auto"/>
          <w:szCs w:val="21"/>
          <w:highlight w:val="none"/>
          <w:u w:val="single"/>
        </w:rPr>
        <w:t xml:space="preserve"> 90</w:t>
      </w:r>
      <w:r>
        <w:rPr>
          <w:rFonts w:hint="eastAsia" w:ascii="宋体" w:hAnsi="宋体" w:cs="宋体"/>
          <w:color w:val="auto"/>
          <w:szCs w:val="21"/>
          <w:highlight w:val="none"/>
        </w:rPr>
        <w:t>天内，承包人对工程量清单进行复核（以施工图为复核依据），复核结果报监理人、发包人核对确认。如果承包人不在规定时间内完成复核工作，发包人有权对其记录不良行为，或同时予以当期履约评价不合格的处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3982" w:name="_Toc29067"/>
      <w:bookmarkStart w:id="3983" w:name="_Toc14695"/>
      <w:bookmarkStart w:id="3984" w:name="_Toc699"/>
      <w:bookmarkStart w:id="3985" w:name="_Toc14266"/>
      <w:bookmarkStart w:id="3986" w:name="_Toc2821"/>
      <w:bookmarkStart w:id="3987" w:name="_Toc21086"/>
      <w:bookmarkStart w:id="3988" w:name="_Toc15929"/>
      <w:bookmarkStart w:id="3989" w:name="_Toc517530887"/>
      <w:bookmarkStart w:id="3990" w:name="_Toc8218"/>
      <w:bookmarkStart w:id="3991" w:name="_Toc2496"/>
      <w:bookmarkStart w:id="3992" w:name="_Toc8291"/>
      <w:bookmarkStart w:id="3993" w:name="_Toc11965"/>
      <w:bookmarkStart w:id="3994" w:name="_Toc8526"/>
      <w:bookmarkStart w:id="3995" w:name="_Toc7641"/>
      <w:bookmarkStart w:id="3996" w:name="_Toc30458"/>
      <w:bookmarkStart w:id="3997" w:name="_Toc16297"/>
      <w:bookmarkStart w:id="3998" w:name="_Toc24393"/>
      <w:bookmarkStart w:id="3999" w:name="_Toc22265"/>
      <w:bookmarkStart w:id="4000" w:name="_Toc517532163"/>
      <w:bookmarkStart w:id="4001" w:name="_Toc16851"/>
      <w:r>
        <w:rPr>
          <w:rFonts w:hint="eastAsia" w:ascii="宋体" w:hAnsi="宋体" w:cs="宋体"/>
          <w:b/>
          <w:bCs/>
          <w:color w:val="auto"/>
          <w:sz w:val="24"/>
          <w:szCs w:val="24"/>
          <w:highlight w:val="none"/>
        </w:rPr>
        <w:t>12.2.3工程计量</w:t>
      </w:r>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另有规定外，监理人应该根据合同规定，对承包人提出的已完工程量通过计量来核实和确定其价值，而承包人则应该根据此价值按照合同有关规定得到支付。当监理人提出对工程任一部分进行计量核实时，应在合理的时间内通知承包人的项目经理，而该项目经理则应：</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(a)立即参加或派出其合格的代表前往协助监理人从事上述计量核实工程；</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(b)提供所需的一切详细资料。</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承包人不参加或未派上述代表前往，则由监理人所作的或批准的计量应认为是对工程的正确计量。为了对需要采用记录和图纸计量的永久工程进行计量，承包人应在工作过程中准备好该工程的记录和图纸，并提交给监理人，并根据监理人通知的时间与其一起审查有关记录和图纸。如果双方均同意时，则双方应在上述文件上签字。如果承包人对监理人计量核实后的确定不予同意，则承包人应在上述审查后7天之内向监理人提出书面申辩，申明承包人认为有异议的内容。监理人收到上述申辩后，应重新检查对记录和图纸的计量审核，予以确认或修改。如果承包人不出席对上述图纸和记录的审查和确认，则应认为监理人对这些记录和图纸通过计量核实后的确定是正确无误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监理人在组织工程计量时，应及时通知发包人及承包人由三方联测并现场签认。最终以评审中心或发包人指定的第三方审定为准。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002" w:name="_Toc7123"/>
      <w:bookmarkStart w:id="4003" w:name="_Toc16482"/>
      <w:bookmarkStart w:id="4004" w:name="_Toc17236"/>
      <w:bookmarkStart w:id="4005" w:name="_Toc586"/>
      <w:bookmarkStart w:id="4006" w:name="_Toc19409"/>
      <w:bookmarkStart w:id="4007" w:name="_Toc15514"/>
      <w:bookmarkStart w:id="4008" w:name="_Toc22133"/>
      <w:bookmarkStart w:id="4009" w:name="_Toc26415"/>
      <w:bookmarkStart w:id="4010" w:name="_Toc3386"/>
      <w:bookmarkStart w:id="4011" w:name="_Toc517530888"/>
      <w:bookmarkStart w:id="4012" w:name="_Toc12806"/>
      <w:bookmarkStart w:id="4013" w:name="_Toc14495"/>
      <w:bookmarkStart w:id="4014" w:name="_Toc18480"/>
      <w:bookmarkStart w:id="4015" w:name="_Toc4071"/>
      <w:bookmarkStart w:id="4016" w:name="_Toc6370"/>
      <w:bookmarkStart w:id="4017" w:name="_Toc8272"/>
      <w:bookmarkStart w:id="4018" w:name="_Toc16286"/>
      <w:bookmarkStart w:id="4019" w:name="_Toc517532164"/>
      <w:bookmarkStart w:id="4020" w:name="_Toc30344"/>
      <w:bookmarkStart w:id="4021" w:name="_Toc30684"/>
      <w:r>
        <w:rPr>
          <w:rFonts w:hint="eastAsia" w:ascii="宋体" w:hAnsi="宋体" w:cs="宋体"/>
          <w:b/>
          <w:bCs/>
          <w:color w:val="auto"/>
          <w:sz w:val="24"/>
          <w:szCs w:val="24"/>
          <w:highlight w:val="none"/>
        </w:rPr>
        <w:t>12.2.4计量方法</w:t>
      </w:r>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工程的计量应以工程量清单投标报价规定中计量方法为原则，以净值为准，除非合同另有规定。</w:t>
      </w:r>
    </w:p>
    <w:bookmarkEnd w:id="3792"/>
    <w:bookmarkEnd w:id="3793"/>
    <w:bookmarkEnd w:id="3794"/>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022" w:name="_Toc296503101"/>
      <w:bookmarkStart w:id="4023" w:name="_Toc296346602"/>
      <w:bookmarkStart w:id="4024" w:name="_Toc351203584"/>
      <w:bookmarkStart w:id="4025" w:name="_Toc9128"/>
      <w:bookmarkStart w:id="4026" w:name="_Toc517532165"/>
      <w:bookmarkStart w:id="4027" w:name="_Toc31443"/>
      <w:bookmarkStart w:id="4028" w:name="_Toc23479"/>
      <w:bookmarkStart w:id="4029" w:name="_Toc517530889"/>
      <w:bookmarkStart w:id="4030" w:name="_Toc3569"/>
      <w:bookmarkStart w:id="4031" w:name="_Toc15557"/>
      <w:bookmarkStart w:id="4032" w:name="_Toc31999"/>
      <w:bookmarkStart w:id="4033" w:name="_Toc15270"/>
      <w:bookmarkStart w:id="4034" w:name="_Toc465237126"/>
      <w:bookmarkStart w:id="4035" w:name="_Toc20203"/>
      <w:bookmarkStart w:id="4036" w:name="_Toc27134"/>
      <w:bookmarkStart w:id="4037" w:name="_Toc19212"/>
      <w:bookmarkStart w:id="4038" w:name="_Toc25262"/>
      <w:bookmarkStart w:id="4039" w:name="_Toc11018"/>
      <w:bookmarkStart w:id="4040" w:name="_Toc9541"/>
      <w:bookmarkStart w:id="4041" w:name="_Toc15556"/>
      <w:bookmarkStart w:id="4042" w:name="_Toc6034"/>
      <w:bookmarkStart w:id="4043" w:name="_Toc15810"/>
      <w:bookmarkStart w:id="4044" w:name="_Toc6906"/>
      <w:bookmarkStart w:id="4045" w:name="_Toc517528715"/>
      <w:bookmarkStart w:id="4046" w:name="_Toc31539"/>
      <w:bookmarkStart w:id="4047" w:name="_Toc465237223"/>
      <w:bookmarkStart w:id="4048" w:name="_Toc337558803"/>
      <w:r>
        <w:rPr>
          <w:rFonts w:hint="eastAsia" w:ascii="宋体" w:hAnsi="宋体" w:cs="宋体"/>
          <w:b/>
          <w:bCs/>
          <w:color w:val="auto"/>
          <w:sz w:val="28"/>
          <w:szCs w:val="28"/>
          <w:highlight w:val="none"/>
        </w:rPr>
        <w:t>12.3工程款</w:t>
      </w:r>
      <w:bookmarkEnd w:id="4022"/>
      <w:bookmarkEnd w:id="4023"/>
      <w:bookmarkEnd w:id="4024"/>
      <w:r>
        <w:rPr>
          <w:rFonts w:hint="eastAsia" w:ascii="宋体" w:hAnsi="宋体" w:cs="宋体"/>
          <w:b/>
          <w:bCs/>
          <w:color w:val="auto"/>
          <w:sz w:val="28"/>
          <w:szCs w:val="28"/>
          <w:highlight w:val="none"/>
        </w:rPr>
        <w:t>的支付</w:t>
      </w:r>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p>
    <w:bookmarkEnd w:id="4048"/>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049" w:name="_Toc15258"/>
      <w:bookmarkStart w:id="4050" w:name="_Toc31888"/>
      <w:bookmarkStart w:id="4051" w:name="_Toc517532166"/>
      <w:bookmarkStart w:id="4052" w:name="_Toc25596"/>
      <w:bookmarkStart w:id="4053" w:name="_Toc10363"/>
      <w:bookmarkStart w:id="4054" w:name="_Toc4662"/>
      <w:bookmarkStart w:id="4055" w:name="_Toc8793"/>
      <w:bookmarkStart w:id="4056" w:name="_Toc25185"/>
      <w:bookmarkStart w:id="4057" w:name="_Toc29518"/>
      <w:bookmarkStart w:id="4058" w:name="_Toc29824"/>
      <w:bookmarkStart w:id="4059" w:name="_Toc24499"/>
      <w:bookmarkStart w:id="4060" w:name="_Toc30943"/>
      <w:bookmarkStart w:id="4061" w:name="_Toc11436"/>
      <w:bookmarkStart w:id="4062" w:name="_Toc15118"/>
      <w:bookmarkStart w:id="4063" w:name="_Toc15504"/>
      <w:bookmarkStart w:id="4064" w:name="_Toc21334"/>
      <w:bookmarkStart w:id="4065" w:name="_Toc11164"/>
      <w:bookmarkStart w:id="4066" w:name="_Toc517530890"/>
      <w:bookmarkStart w:id="4067" w:name="_Toc29577"/>
      <w:bookmarkStart w:id="4068" w:name="_Toc22014"/>
      <w:r>
        <w:rPr>
          <w:rFonts w:hint="eastAsia" w:ascii="宋体" w:hAnsi="宋体" w:cs="宋体"/>
          <w:b/>
          <w:bCs/>
          <w:color w:val="auto"/>
          <w:sz w:val="24"/>
          <w:szCs w:val="24"/>
          <w:highlight w:val="none"/>
        </w:rPr>
        <w:t>12.3.1合同用款计划的提交</w:t>
      </w:r>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承包人在收到中标通知书之日后，应随工程进度计划一起向监理人提交</w:t>
      </w:r>
      <w:r>
        <w:rPr>
          <w:rFonts w:hint="eastAsia" w:ascii="宋体" w:hAnsi="宋体" w:cs="宋体"/>
          <w:color w:val="auto"/>
          <w:szCs w:val="21"/>
          <w:highlight w:val="none"/>
          <w:u w:val="single"/>
        </w:rPr>
        <w:t>3</w:t>
      </w:r>
      <w:r>
        <w:rPr>
          <w:rFonts w:hint="eastAsia" w:ascii="宋体" w:hAnsi="宋体" w:cs="宋体"/>
          <w:color w:val="auto"/>
          <w:szCs w:val="21"/>
          <w:highlight w:val="none"/>
        </w:rPr>
        <w:t>份详细的月度合同用款计划，以备监理人查阅。如果监理人提出要求，承包人还应按月度提交修订的合同用款计划。</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承包人向监理人提交合同用款计划，并取得监理人的同意，不能因此而解除承包人根据合同规定应负的任何责任或义务。</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069" w:name="_Toc23141"/>
      <w:bookmarkStart w:id="4070" w:name="_Toc3393"/>
      <w:bookmarkStart w:id="4071" w:name="_Toc10002"/>
      <w:bookmarkStart w:id="4072" w:name="_Toc30615"/>
      <w:bookmarkStart w:id="4073" w:name="_Toc3705"/>
      <w:bookmarkStart w:id="4074" w:name="_Toc517530891"/>
      <w:bookmarkStart w:id="4075" w:name="_Toc27494"/>
      <w:bookmarkStart w:id="4076" w:name="_Toc22758"/>
      <w:bookmarkStart w:id="4077" w:name="_Toc22031"/>
      <w:bookmarkStart w:id="4078" w:name="_Toc18093"/>
      <w:bookmarkStart w:id="4079" w:name="_Toc11687"/>
      <w:bookmarkStart w:id="4080" w:name="_Toc5241"/>
      <w:bookmarkStart w:id="4081" w:name="_Toc24782"/>
      <w:bookmarkStart w:id="4082" w:name="_Toc17012"/>
      <w:bookmarkStart w:id="4083" w:name="_Toc25037"/>
      <w:bookmarkStart w:id="4084" w:name="_Toc13436"/>
      <w:bookmarkStart w:id="4085" w:name="_Toc7830"/>
      <w:bookmarkStart w:id="4086" w:name="_Toc517532167"/>
      <w:bookmarkStart w:id="4087" w:name="_Toc3496"/>
      <w:bookmarkStart w:id="4088" w:name="_Toc12608"/>
      <w:r>
        <w:rPr>
          <w:rFonts w:hint="eastAsia" w:ascii="宋体" w:hAnsi="宋体" w:cs="宋体"/>
          <w:b/>
          <w:bCs/>
          <w:color w:val="auto"/>
          <w:sz w:val="24"/>
          <w:szCs w:val="24"/>
          <w:highlight w:val="none"/>
        </w:rPr>
        <w:t>12.3.2月结账单</w:t>
      </w:r>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承包人应在每月末向监理人提交由其项目经理签署的、按监理人批准格式填写的月结账单一式6份，报监理人，该结账单包括以下栏目，承包人应逐项填写清楚（以下当期计价金额按实际完成的90%计算）：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(a)自开工截至本月末止已完成的工程价款；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(b)自开工截止上月末已完成的（已实际结算的）工程价款；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(c)本月完成的（应结算的）工程价款，即(a)-(b)；</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(d)本月完成的（应结算的）计日工价款；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(e)本月应支付的专业工程暂估价价款；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(f)本月应支付的（按第12.3.6条）已进场将用于和安装在永久工程中的材料、设备预付款；</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(g)根据合同规定，本月应结算的其他款项；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(h)费用和法规的变更发生的款项（按第12.1条规定办理）；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(i)本月应扣留的保留金和扣回的材料、设备预付款及开工预付款（分别按15.6、12.3.4、12.3.6条规定办理）；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(j)本月应扣除的拖期损失赔偿金（按第7.6.6条规定办理）；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(k)根据合同规定，本月应扣除的其他款项。</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089" w:name="_Toc14385"/>
      <w:bookmarkStart w:id="4090" w:name="_Toc17717"/>
      <w:bookmarkStart w:id="4091" w:name="_Toc2428"/>
      <w:bookmarkStart w:id="4092" w:name="_Toc28694"/>
      <w:bookmarkStart w:id="4093" w:name="_Toc13011"/>
      <w:bookmarkStart w:id="4094" w:name="_Toc517532168"/>
      <w:bookmarkStart w:id="4095" w:name="_Toc15917"/>
      <w:bookmarkStart w:id="4096" w:name="_Toc21639"/>
      <w:bookmarkStart w:id="4097" w:name="_Toc1771"/>
      <w:bookmarkStart w:id="4098" w:name="_Toc23296"/>
      <w:bookmarkStart w:id="4099" w:name="_Toc4432"/>
      <w:bookmarkStart w:id="4100" w:name="_Toc517530892"/>
      <w:bookmarkStart w:id="4101" w:name="_Toc24826"/>
      <w:bookmarkStart w:id="4102" w:name="_Toc27761"/>
      <w:bookmarkStart w:id="4103" w:name="_Toc17806"/>
      <w:bookmarkStart w:id="4104" w:name="_Toc27849"/>
      <w:bookmarkStart w:id="4105" w:name="_Toc11736"/>
      <w:bookmarkStart w:id="4106" w:name="_Toc12939"/>
      <w:bookmarkStart w:id="4107" w:name="_Toc22472"/>
      <w:bookmarkStart w:id="4108" w:name="_Toc5324"/>
      <w:r>
        <w:rPr>
          <w:rFonts w:hint="eastAsia" w:ascii="宋体" w:hAnsi="宋体" w:cs="宋体"/>
          <w:b/>
          <w:bCs/>
          <w:color w:val="auto"/>
          <w:sz w:val="24"/>
          <w:szCs w:val="24"/>
          <w:highlight w:val="none"/>
        </w:rPr>
        <w:t>12.3.3月支付</w:t>
      </w:r>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p>
    <w:p>
      <w:pPr>
        <w:tabs>
          <w:tab w:val="left" w:pos="1260"/>
        </w:tabs>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监理人在收到上述结账单后</w:t>
      </w:r>
      <w:r>
        <w:rPr>
          <w:rFonts w:hint="eastAsia" w:ascii="宋体" w:hAnsi="宋体" w:cs="宋体"/>
          <w:color w:val="auto"/>
          <w:szCs w:val="21"/>
          <w:highlight w:val="none"/>
          <w:u w:val="single"/>
        </w:rPr>
        <w:t>14</w:t>
      </w:r>
      <w:r>
        <w:rPr>
          <w:rFonts w:hint="eastAsia" w:ascii="宋体" w:hAnsi="宋体" w:cs="宋体"/>
          <w:color w:val="auto"/>
          <w:szCs w:val="21"/>
          <w:highlight w:val="none"/>
        </w:rPr>
        <w:t>天内应签发期中支付证书，签发时应写明应该到期结算的价款及需要扣留和扣回的款额并报发包人审批，如果该月应结算的价款经扣留和扣回后的款额少于投标书附件中列明的期中支付证书的最低金额，则该月监理人可不核证支付，上述款额将按月结转，直至累计应支付的款额达到投标附件中列明的期中支付证书的最低金额为止。</w:t>
      </w:r>
      <w:r>
        <w:rPr>
          <w:rFonts w:hint="eastAsia" w:ascii="宋体" w:hAnsi="宋体" w:cs="宋体"/>
          <w:color w:val="auto"/>
          <w:szCs w:val="21"/>
          <w:highlight w:val="none"/>
          <w:u w:val="single"/>
        </w:rPr>
        <w:t>累计月支付金额达到合同价(不含暂列金额和奖励金）85%时暂停支付。工程竣工验收后，且承包人按照合同要求提供竣工结算资料后，付至合同价(不含暂列金额和奖励金）的90%。工程竣工结算后，支付到审定工程结算总额的97%，留下3%的保修金。</w:t>
      </w:r>
    </w:p>
    <w:p>
      <w:pPr>
        <w:adjustRightInd w:val="0"/>
        <w:snapToGrid w:val="0"/>
        <w:spacing w:line="360" w:lineRule="auto"/>
        <w:ind w:firstLine="428" w:firstLineChars="200"/>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合同价格为10万元以上的项目，其月支付款数额以万元为最后一位，其尾数金额向下一个累计，小数点后保留两位数字如15.00万元；</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合同价格为10万元以下的项目，其月支付款数额以千元为最后一位，其尾数金额向下一个累计，小数点后保留两位数字如5.50万元。</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109" w:name="_Toc517530893"/>
      <w:bookmarkStart w:id="4110" w:name="_Toc32086"/>
      <w:bookmarkStart w:id="4111" w:name="_Toc22422"/>
      <w:bookmarkStart w:id="4112" w:name="_Toc46"/>
      <w:bookmarkStart w:id="4113" w:name="_Toc7064"/>
      <w:bookmarkStart w:id="4114" w:name="_Toc2865"/>
      <w:bookmarkStart w:id="4115" w:name="_Toc18867"/>
      <w:bookmarkStart w:id="4116" w:name="_Toc32313"/>
      <w:bookmarkStart w:id="4117" w:name="_Toc5758"/>
      <w:bookmarkStart w:id="4118" w:name="_Toc15053"/>
      <w:bookmarkStart w:id="4119" w:name="_Toc1436"/>
      <w:bookmarkStart w:id="4120" w:name="_Toc517532169"/>
      <w:bookmarkStart w:id="4121" w:name="_Toc20392"/>
      <w:bookmarkStart w:id="4122" w:name="_Toc31368"/>
      <w:bookmarkStart w:id="4123" w:name="_Toc26647"/>
      <w:bookmarkStart w:id="4124" w:name="_Toc7595"/>
      <w:bookmarkStart w:id="4125" w:name="_Toc12989"/>
      <w:bookmarkStart w:id="4126" w:name="_Toc15836"/>
      <w:bookmarkStart w:id="4127" w:name="_Toc16084"/>
      <w:bookmarkStart w:id="4128" w:name="_Toc25607"/>
      <w:r>
        <w:rPr>
          <w:rFonts w:hint="eastAsia" w:ascii="宋体" w:hAnsi="宋体" w:cs="宋体"/>
          <w:b/>
          <w:bCs/>
          <w:color w:val="auto"/>
          <w:sz w:val="24"/>
          <w:szCs w:val="24"/>
          <w:highlight w:val="none"/>
        </w:rPr>
        <w:t>12.3.4开工预付款的支付</w:t>
      </w:r>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在承包人完成以下工作后14天内，监理人应按投标书附件中规定的金额签发开工预付款支付证书，并报发包人审批，通知承包人：</w:t>
      </w:r>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(a)提交了履约担保并签订了合同协议书；</w:t>
      </w:r>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(b)提交了开工预付款担保。</w:t>
      </w:r>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发包人应在该支付证书收到后14天内核批，并支付给承包人。开工预付款迟延支付或扣回，发包人与承包人双方互不支付资金利息。</w:t>
      </w:r>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开工预付款的担保金额应等于开工预付款额，提供这种担保的银行须经发包人同意，银行保函的正本由发包人保存，该保函在发包人将开工预付款全部扣回之前一直有效并可执行，如果保函条款中规定了期满日期，而在期满日期前28天预付款未还清时，承包人应将保函有效期延至预付款还清为止。上述的担保金额将随开工预付款的逐次扣回而减少。执行本款所需费用由承包人承担。开工预付款在期中支付证书的累计金额未达到合同价格的35%（不含预付款）之前不予扣回，在达到合同价格35%之后，开始按工程进度以固定比例（即每完成合同价格的1%，扣回开工预付款的2%）分期从各月的期中支付证书中扣回，全部金额在期中支付证书的累计金额达到合同价格的85%时扣完。</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129" w:name="_Toc7298"/>
      <w:bookmarkStart w:id="4130" w:name="_Toc2396"/>
      <w:bookmarkStart w:id="4131" w:name="_Toc12426"/>
      <w:bookmarkStart w:id="4132" w:name="_Toc22893"/>
      <w:bookmarkStart w:id="4133" w:name="_Toc12762"/>
      <w:bookmarkStart w:id="4134" w:name="_Toc32606"/>
      <w:bookmarkStart w:id="4135" w:name="_Toc6166"/>
      <w:bookmarkStart w:id="4136" w:name="_Toc517532170"/>
      <w:bookmarkStart w:id="4137" w:name="_Toc17448"/>
      <w:bookmarkStart w:id="4138" w:name="_Toc19775"/>
      <w:bookmarkStart w:id="4139" w:name="_Toc25004"/>
      <w:bookmarkStart w:id="4140" w:name="_Toc517530894"/>
      <w:bookmarkStart w:id="4141" w:name="_Toc9958"/>
      <w:bookmarkStart w:id="4142" w:name="_Toc23390"/>
      <w:bookmarkStart w:id="4143" w:name="_Toc30754"/>
      <w:bookmarkStart w:id="4144" w:name="_Toc350"/>
      <w:bookmarkStart w:id="4145" w:name="_Toc27024"/>
      <w:bookmarkStart w:id="4146" w:name="_Toc21370"/>
      <w:bookmarkStart w:id="4147" w:name="_Toc31556"/>
      <w:bookmarkStart w:id="4148" w:name="_Toc13067"/>
      <w:r>
        <w:rPr>
          <w:rFonts w:hint="eastAsia" w:ascii="宋体" w:hAnsi="宋体" w:cs="宋体"/>
          <w:b/>
          <w:bCs/>
          <w:color w:val="auto"/>
          <w:sz w:val="24"/>
          <w:szCs w:val="24"/>
          <w:highlight w:val="none"/>
        </w:rPr>
        <w:t>12.3.5安全文明施工措施费分阶段支付</w:t>
      </w:r>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（a）安全文明措施费的专款专用</w:t>
      </w:r>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1)承包人应确保施工现场安全文明措施费专款专用，在财务管理中单独列出安全文明措施项目费用清单及金额备查，并设立单独的安全文明措施费银行账户，接受发包人的监管。</w:t>
      </w:r>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2)承包人应当按照分包合同约定及时向分包人支付施工现场安全文明措施费。承包人不按约定支付费用，造成分包人不能及时落实安全防护措施导致发生事故的，由承包人负主要责任。</w:t>
      </w:r>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（b）安全文明施工措施费分阶段支付</w:t>
      </w:r>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详见下表：</w:t>
      </w:r>
    </w:p>
    <w:tbl>
      <w:tblPr>
        <w:tblStyle w:val="15"/>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172"/>
        <w:gridCol w:w="3883"/>
        <w:gridCol w:w="18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2172" w:type="dxa"/>
            <w:noWrap w:val="0"/>
            <w:vAlign w:val="center"/>
          </w:tcPr>
          <w:p>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工程类别</w:t>
            </w: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施工阶段</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支付比例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restart"/>
            <w:noWrap w:val="0"/>
            <w:vAlign w:val="center"/>
          </w:tcPr>
          <w:p>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房建工程</w:t>
            </w: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安全措施验收合格</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noWrap w:val="0"/>
            <w:vAlign w:val="center"/>
          </w:tcPr>
          <w:p>
            <w:pPr>
              <w:spacing w:line="360" w:lineRule="auto"/>
              <w:ind w:firstLine="420" w:firstLineChars="200"/>
              <w:jc w:val="center"/>
              <w:rPr>
                <w:rFonts w:hint="eastAsia" w:ascii="宋体" w:hAnsi="宋体" w:cs="宋体"/>
                <w:color w:val="auto"/>
                <w:szCs w:val="21"/>
                <w:highlight w:val="none"/>
              </w:rPr>
            </w:pP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结构封顶(检查合格)</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noWrap w:val="0"/>
            <w:vAlign w:val="center"/>
          </w:tcPr>
          <w:p>
            <w:pPr>
              <w:spacing w:line="360" w:lineRule="auto"/>
              <w:ind w:firstLine="420" w:firstLineChars="200"/>
              <w:jc w:val="center"/>
              <w:rPr>
                <w:rFonts w:hint="eastAsia" w:ascii="宋体" w:hAnsi="宋体" w:cs="宋体"/>
                <w:color w:val="auto"/>
                <w:szCs w:val="21"/>
                <w:highlight w:val="none"/>
              </w:rPr>
            </w:pP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装饰施工完成30%(检查合格)</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noWrap w:val="0"/>
            <w:vAlign w:val="center"/>
          </w:tcPr>
          <w:p>
            <w:pPr>
              <w:spacing w:line="360" w:lineRule="auto"/>
              <w:ind w:firstLine="420" w:firstLineChars="200"/>
              <w:jc w:val="center"/>
              <w:rPr>
                <w:rFonts w:hint="eastAsia" w:ascii="宋体" w:hAnsi="宋体" w:cs="宋体"/>
                <w:color w:val="auto"/>
                <w:szCs w:val="21"/>
                <w:highlight w:val="none"/>
              </w:rPr>
            </w:pP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竣工验收合格</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restart"/>
            <w:noWrap w:val="0"/>
            <w:vAlign w:val="center"/>
          </w:tcPr>
          <w:p>
            <w:pPr>
              <w:spacing w:line="360" w:lineRule="auto"/>
              <w:jc w:val="center"/>
              <w:rPr>
                <w:rFonts w:hint="eastAsia" w:ascii="宋体" w:hAnsi="宋体" w:cs="宋体"/>
                <w:b/>
                <w:color w:val="auto"/>
                <w:kern w:val="0"/>
                <w:szCs w:val="21"/>
                <w:highlight w:val="none"/>
              </w:rPr>
            </w:pPr>
            <w:r>
              <w:rPr>
                <w:rFonts w:hint="eastAsia" w:ascii="宋体" w:hAnsi="宋体" w:cs="宋体"/>
                <w:color w:val="auto"/>
                <w:kern w:val="0"/>
                <w:szCs w:val="21"/>
                <w:highlight w:val="none"/>
              </w:rPr>
              <w:t>市政工程及绿化工程</w:t>
            </w:r>
          </w:p>
        </w:tc>
        <w:tc>
          <w:tcPr>
            <w:tcW w:w="3883" w:type="dxa"/>
            <w:noWrap w:val="0"/>
            <w:vAlign w:val="center"/>
          </w:tcPr>
          <w:p>
            <w:pPr>
              <w:spacing w:line="360" w:lineRule="auto"/>
              <w:ind w:firstLine="420" w:firstLineChars="200"/>
              <w:jc w:val="center"/>
              <w:rPr>
                <w:rFonts w:hint="eastAsia" w:ascii="宋体" w:hAnsi="宋体" w:cs="宋体"/>
                <w:b/>
                <w:color w:val="auto"/>
                <w:kern w:val="0"/>
                <w:szCs w:val="21"/>
                <w:highlight w:val="none"/>
              </w:rPr>
            </w:pPr>
            <w:r>
              <w:rPr>
                <w:rFonts w:hint="eastAsia" w:ascii="宋体" w:hAnsi="宋体" w:cs="宋体"/>
                <w:color w:val="auto"/>
                <w:kern w:val="0"/>
                <w:szCs w:val="21"/>
                <w:highlight w:val="none"/>
              </w:rPr>
              <w:t>开工后28天内</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noWrap w:val="0"/>
            <w:vAlign w:val="center"/>
          </w:tcPr>
          <w:p>
            <w:pPr>
              <w:spacing w:line="360" w:lineRule="auto"/>
              <w:ind w:firstLine="420" w:firstLineChars="200"/>
              <w:jc w:val="center"/>
              <w:rPr>
                <w:rFonts w:hint="eastAsia" w:ascii="宋体" w:hAnsi="宋体" w:cs="宋体"/>
                <w:color w:val="auto"/>
                <w:kern w:val="0"/>
                <w:szCs w:val="21"/>
                <w:highlight w:val="none"/>
              </w:rPr>
            </w:pP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完成工程量的40%(检查合格)</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noWrap w:val="0"/>
            <w:vAlign w:val="center"/>
          </w:tcPr>
          <w:p>
            <w:pPr>
              <w:spacing w:line="360" w:lineRule="auto"/>
              <w:ind w:firstLine="420" w:firstLineChars="200"/>
              <w:jc w:val="center"/>
              <w:rPr>
                <w:rFonts w:hint="eastAsia" w:ascii="宋体" w:hAnsi="宋体" w:cs="宋体"/>
                <w:color w:val="auto"/>
                <w:kern w:val="0"/>
                <w:szCs w:val="21"/>
                <w:highlight w:val="none"/>
              </w:rPr>
            </w:pP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完成工程量的70%(检查合格)</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noWrap w:val="0"/>
            <w:vAlign w:val="center"/>
          </w:tcPr>
          <w:p>
            <w:pPr>
              <w:spacing w:line="360" w:lineRule="auto"/>
              <w:ind w:firstLine="420" w:firstLineChars="200"/>
              <w:jc w:val="center"/>
              <w:rPr>
                <w:rFonts w:hint="eastAsia" w:ascii="宋体" w:hAnsi="宋体" w:cs="宋体"/>
                <w:color w:val="auto"/>
                <w:kern w:val="0"/>
                <w:szCs w:val="21"/>
                <w:highlight w:val="none"/>
              </w:rPr>
            </w:pP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竣工评价合格</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restart"/>
            <w:noWrap w:val="0"/>
            <w:vAlign w:val="center"/>
          </w:tcPr>
          <w:p>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单独发包的其他工程</w:t>
            </w:r>
          </w:p>
          <w:p>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(如安装、装饰等)</w:t>
            </w: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开工后28天内</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noWrap w:val="0"/>
            <w:vAlign w:val="center"/>
          </w:tcPr>
          <w:p>
            <w:pPr>
              <w:spacing w:line="360" w:lineRule="auto"/>
              <w:ind w:firstLine="420" w:firstLineChars="200"/>
              <w:jc w:val="center"/>
              <w:rPr>
                <w:rFonts w:hint="eastAsia" w:ascii="宋体" w:hAnsi="宋体" w:cs="宋体"/>
                <w:color w:val="auto"/>
                <w:szCs w:val="21"/>
                <w:highlight w:val="none"/>
              </w:rPr>
            </w:pP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完成工程量的40%(检查合格)</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cantSplit/>
          <w:tblCellSpacing w:w="0" w:type="dxa"/>
          <w:jc w:val="center"/>
        </w:trPr>
        <w:tc>
          <w:tcPr>
            <w:tcW w:w="2172" w:type="dxa"/>
            <w:vMerge w:val="continue"/>
            <w:noWrap w:val="0"/>
            <w:vAlign w:val="center"/>
          </w:tcPr>
          <w:p>
            <w:pPr>
              <w:spacing w:line="360" w:lineRule="auto"/>
              <w:ind w:firstLine="420" w:firstLineChars="200"/>
              <w:jc w:val="center"/>
              <w:rPr>
                <w:rFonts w:hint="eastAsia" w:ascii="宋体" w:hAnsi="宋体" w:cs="宋体"/>
                <w:color w:val="auto"/>
                <w:szCs w:val="21"/>
                <w:highlight w:val="none"/>
              </w:rPr>
            </w:pPr>
          </w:p>
        </w:tc>
        <w:tc>
          <w:tcPr>
            <w:tcW w:w="3883"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竣工评价合格</w:t>
            </w:r>
          </w:p>
        </w:tc>
        <w:tc>
          <w:tcPr>
            <w:tcW w:w="1826" w:type="dxa"/>
            <w:noWrap w:val="0"/>
            <w:vAlign w:val="center"/>
          </w:tcPr>
          <w:p>
            <w:pPr>
              <w:spacing w:line="360" w:lineRule="auto"/>
              <w:ind w:firstLine="420" w:firstLineChars="20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25%</w:t>
            </w:r>
          </w:p>
        </w:tc>
      </w:tr>
    </w:tbl>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149" w:name="_Toc26038"/>
      <w:bookmarkStart w:id="4150" w:name="_Toc31625"/>
      <w:bookmarkStart w:id="4151" w:name="_Toc16017"/>
      <w:bookmarkStart w:id="4152" w:name="_Toc3663"/>
      <w:bookmarkStart w:id="4153" w:name="_Toc14054"/>
      <w:bookmarkStart w:id="4154" w:name="_Toc11501"/>
      <w:bookmarkStart w:id="4155" w:name="_Toc7853"/>
      <w:bookmarkStart w:id="4156" w:name="_Toc28833"/>
      <w:bookmarkStart w:id="4157" w:name="_Toc21949"/>
      <w:bookmarkStart w:id="4158" w:name="_Toc715"/>
      <w:bookmarkStart w:id="4159" w:name="_Toc517532171"/>
      <w:bookmarkStart w:id="4160" w:name="_Toc3472"/>
      <w:bookmarkStart w:id="4161" w:name="_Toc4257"/>
      <w:bookmarkStart w:id="4162" w:name="_Toc3235"/>
      <w:bookmarkStart w:id="4163" w:name="_Toc2031"/>
      <w:bookmarkStart w:id="4164" w:name="_Toc21766"/>
      <w:bookmarkStart w:id="4165" w:name="_Toc29825"/>
      <w:bookmarkStart w:id="4166" w:name="_Toc16883"/>
      <w:bookmarkStart w:id="4167" w:name="_Toc5321"/>
      <w:bookmarkStart w:id="4168" w:name="_Toc517530895"/>
      <w:r>
        <w:rPr>
          <w:rFonts w:hint="eastAsia" w:ascii="宋体" w:hAnsi="宋体" w:cs="宋体"/>
          <w:b/>
          <w:bCs/>
          <w:color w:val="auto"/>
          <w:sz w:val="24"/>
          <w:szCs w:val="24"/>
          <w:highlight w:val="none"/>
        </w:rPr>
        <w:t>12.3.6材料、设备预付款的支付</w:t>
      </w:r>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p>
    <w:p>
      <w:pPr>
        <w:tabs>
          <w:tab w:val="left" w:pos="1365"/>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应给承包人支付材料、设备预付款，以供购进将用于和安装在永久工程的各种材料、设备之用。此项金额应按投标书附件中写明的材料、设备单据所列费用（进口的材料、设备为到岸价，国内采购的为出厂价或销售价，地方材料为堆场价）的百分比支付。其条件是：</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(a)材料、设备符合规范要求；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(b)承包人已出具材料、设备费用凭证或支付单据；</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(c)材料、设备已在现场交货，且存贮良好。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监理人应将此项金额作为材料、设备预付款计入下一次的期中支付证书中，但该支付不应被视为是对上述材料或设备的批准。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材料、设备已用于或安装在永久工程之中时，材料、设备预付款应从期中支付证书中逐次扣回。已经支付材料、设备预付款的材料、设备的所有权应属于发包人，工程竣工时所有剩余的材料、设备的所有权应属承包人。</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169" w:name="_Toc4997"/>
      <w:bookmarkStart w:id="4170" w:name="_Toc27151"/>
      <w:bookmarkStart w:id="4171" w:name="_Toc19828"/>
      <w:bookmarkStart w:id="4172" w:name="_Toc9569"/>
      <w:bookmarkStart w:id="4173" w:name="_Toc23287"/>
      <w:bookmarkStart w:id="4174" w:name="_Toc20408"/>
      <w:bookmarkStart w:id="4175" w:name="_Toc9846"/>
      <w:bookmarkStart w:id="4176" w:name="_Toc12824"/>
      <w:bookmarkStart w:id="4177" w:name="_Toc13750"/>
      <w:bookmarkStart w:id="4178" w:name="_Toc13897"/>
      <w:bookmarkStart w:id="4179" w:name="_Toc2913"/>
      <w:bookmarkStart w:id="4180" w:name="_Toc9382"/>
      <w:bookmarkStart w:id="4181" w:name="_Toc2442"/>
      <w:bookmarkStart w:id="4182" w:name="_Toc7137"/>
      <w:bookmarkStart w:id="4183" w:name="_Toc6353"/>
      <w:bookmarkStart w:id="4184" w:name="_Toc517530896"/>
      <w:bookmarkStart w:id="4185" w:name="_Toc517532172"/>
      <w:bookmarkStart w:id="4186" w:name="_Toc599"/>
      <w:bookmarkStart w:id="4187" w:name="_Toc16644"/>
      <w:bookmarkStart w:id="4188" w:name="_Toc4181"/>
      <w:r>
        <w:rPr>
          <w:rFonts w:hint="eastAsia" w:ascii="宋体" w:hAnsi="宋体" w:cs="宋体"/>
          <w:b/>
          <w:bCs/>
          <w:color w:val="auto"/>
          <w:sz w:val="24"/>
          <w:szCs w:val="24"/>
          <w:highlight w:val="none"/>
        </w:rPr>
        <w:t>12.3.7证书的改正</w:t>
      </w:r>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监理人可用签发期中支付的方式对其已签发的任何证书作更正或修改。如果任何正在进行的工程的完成情况未能达到合同约定的标准，监理人有权在任何一次期中支付证书中扣除或折减该工程的价值。</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189" w:name="_Toc1311"/>
      <w:bookmarkStart w:id="4190" w:name="_Toc16816"/>
      <w:bookmarkStart w:id="4191" w:name="_Toc29989"/>
      <w:bookmarkStart w:id="4192" w:name="_Toc2455"/>
      <w:bookmarkStart w:id="4193" w:name="_Toc27943"/>
      <w:bookmarkStart w:id="4194" w:name="_Toc2773"/>
      <w:bookmarkStart w:id="4195" w:name="_Toc25855"/>
      <w:bookmarkStart w:id="4196" w:name="_Toc28248"/>
      <w:bookmarkStart w:id="4197" w:name="_Toc10392"/>
      <w:bookmarkStart w:id="4198" w:name="_Toc27519"/>
      <w:bookmarkStart w:id="4199" w:name="_Toc13553"/>
      <w:bookmarkStart w:id="4200" w:name="_Toc31885"/>
      <w:bookmarkStart w:id="4201" w:name="_Toc517532173"/>
      <w:bookmarkStart w:id="4202" w:name="_Toc32585"/>
      <w:bookmarkStart w:id="4203" w:name="_Toc517530897"/>
      <w:bookmarkStart w:id="4204" w:name="_Toc28201"/>
      <w:bookmarkStart w:id="4205" w:name="_Toc2311"/>
      <w:bookmarkStart w:id="4206" w:name="_Toc29771"/>
      <w:bookmarkStart w:id="4207" w:name="_Toc27790"/>
      <w:bookmarkStart w:id="4208" w:name="_Toc14759"/>
      <w:r>
        <w:rPr>
          <w:rFonts w:hint="eastAsia" w:ascii="宋体" w:hAnsi="宋体" w:cs="宋体"/>
          <w:b/>
          <w:bCs/>
          <w:color w:val="auto"/>
          <w:sz w:val="24"/>
          <w:szCs w:val="24"/>
          <w:highlight w:val="none"/>
        </w:rPr>
        <w:t>12.3.8期中支付</w:t>
      </w:r>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监理人根据本条或合同的其他条款发出的任何期中支付证书项下，确定应付给承包人的款额，发包人应该在该期中支付证书收到后</w:t>
      </w:r>
      <w:r>
        <w:rPr>
          <w:rFonts w:hint="eastAsia" w:ascii="宋体" w:hAnsi="宋体" w:cs="宋体"/>
          <w:color w:val="auto"/>
          <w:szCs w:val="21"/>
          <w:highlight w:val="none"/>
          <w:u w:val="single"/>
        </w:rPr>
        <w:t>14</w:t>
      </w:r>
      <w:r>
        <w:rPr>
          <w:rFonts w:hint="eastAsia" w:ascii="宋体" w:hAnsi="宋体" w:cs="宋体"/>
          <w:color w:val="auto"/>
          <w:szCs w:val="21"/>
          <w:highlight w:val="none"/>
        </w:rPr>
        <w:t>天之内核批并发出支付通知，通知财政部门向承包人支付；或按第14.6规定的最后支付证书项下应付给承包人的款额，发包人应该在该最后支付证书收到后</w:t>
      </w:r>
      <w:r>
        <w:rPr>
          <w:rFonts w:hint="eastAsia" w:ascii="宋体" w:hAnsi="宋体" w:cs="宋体"/>
          <w:color w:val="auto"/>
          <w:szCs w:val="21"/>
          <w:highlight w:val="none"/>
          <w:u w:val="single"/>
        </w:rPr>
        <w:t>28</w:t>
      </w:r>
      <w:r>
        <w:rPr>
          <w:rFonts w:hint="eastAsia" w:ascii="宋体" w:hAnsi="宋体" w:cs="宋体"/>
          <w:color w:val="auto"/>
          <w:szCs w:val="21"/>
          <w:highlight w:val="none"/>
        </w:rPr>
        <w:t>天之内核批并发出支付通知，通知财政部门支付给承包人。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承包人不能因实际支付的时间因素而影响工程的正常施工。发包人将不接受因实际支付的时间因素而提出的工期索赔和费用索赔，也不另外支付利息。</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209" w:name="_Toc15008"/>
      <w:bookmarkStart w:id="4210" w:name="_Toc24960"/>
      <w:bookmarkStart w:id="4211" w:name="_Toc517532174"/>
      <w:bookmarkStart w:id="4212" w:name="_Toc20539"/>
      <w:bookmarkStart w:id="4213" w:name="_Toc4238"/>
      <w:bookmarkStart w:id="4214" w:name="_Toc18826"/>
      <w:bookmarkStart w:id="4215" w:name="_Toc3308"/>
      <w:bookmarkStart w:id="4216" w:name="_Toc9404"/>
      <w:bookmarkStart w:id="4217" w:name="_Toc26150"/>
      <w:bookmarkStart w:id="4218" w:name="_Toc18037"/>
      <w:bookmarkStart w:id="4219" w:name="_Toc25815"/>
      <w:bookmarkStart w:id="4220" w:name="_Toc30112"/>
      <w:bookmarkStart w:id="4221" w:name="_Toc10165"/>
      <w:bookmarkStart w:id="4222" w:name="_Toc517530898"/>
      <w:bookmarkStart w:id="4223" w:name="_Toc17159"/>
      <w:bookmarkStart w:id="4224" w:name="_Toc28517"/>
      <w:bookmarkStart w:id="4225" w:name="_Toc1511"/>
      <w:bookmarkStart w:id="4226" w:name="_Toc7444"/>
      <w:bookmarkStart w:id="4227" w:name="_Toc23411"/>
      <w:bookmarkStart w:id="4228" w:name="_Toc17028"/>
      <w:r>
        <w:rPr>
          <w:rFonts w:hint="eastAsia" w:ascii="宋体" w:hAnsi="宋体" w:cs="宋体"/>
          <w:b/>
          <w:bCs/>
          <w:color w:val="auto"/>
          <w:sz w:val="24"/>
          <w:szCs w:val="24"/>
          <w:highlight w:val="none"/>
        </w:rPr>
        <w:t>12.3.9解除履行合同时的付款</w:t>
      </w:r>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发出中标通知后以及在合同履行过程中，如果发生双方无法控制的情况，以致合同目的无法实现，或者根据法律的规定出现法定解除情形时，则应由发包人支付给承包人的已建工程款额，应与根据第16条终止合同时的规定向承包人应结付的款额相同。</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4229" w:name="_Toc351203586"/>
      <w:bookmarkStart w:id="4230" w:name="_Toc32094"/>
      <w:bookmarkStart w:id="4231" w:name="_Toc25827"/>
      <w:bookmarkStart w:id="4232" w:name="_Toc517530899"/>
      <w:bookmarkStart w:id="4233" w:name="_Toc465237224"/>
      <w:bookmarkStart w:id="4234" w:name="_Toc517532175"/>
      <w:bookmarkStart w:id="4235" w:name="_Toc23659"/>
      <w:bookmarkStart w:id="4236" w:name="_Toc774"/>
      <w:bookmarkStart w:id="4237" w:name="_Toc29643"/>
      <w:bookmarkStart w:id="4238" w:name="_Toc5098"/>
      <w:bookmarkStart w:id="4239" w:name="_Toc9423"/>
      <w:bookmarkStart w:id="4240" w:name="_Toc517528716"/>
      <w:bookmarkStart w:id="4241" w:name="_Toc30668"/>
      <w:bookmarkStart w:id="4242" w:name="_Toc1888"/>
      <w:bookmarkStart w:id="4243" w:name="_Toc22538"/>
      <w:bookmarkStart w:id="4244" w:name="_Toc11332"/>
      <w:bookmarkStart w:id="4245" w:name="_Toc517529746"/>
      <w:bookmarkStart w:id="4246" w:name="_Toc24510"/>
      <w:bookmarkStart w:id="4247" w:name="_Toc16362"/>
      <w:bookmarkStart w:id="4248" w:name="_Toc8253"/>
      <w:bookmarkStart w:id="4249" w:name="_Toc8371"/>
      <w:bookmarkStart w:id="4250" w:name="_Toc465237127"/>
      <w:bookmarkStart w:id="4251" w:name="_Toc28245"/>
      <w:bookmarkStart w:id="4252" w:name="_Toc22181"/>
      <w:bookmarkStart w:id="4253" w:name="_Toc10968"/>
      <w:bookmarkStart w:id="4254" w:name="_Toc296346607"/>
      <w:bookmarkStart w:id="4255" w:name="_Toc337558804"/>
      <w:bookmarkStart w:id="4256" w:name="_Toc322522574"/>
      <w:bookmarkStart w:id="4257" w:name="_Toc296503106"/>
      <w:r>
        <w:rPr>
          <w:rFonts w:hint="eastAsia" w:ascii="宋体" w:hAnsi="宋体" w:cs="宋体"/>
          <w:b/>
          <w:bCs/>
          <w:color w:val="auto"/>
          <w:sz w:val="30"/>
          <w:szCs w:val="30"/>
          <w:highlight w:val="none"/>
        </w:rPr>
        <w:t>13.</w:t>
      </w:r>
      <w:bookmarkEnd w:id="4229"/>
      <w:r>
        <w:rPr>
          <w:rFonts w:hint="eastAsia" w:ascii="宋体" w:hAnsi="宋体" w:cs="宋体"/>
          <w:b/>
          <w:bCs/>
          <w:color w:val="auto"/>
          <w:sz w:val="30"/>
          <w:szCs w:val="30"/>
          <w:highlight w:val="none"/>
        </w:rPr>
        <w:t xml:space="preserve"> 竣工验收</w:t>
      </w:r>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p>
    <w:bookmarkEnd w:id="4254"/>
    <w:bookmarkEnd w:id="4255"/>
    <w:bookmarkEnd w:id="4256"/>
    <w:bookmarkEnd w:id="4257"/>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258" w:name="_Toc29312"/>
      <w:bookmarkStart w:id="4259" w:name="_Toc9241"/>
      <w:bookmarkStart w:id="4260" w:name="_Toc4220"/>
      <w:bookmarkStart w:id="4261" w:name="_Toc14214"/>
      <w:bookmarkStart w:id="4262" w:name="_Toc18548"/>
      <w:bookmarkStart w:id="4263" w:name="_Toc7705"/>
      <w:bookmarkStart w:id="4264" w:name="_Toc23428"/>
      <w:bookmarkStart w:id="4265" w:name="_Toc12151"/>
      <w:bookmarkStart w:id="4266" w:name="_Toc13613"/>
      <w:bookmarkStart w:id="4267" w:name="_Toc22171"/>
      <w:bookmarkStart w:id="4268" w:name="_Toc15855"/>
      <w:bookmarkStart w:id="4269" w:name="_Toc7846"/>
      <w:bookmarkStart w:id="4270" w:name="_Toc29837"/>
      <w:bookmarkStart w:id="4271" w:name="_Toc21683"/>
      <w:bookmarkStart w:id="4272" w:name="_Toc9870"/>
      <w:bookmarkStart w:id="4273" w:name="_Toc517532176"/>
      <w:bookmarkStart w:id="4274" w:name="_Toc3230"/>
      <w:bookmarkStart w:id="4275" w:name="_Toc517530900"/>
      <w:bookmarkStart w:id="4276" w:name="_Toc27088"/>
      <w:bookmarkStart w:id="4277" w:name="_Toc517528717"/>
      <w:bookmarkStart w:id="4278" w:name="_Toc18324"/>
      <w:r>
        <w:rPr>
          <w:rFonts w:hint="eastAsia" w:ascii="宋体" w:hAnsi="宋体" w:cs="宋体"/>
          <w:b/>
          <w:bCs/>
          <w:color w:val="auto"/>
          <w:sz w:val="28"/>
          <w:szCs w:val="28"/>
          <w:highlight w:val="none"/>
        </w:rPr>
        <w:t>13.1交接证书</w:t>
      </w:r>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本合同工程已经实质上竣工，并合格地通过了按合同规定的各项质量检验，已按规定编制交接竣工图表资料后，承包人可向监理人提出要求竣工验收、发给交接证书的申请，并抄送发包人（如果尚有少量因受季节影响或其他原因不能施工，但并不影响工程使用的某些附属工程或剩余工作尚未全部完成时，需附有在限期内尽快完成这些未完工作的书面保证）。监理人在收到该申请后，应在</w:t>
      </w:r>
      <w:r>
        <w:rPr>
          <w:rFonts w:hint="eastAsia" w:ascii="宋体" w:hAnsi="宋体" w:cs="宋体"/>
          <w:color w:val="auto"/>
          <w:szCs w:val="21"/>
          <w:highlight w:val="none"/>
          <w:u w:val="single"/>
        </w:rPr>
        <w:t>14</w:t>
      </w:r>
      <w:r>
        <w:rPr>
          <w:rFonts w:hint="eastAsia" w:ascii="宋体" w:hAnsi="宋体" w:cs="宋体"/>
          <w:color w:val="auto"/>
          <w:szCs w:val="21"/>
          <w:highlight w:val="none"/>
        </w:rPr>
        <w:t>天内审核并报发包人，发包人在收到该申请后的</w:t>
      </w:r>
      <w:r>
        <w:rPr>
          <w:rFonts w:hint="eastAsia" w:ascii="宋体" w:hAnsi="宋体" w:cs="宋体"/>
          <w:color w:val="auto"/>
          <w:szCs w:val="21"/>
          <w:highlight w:val="none"/>
          <w:u w:val="single"/>
        </w:rPr>
        <w:t>21</w:t>
      </w:r>
      <w:r>
        <w:rPr>
          <w:rFonts w:hint="eastAsia" w:ascii="宋体" w:hAnsi="宋体" w:cs="宋体"/>
          <w:color w:val="auto"/>
          <w:szCs w:val="21"/>
          <w:highlight w:val="none"/>
        </w:rPr>
        <w:t>天内应组织竣工验收。竣工验收由发包人主持，并成立竣工验收委员会，按国家有关工程竣工验收的办法组织竣工验收工作。</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发包人未能在上述规定的时间内组织竣工验收，则发包人应从规定期限最后一天的次日起承担延期验收的工程照管和养护费用，监理人在与承包人和发包人协商后，应确定将此费用款额加到合同价格上，并通知承包人，抄送发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经竣工验收认为工程质量合格，发包人应在验收工作完毕后14天内向承包人签发交接证书。证书中写明按合同规定本合同工程的竣工日期（即承包人提出申请竣工验收的日期），同时办理合同工程的移交管养工作。交接证书签发并移交管养后，承包人即不再负责对本工程的照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如果发给交接证书的工程不能立即移交管养时，承包人仍应继续负责工程照管和养护，监理人在与承包人和发包人协商后应确定加到合同价格上的此项费用款额，通知承包人，抄送发包人。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经竣工验收认为工程质量虽合格，同意验收，但某些工程尚需整修、补修，则应缓发交接证书，限期修好，待整修、补修工作完成，经监理人复查认为达到质量要求后，再发给交接证书，证书上写明的竣工日期仍应为承包人提出申请竣工验收的日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经竣工验收认为工程质量达不到合格标准，则监理人应根据竣工验收小组的意见，在验收工作完毕后7天内向承包人发出不予验收的指令，要求承包人对不合格工程认真返工重做或补救处理。承包人在完成上述不合格工程的修复工作后，应重新提出竣工验收的申请，经竣工验收小组复验认为达到合格标准后才发给交接证书。证书中写明的竣工日期应为承包人重新提出申请竣工验收的日期。计算实际工期时应减去承包人第一次提出申请竣工验收至监理人发出不予验收的指令的时间。</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279" w:name="_Toc8334"/>
      <w:bookmarkStart w:id="4280" w:name="_Toc488"/>
      <w:bookmarkStart w:id="4281" w:name="_Toc13524"/>
      <w:bookmarkStart w:id="4282" w:name="_Toc13464"/>
      <w:bookmarkStart w:id="4283" w:name="_Toc25936"/>
      <w:bookmarkStart w:id="4284" w:name="_Toc6478"/>
      <w:bookmarkStart w:id="4285" w:name="_Toc21761"/>
      <w:bookmarkStart w:id="4286" w:name="_Toc18788"/>
      <w:bookmarkStart w:id="4287" w:name="_Toc5719"/>
      <w:bookmarkStart w:id="4288" w:name="_Toc16750"/>
      <w:bookmarkStart w:id="4289" w:name="_Toc517528718"/>
      <w:bookmarkStart w:id="4290" w:name="_Toc23184"/>
      <w:bookmarkStart w:id="4291" w:name="_Toc22130"/>
      <w:bookmarkStart w:id="4292" w:name="_Toc22769"/>
      <w:bookmarkStart w:id="4293" w:name="_Toc23788"/>
      <w:bookmarkStart w:id="4294" w:name="_Toc29436"/>
      <w:bookmarkStart w:id="4295" w:name="_Toc517532177"/>
      <w:bookmarkStart w:id="4296" w:name="_Toc25087"/>
      <w:bookmarkStart w:id="4297" w:name="_Toc19653"/>
      <w:bookmarkStart w:id="4298" w:name="_Toc5726"/>
      <w:bookmarkStart w:id="4299" w:name="_Toc517530901"/>
      <w:r>
        <w:rPr>
          <w:rFonts w:hint="eastAsia" w:ascii="宋体" w:hAnsi="宋体" w:cs="宋体"/>
          <w:b/>
          <w:bCs/>
          <w:color w:val="auto"/>
          <w:sz w:val="28"/>
          <w:szCs w:val="28"/>
          <w:highlight w:val="none"/>
        </w:rPr>
        <w:t>13.2区段或单项工程的交工</w:t>
      </w:r>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根据第13.1条规定的程序，承包人可以向监理人就下列情况提出要求竣工验收并发给交接证书的申请：</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(a)合同规定有单独竣工期的某区段或某单项工程；</w:t>
      </w:r>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szCs w:val="21"/>
          <w:highlight w:val="none"/>
        </w:rPr>
        <w:t>(b)已经竣工且监理人认可的永久工程的任何主要部分（合同另有规定者除外）。</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300" w:name="_Toc517532178"/>
      <w:bookmarkStart w:id="4301" w:name="_Toc5609"/>
      <w:bookmarkStart w:id="4302" w:name="_Toc517530902"/>
      <w:bookmarkStart w:id="4303" w:name="_Toc21905"/>
      <w:bookmarkStart w:id="4304" w:name="_Toc28417"/>
      <w:bookmarkStart w:id="4305" w:name="_Toc31495"/>
      <w:bookmarkStart w:id="4306" w:name="_Toc32130"/>
      <w:bookmarkStart w:id="4307" w:name="_Toc4996"/>
      <w:bookmarkStart w:id="4308" w:name="_Toc15643"/>
      <w:bookmarkStart w:id="4309" w:name="_Toc21899"/>
      <w:bookmarkStart w:id="4310" w:name="_Toc32113"/>
      <w:bookmarkStart w:id="4311" w:name="_Toc23623"/>
      <w:bookmarkStart w:id="4312" w:name="_Toc28705"/>
      <w:bookmarkStart w:id="4313" w:name="_Toc25736"/>
      <w:bookmarkStart w:id="4314" w:name="_Toc1940"/>
      <w:bookmarkStart w:id="4315" w:name="_Toc19773"/>
      <w:bookmarkStart w:id="4316" w:name="_Toc12156"/>
      <w:bookmarkStart w:id="4317" w:name="_Toc21735"/>
      <w:bookmarkStart w:id="4318" w:name="_Toc31557"/>
      <w:bookmarkStart w:id="4319" w:name="_Toc517528719"/>
      <w:bookmarkStart w:id="4320" w:name="_Toc6575"/>
      <w:r>
        <w:rPr>
          <w:rFonts w:hint="eastAsia" w:ascii="宋体" w:hAnsi="宋体" w:cs="宋体"/>
          <w:b/>
          <w:bCs/>
          <w:color w:val="auto"/>
          <w:sz w:val="28"/>
          <w:szCs w:val="28"/>
          <w:highlight w:val="none"/>
        </w:rPr>
        <w:t>13.3工程移交和档案管理</w:t>
      </w:r>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承包人须将施工过程中形成的即时档案（包括质量文件、施工记录、会议纪要、变更文件等）在3-5天内录入至发包人的项目建设档案管理系统中，档案不齐或不及时录入的，将影响承包人的工程款支付及履约评价等级；</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(b)承包人必须按市城市档案馆的规定及工务署工程档案管理相关规定整理并移交竣工档案后（包括档案主管部门、发包人及接管单位），凭相关工程档案移交签字单方可办理工程结算支付；</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(c)承包人的档案员必须持有市城建档案上岗证；</w:t>
      </w:r>
    </w:p>
    <w:p>
      <w:pPr>
        <w:adjustRightInd w:val="0"/>
        <w:snapToGri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d)工程竣工验收合格后承包人必须将工程移交给发包人指定的接管单位。在向发包人指定的接管单位移交钥匙的同时必须办理：①办理钥匙移交清单；②双方抄好水表电表底数；③列出详细的设备、物件移交清单，标明名称、数量、外观、状态等，办理《钥匙交接清单》《水电表抄表记录》《物业交接清单》《设备移交书》《设备资料移交书》和《设备专用工具和备用件移交书》。</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4321" w:name="_Toc351203593"/>
      <w:bookmarkStart w:id="4322" w:name="_Toc380"/>
      <w:bookmarkStart w:id="4323" w:name="_Toc6637"/>
      <w:bookmarkStart w:id="4324" w:name="_Toc22651"/>
      <w:bookmarkStart w:id="4325" w:name="_Toc17709"/>
      <w:bookmarkStart w:id="4326" w:name="_Toc17123"/>
      <w:bookmarkStart w:id="4327" w:name="_Toc517532179"/>
      <w:bookmarkStart w:id="4328" w:name="_Toc20732"/>
      <w:bookmarkStart w:id="4329" w:name="_Toc19667"/>
      <w:bookmarkStart w:id="4330" w:name="_Toc465237128"/>
      <w:bookmarkStart w:id="4331" w:name="_Toc28933"/>
      <w:bookmarkStart w:id="4332" w:name="_Toc21338"/>
      <w:bookmarkStart w:id="4333" w:name="_Toc3537"/>
      <w:bookmarkStart w:id="4334" w:name="_Toc22003"/>
      <w:bookmarkStart w:id="4335" w:name="_Toc517530903"/>
      <w:bookmarkStart w:id="4336" w:name="_Toc12155"/>
      <w:bookmarkStart w:id="4337" w:name="_Toc517529747"/>
      <w:bookmarkStart w:id="4338" w:name="_Toc12963"/>
      <w:bookmarkStart w:id="4339" w:name="_Toc517528720"/>
      <w:bookmarkStart w:id="4340" w:name="_Toc24713"/>
      <w:bookmarkStart w:id="4341" w:name="_Toc25748"/>
      <w:bookmarkStart w:id="4342" w:name="_Toc28086"/>
      <w:bookmarkStart w:id="4343" w:name="_Toc23259"/>
      <w:bookmarkStart w:id="4344" w:name="_Toc465237225"/>
      <w:bookmarkStart w:id="4345" w:name="_Toc31515"/>
      <w:bookmarkStart w:id="4346" w:name="_Toc337558810"/>
      <w:bookmarkStart w:id="4347" w:name="_Toc296346614"/>
      <w:bookmarkStart w:id="4348" w:name="_Toc296503113"/>
      <w:r>
        <w:rPr>
          <w:rFonts w:hint="eastAsia" w:ascii="宋体" w:hAnsi="宋体" w:cs="宋体"/>
          <w:b/>
          <w:bCs/>
          <w:color w:val="auto"/>
          <w:sz w:val="30"/>
          <w:szCs w:val="30"/>
          <w:highlight w:val="none"/>
        </w:rPr>
        <w:t>14.</w:t>
      </w:r>
      <w:bookmarkEnd w:id="4321"/>
      <w:r>
        <w:rPr>
          <w:rFonts w:hint="eastAsia" w:ascii="宋体" w:hAnsi="宋体" w:cs="宋体"/>
          <w:b/>
          <w:bCs/>
          <w:color w:val="auto"/>
          <w:sz w:val="30"/>
          <w:szCs w:val="30"/>
          <w:highlight w:val="none"/>
        </w:rPr>
        <w:t xml:space="preserve"> 竣工结算</w:t>
      </w:r>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349" w:name="_Toc17606"/>
      <w:bookmarkStart w:id="4350" w:name="_Toc9332"/>
      <w:bookmarkStart w:id="4351" w:name="_Toc20191"/>
      <w:bookmarkStart w:id="4352" w:name="_Toc11084"/>
      <w:bookmarkStart w:id="4353" w:name="_Toc1538"/>
      <w:bookmarkStart w:id="4354" w:name="_Toc20012"/>
      <w:bookmarkStart w:id="4355" w:name="_Toc23583"/>
      <w:bookmarkStart w:id="4356" w:name="_Toc12389"/>
      <w:bookmarkStart w:id="4357" w:name="_Toc24973"/>
      <w:bookmarkStart w:id="4358" w:name="_Toc10314"/>
      <w:bookmarkStart w:id="4359" w:name="_Toc517528721"/>
      <w:bookmarkStart w:id="4360" w:name="_Toc517530904"/>
      <w:bookmarkStart w:id="4361" w:name="_Toc517532180"/>
      <w:bookmarkStart w:id="4362" w:name="_Toc17433"/>
      <w:bookmarkStart w:id="4363" w:name="_Toc10152"/>
      <w:bookmarkStart w:id="4364" w:name="_Toc22231"/>
      <w:bookmarkStart w:id="4365" w:name="_Toc11779"/>
      <w:bookmarkStart w:id="4366" w:name="_Toc23042"/>
      <w:bookmarkStart w:id="4367" w:name="_Toc13883"/>
      <w:bookmarkStart w:id="4368" w:name="_Toc4789"/>
      <w:bookmarkStart w:id="4369" w:name="_Toc3461"/>
      <w:r>
        <w:rPr>
          <w:rFonts w:hint="eastAsia" w:ascii="宋体" w:hAnsi="宋体" w:cs="宋体"/>
          <w:b/>
          <w:bCs/>
          <w:color w:val="auto"/>
          <w:sz w:val="28"/>
          <w:szCs w:val="28"/>
          <w:highlight w:val="none"/>
        </w:rPr>
        <w:t>14.1竣工结账单</w:t>
      </w:r>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在合同工程交接证书签发后42天内，承包人应以监理人批准的格式向监理人提交一份竣工结账单，并附上用详细资料说明的证实文件，表明：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(a)根据合同规定，直到交接证书中写明的竣工日期为止所完成的全部工程的最终价值；</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(b)承包人认为应付给他的进一步的款项；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(c)承包人认为根据合同到期应付给他的各项款额的估算值。</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上述估算的各项款额应在竣工结账单内分别填报。监理人应根据第12.3.3条规定的核证此支付，并报发包人审批。</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在合同工程通过竣工验收后</w:t>
      </w:r>
      <w:r>
        <w:rPr>
          <w:rFonts w:hint="eastAsia" w:ascii="宋体" w:hAnsi="宋体" w:cs="宋体"/>
          <w:color w:val="auto"/>
          <w:szCs w:val="21"/>
          <w:highlight w:val="none"/>
          <w:u w:val="single"/>
        </w:rPr>
        <w:t xml:space="preserve"> 42 </w:t>
      </w:r>
      <w:r>
        <w:rPr>
          <w:rFonts w:hint="eastAsia" w:ascii="宋体" w:hAnsi="宋体" w:cs="宋体"/>
          <w:color w:val="auto"/>
          <w:szCs w:val="21"/>
          <w:highlight w:val="none"/>
        </w:rPr>
        <w:t>天内，承包人应按照合同专用条款附件《工程结算管理办法》及发包人的有关要求编报工程竣工结算。办理竣工结算的有关规定详见《工程结算管理办法》。若承包人不按上述规定时间报送结算，发包人可对承包人发催报书面通知；在通知规定期限内仍不报送结算的，发包人有权按已有资料或按已付工程款报评审中心办理结算，并记录承包人不良行为。</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发包人在规定时间对承包人的结算进行审核后报送评审中心或发包人指定的第三方审定的，应视为发包人履行了结算义务。若评审中心评审或发包人指定的第三方审定逾期的，承包人不得追究发包人责任。</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370" w:name="_Toc8732"/>
      <w:bookmarkStart w:id="4371" w:name="_Toc27179"/>
      <w:bookmarkStart w:id="4372" w:name="_Toc5009"/>
      <w:bookmarkStart w:id="4373" w:name="_Toc517530905"/>
      <w:bookmarkStart w:id="4374" w:name="_Toc20296"/>
      <w:bookmarkStart w:id="4375" w:name="_Toc26483"/>
      <w:bookmarkStart w:id="4376" w:name="_Toc12090"/>
      <w:bookmarkStart w:id="4377" w:name="_Toc27099"/>
      <w:bookmarkStart w:id="4378" w:name="_Toc517532181"/>
      <w:bookmarkStart w:id="4379" w:name="_Toc26867"/>
      <w:bookmarkStart w:id="4380" w:name="_Toc19681"/>
      <w:bookmarkStart w:id="4381" w:name="_Toc20965"/>
      <w:bookmarkStart w:id="4382" w:name="_Toc5949"/>
      <w:bookmarkStart w:id="4383" w:name="_Toc5923"/>
      <w:bookmarkStart w:id="4384" w:name="_Toc517528722"/>
      <w:bookmarkStart w:id="4385" w:name="_Toc19631"/>
      <w:bookmarkStart w:id="4386" w:name="_Toc22263"/>
      <w:bookmarkStart w:id="4387" w:name="_Toc15379"/>
      <w:bookmarkStart w:id="4388" w:name="_Toc16016"/>
      <w:bookmarkStart w:id="4389" w:name="_Toc16214"/>
      <w:bookmarkStart w:id="4390" w:name="_Toc15501"/>
      <w:r>
        <w:rPr>
          <w:rFonts w:hint="eastAsia" w:ascii="宋体" w:hAnsi="宋体" w:cs="宋体"/>
          <w:b/>
          <w:bCs/>
          <w:color w:val="auto"/>
          <w:sz w:val="28"/>
          <w:szCs w:val="28"/>
          <w:highlight w:val="none"/>
        </w:rPr>
        <w:t>14.2签发履约证书</w:t>
      </w:r>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唯有本条规定的履约证书才能被视为构成本合同工程已经完成的批准文件。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只有在签发了履约证书，写明承包人实施和完成本合同工程的义务已经完成，并达到符合合同约定的要求时，才能认为本合同已经结束。履约证书应由监理人核签报经发包人同意后，由发包人在履约期满后</w:t>
      </w:r>
      <w:r>
        <w:rPr>
          <w:rFonts w:hint="eastAsia" w:ascii="宋体" w:hAnsi="宋体" w:cs="宋体"/>
          <w:color w:val="auto"/>
          <w:szCs w:val="21"/>
          <w:highlight w:val="none"/>
          <w:u w:val="single"/>
        </w:rPr>
        <w:t>21</w:t>
      </w:r>
      <w:r>
        <w:rPr>
          <w:rFonts w:hint="eastAsia" w:ascii="宋体" w:hAnsi="宋体" w:cs="宋体"/>
          <w:color w:val="auto"/>
          <w:szCs w:val="21"/>
          <w:highlight w:val="none"/>
        </w:rPr>
        <w:t>天内发给承包人。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尽管颁发了履约证书，但承包人和发包人仍应负责履行在履约证书颁发之前按合同规定应予履行的、而在履约证书颁发时尚未完成的义务，本合同对当事人双方应具有约束力。</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391" w:name="_Toc9407"/>
      <w:bookmarkStart w:id="4392" w:name="_Toc28478"/>
      <w:bookmarkStart w:id="4393" w:name="_Toc15954"/>
      <w:bookmarkStart w:id="4394" w:name="_Toc1991"/>
      <w:bookmarkStart w:id="4395" w:name="_Toc517528723"/>
      <w:bookmarkStart w:id="4396" w:name="_Toc19611"/>
      <w:bookmarkStart w:id="4397" w:name="_Toc14633"/>
      <w:bookmarkStart w:id="4398" w:name="_Toc517530906"/>
      <w:bookmarkStart w:id="4399" w:name="_Toc26650"/>
      <w:bookmarkStart w:id="4400" w:name="_Toc3376"/>
      <w:bookmarkStart w:id="4401" w:name="_Toc17178"/>
      <w:bookmarkStart w:id="4402" w:name="_Toc5897"/>
      <w:bookmarkStart w:id="4403" w:name="_Toc28490"/>
      <w:bookmarkStart w:id="4404" w:name="_Toc12602"/>
      <w:bookmarkStart w:id="4405" w:name="_Toc11478"/>
      <w:bookmarkStart w:id="4406" w:name="_Toc517532182"/>
      <w:bookmarkStart w:id="4407" w:name="_Toc965"/>
      <w:bookmarkStart w:id="4408" w:name="_Toc15530"/>
      <w:bookmarkStart w:id="4409" w:name="_Toc20475"/>
      <w:bookmarkStart w:id="4410" w:name="_Toc11515"/>
      <w:bookmarkStart w:id="4411" w:name="_Toc25601"/>
      <w:r>
        <w:rPr>
          <w:rFonts w:hint="eastAsia" w:ascii="宋体" w:hAnsi="宋体" w:cs="宋体"/>
          <w:b/>
          <w:bCs/>
          <w:color w:val="auto"/>
          <w:sz w:val="28"/>
          <w:szCs w:val="28"/>
          <w:highlight w:val="none"/>
        </w:rPr>
        <w:t>14.3最后结账单</w:t>
      </w:r>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在根据第14.2条规定发出履约证书的</w:t>
      </w:r>
      <w:r>
        <w:rPr>
          <w:rFonts w:hint="eastAsia" w:ascii="宋体" w:hAnsi="宋体" w:cs="宋体"/>
          <w:color w:val="auto"/>
          <w:szCs w:val="21"/>
          <w:highlight w:val="none"/>
          <w:u w:val="single"/>
        </w:rPr>
        <w:t>28</w:t>
      </w:r>
      <w:r>
        <w:rPr>
          <w:rFonts w:hint="eastAsia" w:ascii="宋体" w:hAnsi="宋体" w:cs="宋体"/>
          <w:color w:val="auto"/>
          <w:szCs w:val="21"/>
          <w:highlight w:val="none"/>
        </w:rPr>
        <w:t>天之内，承包人应以监理人批准的格式向监理人提交一份最后结账单草案，并附上详细的证实文件，供监理人审核，表明：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(a)根据合同规定已经完成的全部工程的价值；</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(b)承包人根据合同规定认为应该付给他的任何进一步的款项。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监理人不同意或者不核证最后结账单草案的任一部分，承包人应按监理人的合理要求，提交进一步的资料，并按照双方协商的结果对最后结账单草案作出相应的修改，然后由承包人编制，并向监理人提交双方同意的最后结账单。</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412" w:name="_Toc18662"/>
      <w:bookmarkStart w:id="4413" w:name="_Toc26817"/>
      <w:bookmarkStart w:id="4414" w:name="_Toc20951"/>
      <w:bookmarkStart w:id="4415" w:name="_Toc517532183"/>
      <w:bookmarkStart w:id="4416" w:name="_Toc821"/>
      <w:bookmarkStart w:id="4417" w:name="_Toc19759"/>
      <w:bookmarkStart w:id="4418" w:name="_Toc9363"/>
      <w:bookmarkStart w:id="4419" w:name="_Toc32734"/>
      <w:bookmarkStart w:id="4420" w:name="_Toc15433"/>
      <w:bookmarkStart w:id="4421" w:name="_Toc12719"/>
      <w:bookmarkStart w:id="4422" w:name="_Toc14297"/>
      <w:bookmarkStart w:id="4423" w:name="_Toc1389"/>
      <w:bookmarkStart w:id="4424" w:name="_Toc26385"/>
      <w:bookmarkStart w:id="4425" w:name="_Toc517528724"/>
      <w:bookmarkStart w:id="4426" w:name="_Toc30548"/>
      <w:bookmarkStart w:id="4427" w:name="_Toc24968"/>
      <w:bookmarkStart w:id="4428" w:name="_Toc517530907"/>
      <w:bookmarkStart w:id="4429" w:name="_Toc28139"/>
      <w:bookmarkStart w:id="4430" w:name="_Toc8624"/>
      <w:bookmarkStart w:id="4431" w:name="_Toc31275"/>
      <w:bookmarkStart w:id="4432" w:name="_Toc2845"/>
      <w:r>
        <w:rPr>
          <w:rFonts w:hint="eastAsia" w:ascii="宋体" w:hAnsi="宋体" w:cs="宋体"/>
          <w:b/>
          <w:bCs/>
          <w:color w:val="auto"/>
          <w:sz w:val="28"/>
          <w:szCs w:val="28"/>
          <w:highlight w:val="none"/>
        </w:rPr>
        <w:t>14.4清账单</w:t>
      </w:r>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提交最后结账单时，承包人应给发包人一份书面清账书，并抄送监理人，确认最后结账单中的总金额代表了根据合同规定应付给承包人的全部款项的最后结算。但是该清账书仅在根据第14.6条规定发出的最后支付证书项下的应付款已经支付，和第3.7条所指的履约担保已经退还给承包人之后才生效。</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433" w:name="_Toc9178"/>
      <w:bookmarkStart w:id="4434" w:name="_Toc2840"/>
      <w:bookmarkStart w:id="4435" w:name="_Toc540"/>
      <w:bookmarkStart w:id="4436" w:name="_Toc32649"/>
      <w:bookmarkStart w:id="4437" w:name="_Toc8065"/>
      <w:bookmarkStart w:id="4438" w:name="_Toc2374"/>
      <w:bookmarkStart w:id="4439" w:name="_Toc2482"/>
      <w:bookmarkStart w:id="4440" w:name="_Toc2289"/>
      <w:bookmarkStart w:id="4441" w:name="_Toc3822"/>
      <w:bookmarkStart w:id="4442" w:name="_Toc19122"/>
      <w:bookmarkStart w:id="4443" w:name="_Toc16568"/>
      <w:bookmarkStart w:id="4444" w:name="_Toc2616"/>
      <w:bookmarkStart w:id="4445" w:name="_Toc1107"/>
      <w:bookmarkStart w:id="4446" w:name="_Toc31309"/>
      <w:bookmarkStart w:id="4447" w:name="_Toc8554"/>
      <w:bookmarkStart w:id="4448" w:name="_Toc17714"/>
      <w:bookmarkStart w:id="4449" w:name="_Toc12774"/>
      <w:bookmarkStart w:id="4450" w:name="_Toc517530908"/>
      <w:bookmarkStart w:id="4451" w:name="_Toc23549"/>
      <w:bookmarkStart w:id="4452" w:name="_Toc517528725"/>
      <w:bookmarkStart w:id="4453" w:name="_Toc517532184"/>
      <w:r>
        <w:rPr>
          <w:rFonts w:hint="eastAsia" w:ascii="宋体" w:hAnsi="宋体" w:cs="宋体"/>
          <w:b/>
          <w:bCs/>
          <w:color w:val="auto"/>
          <w:sz w:val="28"/>
          <w:szCs w:val="28"/>
          <w:highlight w:val="none"/>
        </w:rPr>
        <w:t>14.5甩项竣工协议</w:t>
      </w:r>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发包人要求甩项竣工的，合同当事人应签订甩项竣工协议。在甩项竣工协议中应明确，合同当事人按照第14.1款的约定，对已完合格工程进行结算，并支付相应合同价款。</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454" w:name="_Toc11604"/>
      <w:bookmarkStart w:id="4455" w:name="_Toc5402"/>
      <w:bookmarkStart w:id="4456" w:name="_Toc22257"/>
      <w:bookmarkStart w:id="4457" w:name="_Toc7912"/>
      <w:bookmarkStart w:id="4458" w:name="_Toc21610"/>
      <w:bookmarkStart w:id="4459" w:name="_Toc517528726"/>
      <w:bookmarkStart w:id="4460" w:name="_Toc15922"/>
      <w:bookmarkStart w:id="4461" w:name="_Toc17990"/>
      <w:bookmarkStart w:id="4462" w:name="_Toc860"/>
      <w:bookmarkStart w:id="4463" w:name="_Toc18841"/>
      <w:bookmarkStart w:id="4464" w:name="_Toc517532185"/>
      <w:bookmarkStart w:id="4465" w:name="_Toc26798"/>
      <w:bookmarkStart w:id="4466" w:name="_Toc11856"/>
      <w:bookmarkStart w:id="4467" w:name="_Toc11358"/>
      <w:bookmarkStart w:id="4468" w:name="_Toc9321"/>
      <w:bookmarkStart w:id="4469" w:name="_Toc11870"/>
      <w:bookmarkStart w:id="4470" w:name="_Toc517530909"/>
      <w:bookmarkStart w:id="4471" w:name="_Toc30449"/>
      <w:bookmarkStart w:id="4472" w:name="_Toc30801"/>
      <w:bookmarkStart w:id="4473" w:name="_Toc31306"/>
      <w:bookmarkStart w:id="4474" w:name="_Toc19361"/>
      <w:r>
        <w:rPr>
          <w:rFonts w:hint="eastAsia" w:ascii="宋体" w:hAnsi="宋体" w:cs="宋体"/>
          <w:b/>
          <w:bCs/>
          <w:color w:val="auto"/>
          <w:sz w:val="28"/>
          <w:szCs w:val="28"/>
          <w:highlight w:val="none"/>
        </w:rPr>
        <w:t>14.6最后支付证书</w:t>
      </w:r>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在最后结账单和清账书收到14天之后，监理人应签发一份最后付支付证书报发包人审批，并抄送给承包人，说明：</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(a)监理人认为根据合同规定的最后应付的款额；以及</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(b)在对发包人以前所付的全部款额和发包人根据合同规定应得的全部款项予以确认后，发包人欠承包人或承包人欠发包人（视具体情况）的差额（如有）。</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475" w:name="_Toc517528727"/>
      <w:bookmarkStart w:id="4476" w:name="_Toc517530910"/>
      <w:bookmarkStart w:id="4477" w:name="_Toc10355"/>
      <w:bookmarkStart w:id="4478" w:name="_Toc517532186"/>
      <w:bookmarkStart w:id="4479" w:name="_Toc12900"/>
      <w:bookmarkStart w:id="4480" w:name="_Toc14712"/>
      <w:r>
        <w:rPr>
          <w:rFonts w:hint="eastAsia" w:ascii="宋体" w:hAnsi="宋体" w:cs="宋体"/>
          <w:b/>
          <w:bCs/>
          <w:color w:val="auto"/>
          <w:sz w:val="28"/>
          <w:szCs w:val="28"/>
          <w:highlight w:val="none"/>
        </w:rPr>
        <w:t>14.7发包人责任的终止</w:t>
      </w:r>
      <w:bookmarkEnd w:id="4475"/>
      <w:bookmarkEnd w:id="4476"/>
      <w:bookmarkEnd w:id="4477"/>
      <w:bookmarkEnd w:id="4478"/>
      <w:bookmarkEnd w:id="4479"/>
      <w:bookmarkEnd w:id="448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发包人对承包人由于履行合同或工程实施而产生的或与此二者有关的任何问题或事情应不承担任何责任，除非承包人已在最后结账单中列入索赔要求。</w:t>
      </w:r>
    </w:p>
    <w:p>
      <w:pPr>
        <w:spacing w:line="360" w:lineRule="auto"/>
        <w:ind w:firstLine="420" w:firstLineChars="200"/>
        <w:jc w:val="left"/>
        <w:rPr>
          <w:rFonts w:hint="eastAsia" w:ascii="宋体" w:hAnsi="宋体" w:cs="宋体"/>
          <w:color w:val="auto"/>
          <w:szCs w:val="21"/>
          <w:highlight w:val="none"/>
        </w:rPr>
      </w:pPr>
    </w:p>
    <w:bookmarkEnd w:id="4346"/>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4481" w:name="_Toc351203598"/>
      <w:bookmarkStart w:id="4482" w:name="_Toc2099"/>
      <w:bookmarkStart w:id="4483" w:name="_Toc30630"/>
      <w:bookmarkStart w:id="4484" w:name="_Toc19772"/>
      <w:bookmarkStart w:id="4485" w:name="_Toc25537"/>
      <w:bookmarkStart w:id="4486" w:name="_Toc465237129"/>
      <w:bookmarkStart w:id="4487" w:name="_Toc15201"/>
      <w:bookmarkStart w:id="4488" w:name="_Toc465237226"/>
      <w:bookmarkStart w:id="4489" w:name="_Toc17675"/>
      <w:bookmarkStart w:id="4490" w:name="_Toc517529748"/>
      <w:bookmarkStart w:id="4491" w:name="_Toc32631"/>
      <w:bookmarkStart w:id="4492" w:name="_Toc12622"/>
      <w:bookmarkStart w:id="4493" w:name="_Toc1033"/>
      <w:bookmarkStart w:id="4494" w:name="_Toc517532187"/>
      <w:bookmarkStart w:id="4495" w:name="_Toc26734"/>
      <w:bookmarkStart w:id="4496" w:name="_Toc517530911"/>
      <w:bookmarkStart w:id="4497" w:name="_Toc23210"/>
      <w:bookmarkStart w:id="4498" w:name="_Toc11133"/>
      <w:bookmarkStart w:id="4499" w:name="_Toc2502"/>
      <w:bookmarkStart w:id="4500" w:name="_Toc5450"/>
      <w:bookmarkStart w:id="4501" w:name="_Toc25414"/>
      <w:bookmarkStart w:id="4502" w:name="_Toc517528728"/>
      <w:bookmarkStart w:id="4503" w:name="_Toc10173"/>
      <w:bookmarkStart w:id="4504" w:name="_Toc5261"/>
      <w:bookmarkStart w:id="4505" w:name="_Toc30418"/>
      <w:bookmarkStart w:id="4506" w:name="_Toc337558815"/>
      <w:r>
        <w:rPr>
          <w:rFonts w:hint="eastAsia" w:ascii="宋体" w:hAnsi="宋体" w:cs="宋体"/>
          <w:b/>
          <w:bCs/>
          <w:color w:val="auto"/>
          <w:sz w:val="30"/>
          <w:szCs w:val="30"/>
          <w:highlight w:val="none"/>
        </w:rPr>
        <w:t>15.</w:t>
      </w:r>
      <w:bookmarkEnd w:id="4481"/>
      <w:r>
        <w:rPr>
          <w:rFonts w:hint="eastAsia" w:ascii="宋体" w:hAnsi="宋体" w:cs="宋体"/>
          <w:b/>
          <w:bCs/>
          <w:color w:val="auto"/>
          <w:sz w:val="30"/>
          <w:szCs w:val="30"/>
          <w:highlight w:val="none"/>
        </w:rPr>
        <w:t xml:space="preserve"> 缺陷责任与保修</w:t>
      </w:r>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507" w:name="_Toc26205"/>
      <w:bookmarkStart w:id="4508" w:name="_Toc6082"/>
      <w:bookmarkStart w:id="4509" w:name="_Toc15888"/>
      <w:bookmarkStart w:id="4510" w:name="_Toc2271"/>
      <w:bookmarkStart w:id="4511" w:name="_Toc16317"/>
      <w:bookmarkStart w:id="4512" w:name="_Toc15391"/>
      <w:bookmarkStart w:id="4513" w:name="_Toc517532188"/>
      <w:bookmarkStart w:id="4514" w:name="_Toc5479"/>
      <w:bookmarkStart w:id="4515" w:name="_Toc18536"/>
      <w:bookmarkStart w:id="4516" w:name="_Toc10894"/>
      <w:bookmarkStart w:id="4517" w:name="_Toc517530912"/>
      <w:bookmarkStart w:id="4518" w:name="_Toc14861"/>
      <w:bookmarkStart w:id="4519" w:name="_Toc517528729"/>
      <w:bookmarkStart w:id="4520" w:name="_Toc23063"/>
      <w:bookmarkStart w:id="4521" w:name="_Toc8616"/>
      <w:bookmarkStart w:id="4522" w:name="_Toc18257"/>
      <w:bookmarkStart w:id="4523" w:name="_Toc22027"/>
      <w:bookmarkStart w:id="4524" w:name="_Toc22426"/>
      <w:bookmarkStart w:id="4525" w:name="_Toc8284"/>
      <w:bookmarkStart w:id="4526" w:name="_Toc3327"/>
      <w:bookmarkStart w:id="4527" w:name="_Toc21657"/>
      <w:r>
        <w:rPr>
          <w:rFonts w:hint="eastAsia" w:ascii="宋体" w:hAnsi="宋体" w:cs="宋体"/>
          <w:b/>
          <w:bCs/>
          <w:color w:val="auto"/>
          <w:sz w:val="28"/>
          <w:szCs w:val="28"/>
          <w:highlight w:val="none"/>
        </w:rPr>
        <w:t>15.1完成未完工作和修复缺陷</w:t>
      </w:r>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了在履约期满后承包人能立即将合同工程交给发包人,在履约期满前,由发包人会同监理人及有关部门参加下，对工程进行一次全面检查，使本工程按合同所要求的条件（正常磨损除外），达到发包人和监理人的要求。为此，承包人应：</w:t>
      </w:r>
    </w:p>
    <w:p>
      <w:pPr>
        <w:spacing w:line="360" w:lineRule="auto"/>
        <w:ind w:firstLine="420" w:firstLineChars="200"/>
        <w:jc w:val="left"/>
        <w:rPr>
          <w:rFonts w:hint="eastAsia" w:ascii="宋体" w:hAnsi="宋体" w:cs="宋体"/>
          <w:color w:val="auto"/>
          <w:spacing w:val="-4"/>
          <w:szCs w:val="21"/>
          <w:highlight w:val="none"/>
        </w:rPr>
      </w:pPr>
      <w:r>
        <w:rPr>
          <w:rFonts w:hint="eastAsia" w:ascii="宋体" w:hAnsi="宋体" w:cs="宋体"/>
          <w:color w:val="auto"/>
          <w:szCs w:val="21"/>
          <w:highlight w:val="none"/>
        </w:rPr>
        <w:t>(a)在履约期内，尽快完成在交接证书中写明的竣工日期之后尚未完成的工作（</w:t>
      </w:r>
      <w:r>
        <w:rPr>
          <w:rFonts w:hint="eastAsia" w:ascii="宋体" w:hAnsi="宋体" w:cs="宋体"/>
          <w:color w:val="auto"/>
          <w:spacing w:val="-4"/>
          <w:szCs w:val="21"/>
          <w:highlight w:val="none"/>
        </w:rPr>
        <w:t>如有），并随时完成对本工程缺陷的修复或监理人指令的修补工作；以及</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(b)在履约期满后的14天内，按照发包人和监理人在履约期满前检查结果而发出的指令，对存在缺陷或其他不合格之处进行修补、重建及修复。</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根据合同约定完成工程实施过程中及收尾阶段的清洁、现场垃圾清运工作，承包人应履行合同约定的保修义务，若有此类指令，承包人应在接到相关指令或通知之日起在指令或通知要求的时间内派人执行，否则，发包人有权直接委托他人执行，相关费用从工程结算款、质量保证金内扣除或向承包人索赔，承包人不得对该费用提出任何异议。</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528" w:name="_Toc24488"/>
      <w:bookmarkStart w:id="4529" w:name="_Toc21428"/>
      <w:bookmarkStart w:id="4530" w:name="_Toc12201"/>
      <w:bookmarkStart w:id="4531" w:name="_Toc22298"/>
      <w:bookmarkStart w:id="4532" w:name="_Toc20958"/>
      <w:bookmarkStart w:id="4533" w:name="_Toc14311"/>
      <w:bookmarkStart w:id="4534" w:name="_Toc2102"/>
      <w:bookmarkStart w:id="4535" w:name="_Toc22095"/>
      <w:bookmarkStart w:id="4536" w:name="_Toc5512"/>
      <w:bookmarkStart w:id="4537" w:name="_Toc9841"/>
      <w:bookmarkStart w:id="4538" w:name="_Toc19358"/>
      <w:bookmarkStart w:id="4539" w:name="_Toc6858"/>
      <w:bookmarkStart w:id="4540" w:name="_Toc29419"/>
      <w:bookmarkStart w:id="4541" w:name="_Toc16065"/>
      <w:bookmarkStart w:id="4542" w:name="_Toc30445"/>
      <w:bookmarkStart w:id="4543" w:name="_Toc517532189"/>
      <w:bookmarkStart w:id="4544" w:name="_Toc26129"/>
      <w:bookmarkStart w:id="4545" w:name="_Toc517528730"/>
      <w:bookmarkStart w:id="4546" w:name="_Toc22898"/>
      <w:bookmarkStart w:id="4547" w:name="_Toc517530913"/>
      <w:bookmarkStart w:id="4548" w:name="_Toc24952"/>
      <w:r>
        <w:rPr>
          <w:rFonts w:hint="eastAsia" w:ascii="宋体" w:hAnsi="宋体" w:cs="宋体"/>
          <w:b/>
          <w:bCs/>
          <w:color w:val="auto"/>
          <w:sz w:val="28"/>
          <w:szCs w:val="28"/>
          <w:highlight w:val="none"/>
        </w:rPr>
        <w:t>15.2缺陷的调查</w:t>
      </w:r>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履约期内，如果在本合同工程中出现任何缺陷或其他不合格之处，则监理人可指令承包人，在监理人的指导下调查上述缺陷或其他不合格之处的原因，并将该指令抄送发包人。如果调查结果确定不属于合同项下承包人的责任，则监理人在与发包人和承包人协商后应确定承包人进行上述调查的费用，将此费用加到合同价格上，并通知承包人，抄送发包人。如果调查结果确定是属于承包人的责任所造成，则上述调查的费用应由承包人承担。在此情况下，承包人应根据第15条规定自费修复上述缺陷或其他不合格之处。</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549" w:name="_Toc810"/>
      <w:bookmarkStart w:id="4550" w:name="_Toc4161"/>
      <w:bookmarkStart w:id="4551" w:name="_Toc2728"/>
      <w:bookmarkStart w:id="4552" w:name="_Toc517532190"/>
      <w:bookmarkStart w:id="4553" w:name="_Toc555"/>
      <w:bookmarkStart w:id="4554" w:name="_Toc11646"/>
      <w:bookmarkStart w:id="4555" w:name="_Toc11802"/>
      <w:bookmarkStart w:id="4556" w:name="_Toc7082"/>
      <w:bookmarkStart w:id="4557" w:name="_Toc30034"/>
      <w:bookmarkStart w:id="4558" w:name="_Toc517530914"/>
      <w:bookmarkStart w:id="4559" w:name="_Toc10403"/>
      <w:bookmarkStart w:id="4560" w:name="_Toc517528731"/>
      <w:bookmarkStart w:id="4561" w:name="_Toc29923"/>
      <w:bookmarkStart w:id="4562" w:name="_Toc6634"/>
      <w:bookmarkStart w:id="4563" w:name="_Toc31772"/>
      <w:bookmarkStart w:id="4564" w:name="_Toc23559"/>
      <w:bookmarkStart w:id="4565" w:name="_Toc1081"/>
      <w:bookmarkStart w:id="4566" w:name="_Toc12129"/>
      <w:bookmarkStart w:id="4567" w:name="_Toc6960"/>
      <w:bookmarkStart w:id="4568" w:name="_Toc3908"/>
      <w:bookmarkStart w:id="4569" w:name="_Toc13307"/>
      <w:r>
        <w:rPr>
          <w:rFonts w:hint="eastAsia" w:ascii="宋体" w:hAnsi="宋体" w:cs="宋体"/>
          <w:b/>
          <w:bCs/>
          <w:color w:val="auto"/>
          <w:sz w:val="28"/>
          <w:szCs w:val="28"/>
          <w:highlight w:val="none"/>
        </w:rPr>
        <w:t>15.3缺陷修复的费用</w:t>
      </w:r>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在缺陷责任期内，下列原因造成的缺陷修复费用应由承包人自行承担：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(a)承包人所用的材料、设备或操作工艺不符合合同要求；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(b)承包人负责设计的永久工程，在设计中有错误；</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(c)承包人的疏忽或未遵守本合同中对承包人规定的义务。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如果监理人指令承包人修复的缺陷是不属于上述原因造成的，则监理人应根据第10条的规定，在与承包人协商并报发包人批准后，确定合同价格的增加额，通知承包人，并抄送发包人。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承包人未能在合理的时间内执行上述指令，则发包人有权雇用其他人从事该项工作并支付报酬。如果监理人认为该项工作根据合同应是承包人自费进行的工作，则监理人在与发包人和承包人适当协商后应确定所有由此造成的或伴随产生的费用，该费用应由承包人负责，发包人可从应退还给承包人的质量保证金中扣除或向承包人索回。监理人应通知承包人，并抄送发包人。</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570" w:name="_Toc25626"/>
      <w:bookmarkStart w:id="4571" w:name="_Toc13112"/>
      <w:bookmarkStart w:id="4572" w:name="_Toc2188"/>
      <w:bookmarkStart w:id="4573" w:name="_Toc6943"/>
      <w:bookmarkStart w:id="4574" w:name="_Toc7442"/>
      <w:bookmarkStart w:id="4575" w:name="_Toc7962"/>
      <w:bookmarkStart w:id="4576" w:name="_Toc517528732"/>
      <w:bookmarkStart w:id="4577" w:name="_Toc27845"/>
      <w:bookmarkStart w:id="4578" w:name="_Toc15218"/>
      <w:bookmarkStart w:id="4579" w:name="_Toc1779"/>
      <w:bookmarkStart w:id="4580" w:name="_Toc7417"/>
      <w:bookmarkStart w:id="4581" w:name="_Toc15569"/>
      <w:bookmarkStart w:id="4582" w:name="_Toc28142"/>
      <w:bookmarkStart w:id="4583" w:name="_Toc735"/>
      <w:bookmarkStart w:id="4584" w:name="_Toc15881"/>
      <w:bookmarkStart w:id="4585" w:name="_Toc17734"/>
      <w:bookmarkStart w:id="4586" w:name="_Toc517530915"/>
      <w:bookmarkStart w:id="4587" w:name="_Toc14459"/>
      <w:bookmarkStart w:id="4588" w:name="_Toc517532191"/>
      <w:bookmarkStart w:id="4589" w:name="_Toc10523"/>
      <w:bookmarkStart w:id="4590" w:name="_Toc30087"/>
      <w:r>
        <w:rPr>
          <w:rFonts w:hint="eastAsia" w:ascii="宋体" w:hAnsi="宋体" w:cs="宋体"/>
          <w:b/>
          <w:bCs/>
          <w:color w:val="auto"/>
          <w:sz w:val="28"/>
          <w:szCs w:val="28"/>
          <w:highlight w:val="none"/>
        </w:rPr>
        <w:t>15.4履约期满后的缺陷责任</w:t>
      </w:r>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履约期满并不意味着承包人对工程质量缺陷的责任终止。在履约期满后，承包人对工程质量缺陷的修复责任按双方签定的《工程质量保修书》约定保修期限和责任范围承担保修期内的缺陷修复。</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591" w:name="_Toc19769"/>
      <w:bookmarkStart w:id="4592" w:name="_Toc517530916"/>
      <w:bookmarkStart w:id="4593" w:name="_Toc23426"/>
      <w:bookmarkStart w:id="4594" w:name="_Toc26715"/>
      <w:bookmarkStart w:id="4595" w:name="_Toc517532192"/>
      <w:bookmarkStart w:id="4596" w:name="_Toc22024"/>
      <w:bookmarkStart w:id="4597" w:name="_Toc22810"/>
      <w:bookmarkStart w:id="4598" w:name="_Toc517528733"/>
      <w:bookmarkStart w:id="4599" w:name="_Toc30722"/>
      <w:bookmarkStart w:id="4600" w:name="_Toc26937"/>
      <w:bookmarkStart w:id="4601" w:name="_Toc7044"/>
      <w:bookmarkStart w:id="4602" w:name="_Toc10779"/>
      <w:bookmarkStart w:id="4603" w:name="_Toc9179"/>
      <w:bookmarkStart w:id="4604" w:name="_Toc16693"/>
      <w:bookmarkStart w:id="4605" w:name="_Toc25386"/>
      <w:bookmarkStart w:id="4606" w:name="_Toc21216"/>
      <w:bookmarkStart w:id="4607" w:name="_Toc29247"/>
      <w:bookmarkStart w:id="4608" w:name="_Toc18275"/>
      <w:bookmarkStart w:id="4609" w:name="_Toc15069"/>
      <w:bookmarkStart w:id="4610" w:name="_Toc3750"/>
      <w:bookmarkStart w:id="4611" w:name="_Toc1099"/>
      <w:r>
        <w:rPr>
          <w:rFonts w:hint="eastAsia" w:ascii="宋体" w:hAnsi="宋体" w:cs="宋体"/>
          <w:b/>
          <w:bCs/>
          <w:color w:val="auto"/>
          <w:sz w:val="28"/>
          <w:szCs w:val="28"/>
          <w:highlight w:val="none"/>
        </w:rPr>
        <w:t>15.5质量保证金的扣留</w:t>
      </w:r>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质量保证金应按投标书附件中规定的百分数乘以第12.3.2条(c)、(d)、(e)、(f)、(g)、(i)、(j)规定承包人应得的款额，从监理人签发的支付证书中每期承包人应获得的付款中扣除。</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612" w:name="_Toc8344"/>
      <w:bookmarkStart w:id="4613" w:name="_Toc517532193"/>
      <w:bookmarkStart w:id="4614" w:name="_Toc12171"/>
      <w:bookmarkStart w:id="4615" w:name="_Toc7559"/>
      <w:bookmarkStart w:id="4616" w:name="_Toc2139"/>
      <w:bookmarkStart w:id="4617" w:name="_Toc26068"/>
      <w:bookmarkStart w:id="4618" w:name="_Toc11211"/>
      <w:bookmarkStart w:id="4619" w:name="_Toc4691"/>
      <w:bookmarkStart w:id="4620" w:name="_Toc4648"/>
      <w:bookmarkStart w:id="4621" w:name="_Toc25197"/>
      <w:bookmarkStart w:id="4622" w:name="_Toc4647"/>
      <w:bookmarkStart w:id="4623" w:name="_Toc19917"/>
      <w:bookmarkStart w:id="4624" w:name="_Toc517530917"/>
      <w:bookmarkStart w:id="4625" w:name="_Toc26188"/>
      <w:bookmarkStart w:id="4626" w:name="_Toc5635"/>
      <w:bookmarkStart w:id="4627" w:name="_Toc24265"/>
      <w:bookmarkStart w:id="4628" w:name="_Toc18811"/>
      <w:bookmarkStart w:id="4629" w:name="_Toc30642"/>
      <w:bookmarkStart w:id="4630" w:name="_Toc517528734"/>
      <w:bookmarkStart w:id="4631" w:name="_Toc12374"/>
      <w:bookmarkStart w:id="4632" w:name="_Toc1029"/>
      <w:r>
        <w:rPr>
          <w:rFonts w:hint="eastAsia" w:ascii="宋体" w:hAnsi="宋体" w:cs="宋体"/>
          <w:b/>
          <w:bCs/>
          <w:color w:val="auto"/>
          <w:sz w:val="28"/>
          <w:szCs w:val="28"/>
          <w:highlight w:val="none"/>
        </w:rPr>
        <w:t>15.6质量保证金的退还</w:t>
      </w:r>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p>
    <w:p>
      <w:pPr>
        <w:tabs>
          <w:tab w:val="left" w:pos="126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质量保证金由监理人核证在第14.6条中规定的最后支付证书中将质量保证金退还给承包人。但是如果在此时，按第15条的规定尚有遗留工程有待承包人完成，则监理人有权扣发该证，直到该遗留工程全部完成并通过质量验收时为止。</w:t>
      </w:r>
    </w:p>
    <w:bookmarkEnd w:id="4347"/>
    <w:bookmarkEnd w:id="4348"/>
    <w:bookmarkEnd w:id="4506"/>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4633" w:name="_Toc351203603"/>
      <w:bookmarkStart w:id="4634" w:name="_Toc517528735"/>
      <w:bookmarkStart w:id="4635" w:name="_Toc517532194"/>
      <w:bookmarkStart w:id="4636" w:name="_Toc2429"/>
      <w:bookmarkStart w:id="4637" w:name="_Toc7450"/>
      <w:bookmarkStart w:id="4638" w:name="_Toc1284"/>
      <w:bookmarkStart w:id="4639" w:name="_Toc29096"/>
      <w:bookmarkStart w:id="4640" w:name="_Toc5689"/>
      <w:bookmarkStart w:id="4641" w:name="_Toc4441"/>
      <w:bookmarkStart w:id="4642" w:name="_Toc4251"/>
      <w:bookmarkStart w:id="4643" w:name="_Toc7172"/>
      <w:bookmarkStart w:id="4644" w:name="_Toc465237130"/>
      <w:bookmarkStart w:id="4645" w:name="_Toc465237227"/>
      <w:bookmarkStart w:id="4646" w:name="_Toc8754"/>
      <w:bookmarkStart w:id="4647" w:name="_Toc25406"/>
      <w:bookmarkStart w:id="4648" w:name="_Toc6948"/>
      <w:bookmarkStart w:id="4649" w:name="_Toc31747"/>
      <w:bookmarkStart w:id="4650" w:name="_Toc517529749"/>
      <w:bookmarkStart w:id="4651" w:name="_Toc29571"/>
      <w:bookmarkStart w:id="4652" w:name="_Toc517530918"/>
      <w:bookmarkStart w:id="4653" w:name="_Toc5928"/>
      <w:bookmarkStart w:id="4654" w:name="_Toc11194"/>
      <w:bookmarkStart w:id="4655" w:name="_Toc6126"/>
      <w:bookmarkStart w:id="4656" w:name="_Toc2039"/>
      <w:bookmarkStart w:id="4657" w:name="_Toc4621"/>
      <w:bookmarkStart w:id="4658" w:name="_Toc337558820"/>
      <w:r>
        <w:rPr>
          <w:rFonts w:hint="eastAsia" w:ascii="宋体" w:hAnsi="宋体" w:cs="宋体"/>
          <w:b/>
          <w:bCs/>
          <w:color w:val="auto"/>
          <w:sz w:val="30"/>
          <w:szCs w:val="30"/>
          <w:highlight w:val="none"/>
        </w:rPr>
        <w:t>16.</w:t>
      </w:r>
      <w:bookmarkEnd w:id="4633"/>
      <w:r>
        <w:rPr>
          <w:rFonts w:hint="eastAsia" w:ascii="宋体" w:hAnsi="宋体" w:cs="宋体"/>
          <w:b/>
          <w:bCs/>
          <w:color w:val="auto"/>
          <w:sz w:val="30"/>
          <w:szCs w:val="30"/>
          <w:highlight w:val="none"/>
        </w:rPr>
        <w:t xml:space="preserve"> 违约</w:t>
      </w:r>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p>
    <w:bookmarkEnd w:id="4658"/>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659" w:name="_Toc465237228"/>
      <w:bookmarkStart w:id="4660" w:name="_Toc30836"/>
      <w:bookmarkStart w:id="4661" w:name="_Toc5810"/>
      <w:bookmarkStart w:id="4662" w:name="_Toc25518"/>
      <w:bookmarkStart w:id="4663" w:name="_Toc8337"/>
      <w:bookmarkStart w:id="4664" w:name="_Toc517528736"/>
      <w:bookmarkStart w:id="4665" w:name="_Toc24551"/>
      <w:bookmarkStart w:id="4666" w:name="_Toc17302"/>
      <w:bookmarkStart w:id="4667" w:name="_Toc9378"/>
      <w:bookmarkStart w:id="4668" w:name="_Toc22150"/>
      <w:bookmarkStart w:id="4669" w:name="_Toc517532195"/>
      <w:bookmarkStart w:id="4670" w:name="_Toc17281"/>
      <w:bookmarkStart w:id="4671" w:name="_Toc10489"/>
      <w:bookmarkStart w:id="4672" w:name="_Toc465237131"/>
      <w:bookmarkStart w:id="4673" w:name="_Toc517530919"/>
      <w:bookmarkStart w:id="4674" w:name="_Toc31622"/>
      <w:bookmarkStart w:id="4675" w:name="_Toc13124"/>
      <w:bookmarkStart w:id="4676" w:name="_Toc25778"/>
      <w:bookmarkStart w:id="4677" w:name="_Toc16109"/>
      <w:bookmarkStart w:id="4678" w:name="_Toc22650"/>
      <w:bookmarkStart w:id="4679" w:name="_Toc5961"/>
      <w:bookmarkStart w:id="4680" w:name="_Toc789"/>
      <w:bookmarkStart w:id="4681" w:name="_Toc16450"/>
      <w:bookmarkStart w:id="4682" w:name="_Toc337558821"/>
      <w:r>
        <w:rPr>
          <w:rFonts w:hint="eastAsia" w:ascii="宋体" w:hAnsi="宋体" w:cs="宋体"/>
          <w:b/>
          <w:bCs/>
          <w:color w:val="auto"/>
          <w:sz w:val="28"/>
          <w:szCs w:val="28"/>
          <w:highlight w:val="none"/>
        </w:rPr>
        <w:t>16.1 发包人违约</w:t>
      </w:r>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683" w:name="_Toc19309"/>
      <w:bookmarkStart w:id="4684" w:name="_Toc16784"/>
      <w:bookmarkStart w:id="4685" w:name="_Toc22019"/>
      <w:bookmarkStart w:id="4686" w:name="_Toc8418"/>
      <w:bookmarkStart w:id="4687" w:name="_Toc19791"/>
      <w:bookmarkStart w:id="4688" w:name="_Toc16295"/>
      <w:bookmarkStart w:id="4689" w:name="_Toc5332"/>
      <w:bookmarkStart w:id="4690" w:name="_Toc27938"/>
      <w:bookmarkStart w:id="4691" w:name="_Toc27759"/>
      <w:bookmarkStart w:id="4692" w:name="_Toc517532196"/>
      <w:bookmarkStart w:id="4693" w:name="_Toc3735"/>
      <w:bookmarkStart w:id="4694" w:name="_Toc8668"/>
      <w:bookmarkStart w:id="4695" w:name="_Toc18933"/>
      <w:bookmarkStart w:id="4696" w:name="_Toc25540"/>
      <w:bookmarkStart w:id="4697" w:name="_Toc517530920"/>
      <w:bookmarkStart w:id="4698" w:name="_Toc10260"/>
      <w:bookmarkStart w:id="4699" w:name="_Toc12898"/>
      <w:bookmarkStart w:id="4700" w:name="_Toc5313"/>
      <w:bookmarkStart w:id="4701" w:name="_Toc6457"/>
      <w:bookmarkStart w:id="4702" w:name="_Toc21103"/>
      <w:r>
        <w:rPr>
          <w:rFonts w:hint="eastAsia" w:ascii="宋体" w:hAnsi="宋体" w:cs="宋体"/>
          <w:b/>
          <w:bCs/>
          <w:color w:val="auto"/>
          <w:sz w:val="24"/>
          <w:szCs w:val="24"/>
          <w:highlight w:val="none"/>
        </w:rPr>
        <w:t>16.1.1发包人的违约</w:t>
      </w:r>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如果发包人发生下列情况，则承包人有权终止对本合同项下的承包，并通知发包人，抄送监理人，该终止在发出通知</w:t>
      </w:r>
      <w:r>
        <w:rPr>
          <w:rFonts w:hint="eastAsia" w:ascii="宋体" w:hAnsi="宋体" w:cs="宋体"/>
          <w:color w:val="auto"/>
          <w:szCs w:val="21"/>
          <w:highlight w:val="none"/>
          <w:u w:val="single"/>
        </w:rPr>
        <w:t>14</w:t>
      </w:r>
      <w:r>
        <w:rPr>
          <w:rFonts w:hint="eastAsia" w:ascii="宋体" w:hAnsi="宋体" w:cs="宋体"/>
          <w:color w:val="auto"/>
          <w:szCs w:val="21"/>
          <w:highlight w:val="none"/>
        </w:rPr>
        <w:t>天后生效：</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(a)在根据第12.3.8条规定的支付期到期后的</w:t>
      </w:r>
      <w:r>
        <w:rPr>
          <w:rFonts w:hint="eastAsia" w:ascii="宋体" w:hAnsi="宋体" w:cs="宋体"/>
          <w:color w:val="auto"/>
          <w:szCs w:val="21"/>
          <w:highlight w:val="none"/>
          <w:u w:val="single"/>
        </w:rPr>
        <w:t>42</w:t>
      </w:r>
      <w:r>
        <w:rPr>
          <w:rFonts w:hint="eastAsia" w:ascii="宋体" w:hAnsi="宋体" w:cs="宋体"/>
          <w:color w:val="auto"/>
          <w:szCs w:val="21"/>
          <w:highlight w:val="none"/>
        </w:rPr>
        <w:t>天之内，未能通知财政部门向承包人支付根据监理人签发的任何支付证书项下的应付款额（扣除根据合同规定有权扣除的款额后），也未向承包人说明理由；</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(b)干涉、阻挠或拒绝对任何上述证书颁发的所需批准。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703" w:name="_Toc11622"/>
      <w:bookmarkStart w:id="4704" w:name="_Toc517532197"/>
      <w:bookmarkStart w:id="4705" w:name="_Toc5829"/>
      <w:bookmarkStart w:id="4706" w:name="_Toc5694"/>
      <w:bookmarkStart w:id="4707" w:name="_Toc14035"/>
      <w:bookmarkStart w:id="4708" w:name="_Toc5301"/>
      <w:bookmarkStart w:id="4709" w:name="_Toc2247"/>
      <w:bookmarkStart w:id="4710" w:name="_Toc13411"/>
      <w:bookmarkStart w:id="4711" w:name="_Toc8091"/>
      <w:bookmarkStart w:id="4712" w:name="_Toc18715"/>
      <w:bookmarkStart w:id="4713" w:name="_Toc13797"/>
      <w:bookmarkStart w:id="4714" w:name="_Toc5789"/>
      <w:bookmarkStart w:id="4715" w:name="_Toc10829"/>
      <w:bookmarkStart w:id="4716" w:name="_Toc27142"/>
      <w:bookmarkStart w:id="4717" w:name="_Toc27445"/>
      <w:bookmarkStart w:id="4718" w:name="_Toc16894"/>
      <w:bookmarkStart w:id="4719" w:name="_Toc517530921"/>
      <w:bookmarkStart w:id="4720" w:name="_Toc15853"/>
      <w:bookmarkStart w:id="4721" w:name="_Toc588"/>
      <w:bookmarkStart w:id="4722" w:name="_Toc7648"/>
      <w:r>
        <w:rPr>
          <w:rFonts w:hint="eastAsia" w:ascii="宋体" w:hAnsi="宋体" w:cs="宋体"/>
          <w:b/>
          <w:bCs/>
          <w:color w:val="auto"/>
          <w:sz w:val="24"/>
          <w:szCs w:val="24"/>
          <w:highlight w:val="none"/>
        </w:rPr>
        <w:t>16.1.2承包人装备的撤离</w:t>
      </w:r>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在第16.1.1条规定的通知满</w:t>
      </w:r>
      <w:r>
        <w:rPr>
          <w:rFonts w:hint="eastAsia" w:ascii="宋体" w:hAnsi="宋体" w:cs="宋体"/>
          <w:color w:val="auto"/>
          <w:szCs w:val="21"/>
          <w:highlight w:val="none"/>
          <w:u w:val="single"/>
        </w:rPr>
        <w:t>14</w:t>
      </w:r>
      <w:r>
        <w:rPr>
          <w:rFonts w:hint="eastAsia" w:ascii="宋体" w:hAnsi="宋体" w:cs="宋体"/>
          <w:color w:val="auto"/>
          <w:szCs w:val="21"/>
          <w:highlight w:val="none"/>
        </w:rPr>
        <w:t>天之后，承包人将不受第8.1.1条规定的约束，以各种合理的运输手段从现场撤离所有其带至现场的承包人装备。</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723" w:name="_Toc13395"/>
      <w:bookmarkStart w:id="4724" w:name="_Toc419"/>
      <w:bookmarkStart w:id="4725" w:name="_Toc517532198"/>
      <w:bookmarkStart w:id="4726" w:name="_Toc25887"/>
      <w:bookmarkStart w:id="4727" w:name="_Toc5311"/>
      <w:bookmarkStart w:id="4728" w:name="_Toc8546"/>
      <w:bookmarkStart w:id="4729" w:name="_Toc517530922"/>
      <w:bookmarkStart w:id="4730" w:name="_Toc2695"/>
      <w:bookmarkStart w:id="4731" w:name="_Toc30194"/>
      <w:bookmarkStart w:id="4732" w:name="_Toc31800"/>
      <w:bookmarkStart w:id="4733" w:name="_Toc164"/>
      <w:bookmarkStart w:id="4734" w:name="_Toc31464"/>
      <w:bookmarkStart w:id="4735" w:name="_Toc32110"/>
      <w:bookmarkStart w:id="4736" w:name="_Toc31833"/>
      <w:bookmarkStart w:id="4737" w:name="_Toc4999"/>
      <w:bookmarkStart w:id="4738" w:name="_Toc12643"/>
      <w:bookmarkStart w:id="4739" w:name="_Toc9017"/>
      <w:bookmarkStart w:id="4740" w:name="_Toc17661"/>
      <w:bookmarkStart w:id="4741" w:name="_Toc12281"/>
      <w:bookmarkStart w:id="4742" w:name="_Toc12238"/>
      <w:r>
        <w:rPr>
          <w:rFonts w:hint="eastAsia" w:ascii="宋体" w:hAnsi="宋体" w:cs="宋体"/>
          <w:b/>
          <w:bCs/>
          <w:color w:val="auto"/>
          <w:sz w:val="24"/>
          <w:szCs w:val="24"/>
          <w:highlight w:val="none"/>
        </w:rPr>
        <w:t>16.1.3合同终止时的支付</w:t>
      </w:r>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发生上述合同终止，发包人对承包人承担的支付义务，与根据第17条的规定终止合同时所应承担的支付义务相同。但除在第17.7条规定的各项支付之外，发包人还应承担由于该项合同终止而引起的承包人的损失。根据本款规定应支付的款额应由监理人与承包人和发包人协商的确定，并通知承包人，抄送发包人。</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743" w:name="_Toc5374"/>
      <w:bookmarkStart w:id="4744" w:name="_Toc5560"/>
      <w:bookmarkStart w:id="4745" w:name="_Toc367"/>
      <w:bookmarkStart w:id="4746" w:name="_Toc7335"/>
      <w:bookmarkStart w:id="4747" w:name="_Toc23614"/>
      <w:bookmarkStart w:id="4748" w:name="_Toc5602"/>
      <w:bookmarkStart w:id="4749" w:name="_Toc13488"/>
      <w:bookmarkStart w:id="4750" w:name="_Toc19466"/>
      <w:bookmarkStart w:id="4751" w:name="_Toc18016"/>
      <w:bookmarkStart w:id="4752" w:name="_Toc6744"/>
      <w:bookmarkStart w:id="4753" w:name="_Toc21325"/>
      <w:bookmarkStart w:id="4754" w:name="_Toc2208"/>
      <w:bookmarkStart w:id="4755" w:name="_Toc517532199"/>
      <w:bookmarkStart w:id="4756" w:name="_Toc24212"/>
      <w:bookmarkStart w:id="4757" w:name="_Toc16890"/>
      <w:bookmarkStart w:id="4758" w:name="_Toc25146"/>
      <w:bookmarkStart w:id="4759" w:name="_Toc30905"/>
      <w:bookmarkStart w:id="4760" w:name="_Toc2805"/>
      <w:bookmarkStart w:id="4761" w:name="_Toc517530923"/>
      <w:bookmarkStart w:id="4762" w:name="_Toc25316"/>
      <w:r>
        <w:rPr>
          <w:rFonts w:hint="eastAsia" w:ascii="宋体" w:hAnsi="宋体" w:cs="宋体"/>
          <w:b/>
          <w:bCs/>
          <w:color w:val="auto"/>
          <w:sz w:val="24"/>
          <w:szCs w:val="24"/>
          <w:highlight w:val="none"/>
        </w:rPr>
        <w:t>16.1.4承包人暂停工程的权利</w:t>
      </w:r>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发包人发生16.1.1条(a)所述违约事件后，在不损害承包人根据第16.1.1条规定有权终止对本合同项下的承包情况下，承包人可提前28天向发包人出通知并抄送监理人，表明承包人也可能暂停工程，或者降低工程进度率。如果承包人根据本款的规定在向发包人发出通知28天后暂停施工，或者降低了工程进度率，因此而受到延误或发生费用，监理人在与承包人和发包人协商后，承包人有权获得：</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(a)根据第7.6条的规定承包人应得的延长工期；</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(b)应该加到合同价格上的上述费用款额。</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并将此决定通知承包人，抄送发包人。</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763" w:name="_Toc517532200"/>
      <w:bookmarkStart w:id="4764" w:name="_Toc26978"/>
      <w:bookmarkStart w:id="4765" w:name="_Toc7577"/>
      <w:bookmarkStart w:id="4766" w:name="_Toc517530924"/>
      <w:bookmarkStart w:id="4767" w:name="_Toc21245"/>
      <w:bookmarkStart w:id="4768" w:name="_Toc24330"/>
      <w:bookmarkStart w:id="4769" w:name="_Toc20041"/>
      <w:bookmarkStart w:id="4770" w:name="_Toc26438"/>
      <w:bookmarkStart w:id="4771" w:name="_Toc4126"/>
      <w:bookmarkStart w:id="4772" w:name="_Toc19886"/>
      <w:bookmarkStart w:id="4773" w:name="_Toc16022"/>
      <w:bookmarkStart w:id="4774" w:name="_Toc9903"/>
      <w:bookmarkStart w:id="4775" w:name="_Toc19230"/>
      <w:bookmarkStart w:id="4776" w:name="_Toc21791"/>
      <w:bookmarkStart w:id="4777" w:name="_Toc12482"/>
      <w:bookmarkStart w:id="4778" w:name="_Toc19070"/>
      <w:bookmarkStart w:id="4779" w:name="_Toc15481"/>
      <w:bookmarkStart w:id="4780" w:name="_Toc22025"/>
      <w:bookmarkStart w:id="4781" w:name="_Toc12803"/>
      <w:bookmarkStart w:id="4782" w:name="_Toc27863"/>
      <w:r>
        <w:rPr>
          <w:rFonts w:hint="eastAsia" w:ascii="宋体" w:hAnsi="宋体" w:cs="宋体"/>
          <w:b/>
          <w:bCs/>
          <w:color w:val="auto"/>
          <w:sz w:val="24"/>
          <w:szCs w:val="24"/>
          <w:highlight w:val="none"/>
        </w:rPr>
        <w:t>16.1.5工程的复工</w:t>
      </w:r>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承包人按第16.1.4条规定事先发过通知后，已暂停了工程或降低了工程进度率，而发包人后来又支付了应付款额，在这种情况下，如果终止合同的通知未曾发出，则根据16.1.1条规定的承包人权利应予终止，而承包人应该尽可能快地恢复正常工作。</w:t>
      </w:r>
    </w:p>
    <w:bookmarkEnd w:id="4682"/>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783" w:name="_Toc23742"/>
      <w:bookmarkStart w:id="4784" w:name="_Toc465237229"/>
      <w:bookmarkStart w:id="4785" w:name="_Toc517530925"/>
      <w:bookmarkStart w:id="4786" w:name="_Toc517528737"/>
      <w:bookmarkStart w:id="4787" w:name="_Toc12699"/>
      <w:bookmarkStart w:id="4788" w:name="_Toc14617"/>
      <w:bookmarkStart w:id="4789" w:name="_Toc26888"/>
      <w:bookmarkStart w:id="4790" w:name="_Toc517532201"/>
      <w:bookmarkStart w:id="4791" w:name="_Toc12771"/>
      <w:bookmarkStart w:id="4792" w:name="_Toc31830"/>
      <w:bookmarkStart w:id="4793" w:name="_Toc7732"/>
      <w:bookmarkStart w:id="4794" w:name="_Toc2974"/>
      <w:bookmarkStart w:id="4795" w:name="_Toc465237132"/>
      <w:bookmarkStart w:id="4796" w:name="_Toc20536"/>
      <w:bookmarkStart w:id="4797" w:name="_Toc25930"/>
      <w:bookmarkStart w:id="4798" w:name="_Toc22143"/>
      <w:bookmarkStart w:id="4799" w:name="_Toc13531"/>
      <w:bookmarkStart w:id="4800" w:name="_Toc19600"/>
      <w:bookmarkStart w:id="4801" w:name="_Toc29792"/>
      <w:bookmarkStart w:id="4802" w:name="_Toc7158"/>
      <w:bookmarkStart w:id="4803" w:name="_Toc16833"/>
      <w:bookmarkStart w:id="4804" w:name="_Toc28570"/>
      <w:bookmarkStart w:id="4805" w:name="_Toc31577"/>
      <w:bookmarkStart w:id="4806" w:name="_Toc337558822"/>
      <w:bookmarkStart w:id="4807" w:name="_Toc296346632"/>
      <w:bookmarkStart w:id="4808" w:name="_Toc296503131"/>
      <w:r>
        <w:rPr>
          <w:rFonts w:hint="eastAsia" w:ascii="宋体" w:hAnsi="宋体" w:cs="宋体"/>
          <w:b/>
          <w:bCs/>
          <w:color w:val="auto"/>
          <w:sz w:val="28"/>
          <w:szCs w:val="28"/>
          <w:highlight w:val="none"/>
        </w:rPr>
        <w:t>16.2 承包人违约</w:t>
      </w:r>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809" w:name="_Toc18160"/>
      <w:bookmarkStart w:id="4810" w:name="_Toc10436"/>
      <w:bookmarkStart w:id="4811" w:name="_Toc16803"/>
      <w:bookmarkStart w:id="4812" w:name="_Toc18032"/>
      <w:bookmarkStart w:id="4813" w:name="_Toc14590"/>
      <w:bookmarkStart w:id="4814" w:name="_Toc18786"/>
      <w:bookmarkStart w:id="4815" w:name="_Toc517532202"/>
      <w:bookmarkStart w:id="4816" w:name="_Toc27679"/>
      <w:bookmarkStart w:id="4817" w:name="_Toc28714"/>
      <w:bookmarkStart w:id="4818" w:name="_Toc11265"/>
      <w:bookmarkStart w:id="4819" w:name="_Toc13145"/>
      <w:bookmarkStart w:id="4820" w:name="_Toc24421"/>
      <w:bookmarkStart w:id="4821" w:name="_Toc10081"/>
      <w:bookmarkStart w:id="4822" w:name="_Toc7780"/>
      <w:bookmarkStart w:id="4823" w:name="_Toc14825"/>
      <w:bookmarkStart w:id="4824" w:name="_Toc11822"/>
      <w:bookmarkStart w:id="4825" w:name="_Toc17284"/>
      <w:bookmarkStart w:id="4826" w:name="_Toc517530926"/>
      <w:bookmarkStart w:id="4827" w:name="_Toc25785"/>
      <w:bookmarkStart w:id="4828" w:name="_Toc22067"/>
      <w:r>
        <w:rPr>
          <w:rFonts w:hint="eastAsia" w:ascii="宋体" w:hAnsi="宋体" w:cs="宋体"/>
          <w:b/>
          <w:bCs/>
          <w:color w:val="auto"/>
          <w:sz w:val="24"/>
          <w:szCs w:val="24"/>
          <w:highlight w:val="none"/>
        </w:rPr>
        <w:t>16.2.1承包人的违约</w:t>
      </w:r>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从法律上认为承包人已陷入自动申请或强制破产、清算或解散（为合并或改组而进行的自愿清算除外）或无力偿还债务，或承包人已经违反第3.5.1条的规定，或监理人向发包人证明（抄送承包人）认为承包人有下述情况：</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(a)已放弃合同；</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(b)无正当理由而</w:t>
      </w:r>
    </w:p>
    <w:p>
      <w:pPr>
        <w:spacing w:line="360" w:lineRule="auto"/>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①未能根据第7.3条规定开工；</w:t>
      </w:r>
    </w:p>
    <w:p>
      <w:pPr>
        <w:spacing w:line="360" w:lineRule="auto"/>
        <w:ind w:firstLine="840" w:firstLineChars="400"/>
        <w:jc w:val="left"/>
        <w:rPr>
          <w:rFonts w:hint="eastAsia" w:ascii="宋体" w:hAnsi="宋体" w:cs="宋体"/>
          <w:color w:val="auto"/>
          <w:szCs w:val="21"/>
          <w:highlight w:val="none"/>
        </w:rPr>
      </w:pPr>
      <w:r>
        <w:rPr>
          <w:rFonts w:hint="eastAsia" w:ascii="宋体" w:hAnsi="宋体" w:cs="宋体"/>
          <w:color w:val="auto"/>
          <w:szCs w:val="21"/>
          <w:highlight w:val="none"/>
        </w:rPr>
        <w:t>②在接到第7.6.4、7.6.5条规定的通知后的28天内未继续进行本工程或其任一部分的施工；</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(c)在接到根据第9.2.3条规定发出的指令后的28天内不遵守该通知或指令；</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(d)无视监理人事先的书面警告，忽视履行其合同规定的义务；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(e)已经违反第3.5条的规定。</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则发包人在向承包人发出书面通知的</w:t>
      </w:r>
      <w:r>
        <w:rPr>
          <w:rFonts w:hint="eastAsia" w:ascii="宋体" w:hAnsi="宋体" w:cs="宋体"/>
          <w:color w:val="auto"/>
          <w:szCs w:val="21"/>
          <w:highlight w:val="none"/>
          <w:u w:val="single"/>
        </w:rPr>
        <w:t>14</w:t>
      </w:r>
      <w:r>
        <w:rPr>
          <w:rFonts w:hint="eastAsia" w:ascii="宋体" w:hAnsi="宋体" w:cs="宋体"/>
          <w:color w:val="auto"/>
          <w:szCs w:val="21"/>
          <w:highlight w:val="none"/>
        </w:rPr>
        <w:t>天之后进驻现场和接管工程，终止其在本合同项下的承包，但不因此解除合同规定的承包人的任何义务和责任，或影响合同赋予发包人或监理人的各种权利或权限，发包人可自行完成该工程，或邀请其他承包人完成该工程。发包人或上述其他承包人为了完成本工程，可以使用他们认为合适数量的承包人装备、临时工程和材料。</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829" w:name="_Toc17251"/>
      <w:bookmarkStart w:id="4830" w:name="_Toc517530927"/>
      <w:bookmarkStart w:id="4831" w:name="_Toc29712"/>
      <w:bookmarkStart w:id="4832" w:name="_Toc3279"/>
      <w:bookmarkStart w:id="4833" w:name="_Toc13009"/>
      <w:bookmarkStart w:id="4834" w:name="_Toc20521"/>
      <w:bookmarkStart w:id="4835" w:name="_Toc9402"/>
      <w:bookmarkStart w:id="4836" w:name="_Toc9270"/>
      <w:bookmarkStart w:id="4837" w:name="_Toc18286"/>
      <w:bookmarkStart w:id="4838" w:name="_Toc2938"/>
      <w:bookmarkStart w:id="4839" w:name="_Toc517532203"/>
      <w:bookmarkStart w:id="4840" w:name="_Toc16914"/>
      <w:bookmarkStart w:id="4841" w:name="_Toc1301"/>
      <w:bookmarkStart w:id="4842" w:name="_Toc10581"/>
      <w:bookmarkStart w:id="4843" w:name="_Toc23446"/>
      <w:bookmarkStart w:id="4844" w:name="_Toc30099"/>
      <w:bookmarkStart w:id="4845" w:name="_Toc13530"/>
      <w:bookmarkStart w:id="4846" w:name="_Toc23660"/>
      <w:bookmarkStart w:id="4847" w:name="_Toc7089"/>
      <w:bookmarkStart w:id="4848" w:name="_Toc4446"/>
      <w:r>
        <w:rPr>
          <w:rFonts w:hint="eastAsia" w:ascii="宋体" w:hAnsi="宋体" w:cs="宋体"/>
          <w:b/>
          <w:bCs/>
          <w:color w:val="auto"/>
          <w:sz w:val="24"/>
          <w:szCs w:val="24"/>
          <w:highlight w:val="none"/>
        </w:rPr>
        <w:t>16.2.2合同终止之日的估价</w:t>
      </w:r>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在发包人进行上述进驻和终止合同之后，监理人应尽快地通过与各方协商、调查和询问之后，确定以下事项：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(a)在上述进驻和终止合同时，承包人根据合同实际完成的工程已经合理地得到的或理应得到的款额（如有）；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(b)未使用或部分使用过的任何材料、承包人装备和临时工程的价值。</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849" w:name="_Toc9561"/>
      <w:bookmarkStart w:id="4850" w:name="_Toc6635"/>
      <w:bookmarkStart w:id="4851" w:name="_Toc29737"/>
      <w:bookmarkStart w:id="4852" w:name="_Toc517532204"/>
      <w:bookmarkStart w:id="4853" w:name="_Toc12479"/>
      <w:bookmarkStart w:id="4854" w:name="_Toc9016"/>
      <w:bookmarkStart w:id="4855" w:name="_Toc10686"/>
      <w:bookmarkStart w:id="4856" w:name="_Toc11721"/>
      <w:bookmarkStart w:id="4857" w:name="_Toc22062"/>
      <w:bookmarkStart w:id="4858" w:name="_Toc517530928"/>
      <w:bookmarkStart w:id="4859" w:name="_Toc6803"/>
      <w:bookmarkStart w:id="4860" w:name="_Toc5605"/>
      <w:bookmarkStart w:id="4861" w:name="_Toc31872"/>
      <w:bookmarkStart w:id="4862" w:name="_Toc6459"/>
      <w:bookmarkStart w:id="4863" w:name="_Toc16918"/>
      <w:bookmarkStart w:id="4864" w:name="_Toc27204"/>
      <w:bookmarkStart w:id="4865" w:name="_Toc5971"/>
      <w:bookmarkStart w:id="4866" w:name="_Toc23371"/>
      <w:bookmarkStart w:id="4867" w:name="_Toc3613"/>
      <w:bookmarkStart w:id="4868" w:name="_Toc3606"/>
      <w:r>
        <w:rPr>
          <w:rFonts w:hint="eastAsia" w:ascii="宋体" w:hAnsi="宋体" w:cs="宋体"/>
          <w:b/>
          <w:bCs/>
          <w:color w:val="auto"/>
          <w:sz w:val="24"/>
          <w:szCs w:val="24"/>
          <w:highlight w:val="none"/>
        </w:rPr>
        <w:t>16.2.3合同终止后的支付</w:t>
      </w:r>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如果发包人根据本条规定终止承包人在本合同项下的承包，则：</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(a)发包人暂停向承包人支付任何款额（包括损害赔偿费）；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(b)在本工程质量保证金返还之前，由监理人查清承包人实施和完成本工程与缺陷修复应结算的费用、竣工拖期损失赔偿金（如有）以及发包人已实际支付给承包人的各项费用，并予以证实。</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监理人查清证实后，承包人仅能得到由监理人证明的原应支付的已完合格工程的款额，并扣除上述应扣款额之后的余额。如果应扣款额超过承包人应得的原应支付的已完工程的款额，则当发包人提出要求时，承包人应将此超出部分款额付给发包人，并应被视为承包人欠发包人而应予偿还的债务。</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869" w:name="_Toc18869"/>
      <w:bookmarkStart w:id="4870" w:name="_Toc13779"/>
      <w:bookmarkStart w:id="4871" w:name="_Toc24158"/>
      <w:bookmarkStart w:id="4872" w:name="_Toc20654"/>
      <w:bookmarkStart w:id="4873" w:name="_Toc32084"/>
      <w:bookmarkStart w:id="4874" w:name="_Toc22816"/>
      <w:bookmarkStart w:id="4875" w:name="_Toc2243"/>
      <w:bookmarkStart w:id="4876" w:name="_Toc26831"/>
      <w:bookmarkStart w:id="4877" w:name="_Toc19152"/>
      <w:bookmarkStart w:id="4878" w:name="_Toc20066"/>
      <w:bookmarkStart w:id="4879" w:name="_Toc27081"/>
      <w:bookmarkStart w:id="4880" w:name="_Toc23650"/>
      <w:bookmarkStart w:id="4881" w:name="_Toc12984"/>
      <w:bookmarkStart w:id="4882" w:name="_Toc26395"/>
      <w:bookmarkStart w:id="4883" w:name="_Toc517530929"/>
      <w:bookmarkStart w:id="4884" w:name="_Toc10517"/>
      <w:bookmarkStart w:id="4885" w:name="_Toc32190"/>
      <w:bookmarkStart w:id="4886" w:name="_Toc16242"/>
      <w:bookmarkStart w:id="4887" w:name="_Toc15294"/>
      <w:bookmarkStart w:id="4888" w:name="_Toc517532205"/>
      <w:r>
        <w:rPr>
          <w:rFonts w:hint="eastAsia" w:ascii="宋体" w:hAnsi="宋体" w:cs="宋体"/>
          <w:b/>
          <w:bCs/>
          <w:color w:val="auto"/>
          <w:sz w:val="24"/>
          <w:szCs w:val="24"/>
          <w:highlight w:val="none"/>
        </w:rPr>
        <w:t>16.2.4契约利益的转让</w:t>
      </w:r>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除非被法律禁止，在第16.2.1条所指的进驻和终止合同后的</w:t>
      </w:r>
      <w:r>
        <w:rPr>
          <w:rFonts w:hint="eastAsia" w:ascii="宋体" w:hAnsi="宋体" w:cs="宋体"/>
          <w:color w:val="auto"/>
          <w:szCs w:val="21"/>
          <w:highlight w:val="none"/>
          <w:u w:val="single"/>
        </w:rPr>
        <w:t>14</w:t>
      </w:r>
      <w:r>
        <w:rPr>
          <w:rFonts w:hint="eastAsia" w:ascii="宋体" w:hAnsi="宋体" w:cs="宋体"/>
          <w:color w:val="auto"/>
          <w:szCs w:val="21"/>
          <w:highlight w:val="none"/>
        </w:rPr>
        <w:t>天内，如果监理人有指令，承包人应将为本合同工程已经签订的提供任何货物或材料或服务的契约利益，和（或）本合同中任何工程的施工协议的利益转让给发包人。</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4889" w:name="_Toc3636"/>
      <w:bookmarkStart w:id="4890" w:name="_Toc12672"/>
      <w:bookmarkStart w:id="4891" w:name="_Toc5459"/>
      <w:bookmarkStart w:id="4892" w:name="_Toc24710"/>
      <w:bookmarkStart w:id="4893" w:name="_Toc24883"/>
      <w:bookmarkStart w:id="4894" w:name="_Toc23128"/>
      <w:bookmarkStart w:id="4895" w:name="_Toc14176"/>
      <w:bookmarkStart w:id="4896" w:name="_Toc517530930"/>
      <w:bookmarkStart w:id="4897" w:name="_Toc11800"/>
      <w:bookmarkStart w:id="4898" w:name="_Toc6043"/>
      <w:bookmarkStart w:id="4899" w:name="_Toc15018"/>
      <w:bookmarkStart w:id="4900" w:name="_Toc24151"/>
      <w:bookmarkStart w:id="4901" w:name="_Toc10426"/>
      <w:bookmarkStart w:id="4902" w:name="_Toc13749"/>
      <w:bookmarkStart w:id="4903" w:name="_Toc517532206"/>
      <w:bookmarkStart w:id="4904" w:name="_Toc15013"/>
      <w:bookmarkStart w:id="4905" w:name="_Toc1822"/>
      <w:bookmarkStart w:id="4906" w:name="_Toc20115"/>
      <w:bookmarkStart w:id="4907" w:name="_Toc16066"/>
      <w:bookmarkStart w:id="4908" w:name="_Toc3704"/>
      <w:r>
        <w:rPr>
          <w:rFonts w:hint="eastAsia" w:ascii="宋体" w:hAnsi="宋体" w:cs="宋体"/>
          <w:b/>
          <w:bCs/>
          <w:color w:val="auto"/>
          <w:sz w:val="24"/>
          <w:szCs w:val="24"/>
          <w:highlight w:val="none"/>
        </w:rPr>
        <w:t>16.2.5紧急补救工作</w:t>
      </w:r>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无论在工程施工期间或是履约期间，如果由于在工程中或工程的任何部分，或与之有关方面发生事故、失误或其他事件，监理人认为进行补救或其他工作是工程安全的紧急需要，而承包人无能力或不愿意立即进行此类工作时，则发包人有权邀请其他人员实施监理人认为必须做的工作，并支付有关费用。如果监理人认为由发包人按此方式完成的上述工作和补救，是按合同规定应由承包人负责以自费进行的，则因此而引起的或伴随而发生的全部费用，应由监理人在与发包人和承包人适当协商后确定，并由发包人向承包人索回，或由发包人在应付或到期应付给承包人的款项中扣除，监理人应通知承包人，并抄送发包人。但在任何此类紧急事件发生后，监理人应在实际可行的条件下，尽快地通知承包人。</w:t>
      </w:r>
    </w:p>
    <w:bookmarkEnd w:id="4806"/>
    <w:bookmarkEnd w:id="4807"/>
    <w:bookmarkEnd w:id="4808"/>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4909" w:name="_Toc21914"/>
      <w:bookmarkStart w:id="4910" w:name="_Toc29009"/>
      <w:bookmarkStart w:id="4911" w:name="_Toc517528738"/>
      <w:bookmarkStart w:id="4912" w:name="_Toc16808"/>
      <w:bookmarkStart w:id="4913" w:name="_Toc4924"/>
      <w:bookmarkStart w:id="4914" w:name="_Toc23213"/>
      <w:bookmarkStart w:id="4915" w:name="_Toc11315"/>
      <w:bookmarkStart w:id="4916" w:name="_Toc28246"/>
      <w:bookmarkStart w:id="4917" w:name="_Toc31627"/>
      <w:bookmarkStart w:id="4918" w:name="_Toc731"/>
      <w:bookmarkStart w:id="4919" w:name="_Toc465237230"/>
      <w:bookmarkStart w:id="4920" w:name="_Toc465237133"/>
      <w:bookmarkStart w:id="4921" w:name="_Toc6171"/>
      <w:bookmarkStart w:id="4922" w:name="_Toc28176"/>
      <w:bookmarkStart w:id="4923" w:name="_Toc21960"/>
      <w:bookmarkStart w:id="4924" w:name="_Toc27842"/>
      <w:bookmarkStart w:id="4925" w:name="_Toc517532207"/>
      <w:bookmarkStart w:id="4926" w:name="_Toc517529750"/>
      <w:bookmarkStart w:id="4927" w:name="_Toc32122"/>
      <w:bookmarkStart w:id="4928" w:name="_Toc27732"/>
      <w:bookmarkStart w:id="4929" w:name="_Toc32177"/>
      <w:bookmarkStart w:id="4930" w:name="_Toc25677"/>
      <w:bookmarkStart w:id="4931" w:name="_Toc13766"/>
      <w:bookmarkStart w:id="4932" w:name="_Toc517530931"/>
      <w:bookmarkStart w:id="4933" w:name="_Toc296503116"/>
      <w:bookmarkStart w:id="4934" w:name="_Toc296346617"/>
      <w:bookmarkStart w:id="4935" w:name="_Toc351203607"/>
      <w:bookmarkStart w:id="4936" w:name="_Toc337558823"/>
      <w:r>
        <w:rPr>
          <w:rFonts w:hint="eastAsia" w:ascii="宋体" w:hAnsi="宋体" w:cs="宋体"/>
          <w:b/>
          <w:bCs/>
          <w:color w:val="auto"/>
          <w:sz w:val="30"/>
          <w:szCs w:val="30"/>
          <w:highlight w:val="none"/>
        </w:rPr>
        <w:t>17.特殊风险</w:t>
      </w:r>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937" w:name="_Toc17765"/>
      <w:bookmarkStart w:id="4938" w:name="_Toc12678"/>
      <w:bookmarkStart w:id="4939" w:name="_Toc22490"/>
      <w:bookmarkStart w:id="4940" w:name="_Toc28732"/>
      <w:bookmarkStart w:id="4941" w:name="_Toc517532208"/>
      <w:bookmarkStart w:id="4942" w:name="_Toc23869"/>
      <w:bookmarkStart w:id="4943" w:name="_Toc19392"/>
      <w:bookmarkStart w:id="4944" w:name="_Toc13865"/>
      <w:bookmarkStart w:id="4945" w:name="_Toc5130"/>
      <w:bookmarkStart w:id="4946" w:name="_Toc6882"/>
      <w:bookmarkStart w:id="4947" w:name="_Toc7339"/>
      <w:bookmarkStart w:id="4948" w:name="_Toc20822"/>
      <w:bookmarkStart w:id="4949" w:name="_Toc21106"/>
      <w:bookmarkStart w:id="4950" w:name="_Toc4186"/>
      <w:bookmarkStart w:id="4951" w:name="_Toc517528739"/>
      <w:bookmarkStart w:id="4952" w:name="_Toc27311"/>
      <w:bookmarkStart w:id="4953" w:name="_Toc21314"/>
      <w:bookmarkStart w:id="4954" w:name="_Toc517530932"/>
      <w:bookmarkStart w:id="4955" w:name="_Toc13933"/>
      <w:bookmarkStart w:id="4956" w:name="_Toc17531"/>
      <w:bookmarkStart w:id="4957" w:name="_Toc1324"/>
      <w:r>
        <w:rPr>
          <w:rFonts w:hint="eastAsia" w:ascii="宋体" w:hAnsi="宋体" w:cs="宋体"/>
          <w:b/>
          <w:bCs/>
          <w:color w:val="auto"/>
          <w:sz w:val="28"/>
          <w:szCs w:val="28"/>
          <w:highlight w:val="none"/>
        </w:rPr>
        <w:t>17.1特殊风险</w:t>
      </w:r>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特殊风险是指：</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(a)第8.2.6条(a)所定义的风险；以及</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(b)在本工程实施现场附近范围内第8.2.6条(b)、(c)、(d)和(g)所定义的风险。</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958" w:name="_Toc19543"/>
      <w:bookmarkStart w:id="4959" w:name="_Toc517528740"/>
      <w:bookmarkStart w:id="4960" w:name="_Toc8905"/>
      <w:bookmarkStart w:id="4961" w:name="_Toc12637"/>
      <w:bookmarkStart w:id="4962" w:name="_Toc2519"/>
      <w:bookmarkStart w:id="4963" w:name="_Toc16122"/>
      <w:bookmarkStart w:id="4964" w:name="_Toc29453"/>
      <w:bookmarkStart w:id="4965" w:name="_Toc25295"/>
      <w:bookmarkStart w:id="4966" w:name="_Toc6549"/>
      <w:bookmarkStart w:id="4967" w:name="_Toc1443"/>
      <w:bookmarkStart w:id="4968" w:name="_Toc16059"/>
      <w:bookmarkStart w:id="4969" w:name="_Toc19700"/>
      <w:bookmarkStart w:id="4970" w:name="_Toc517530933"/>
      <w:bookmarkStart w:id="4971" w:name="_Toc11433"/>
      <w:bookmarkStart w:id="4972" w:name="_Toc5486"/>
      <w:bookmarkStart w:id="4973" w:name="_Toc11876"/>
      <w:bookmarkStart w:id="4974" w:name="_Toc9987"/>
      <w:bookmarkStart w:id="4975" w:name="_Toc6096"/>
      <w:bookmarkStart w:id="4976" w:name="_Toc1528"/>
      <w:bookmarkStart w:id="4977" w:name="_Toc6239"/>
      <w:bookmarkStart w:id="4978" w:name="_Toc517532209"/>
      <w:r>
        <w:rPr>
          <w:rFonts w:hint="eastAsia" w:ascii="宋体" w:hAnsi="宋体" w:cs="宋体"/>
          <w:b/>
          <w:bCs/>
          <w:color w:val="auto"/>
          <w:sz w:val="28"/>
          <w:szCs w:val="28"/>
          <w:highlight w:val="none"/>
        </w:rPr>
        <w:t>17.2承包人对特殊风险不承担责任</w:t>
      </w:r>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由于第17.1条所指的任何一种特殊风险而发生的以下方面的后果，不论赔偿与否，承包人均不应承担责任：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(a)本工程的破坏或损失（但在下文所指的任何特殊风险发生之前，按第9.2.3条规定而被宣告为不合格的工程除外）；</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(b)发包人或第三者的财产的破坏或损失；</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(c)人身伤亡。</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4979" w:name="_Toc14389"/>
      <w:bookmarkStart w:id="4980" w:name="_Toc5202"/>
      <w:bookmarkStart w:id="4981" w:name="_Toc22571"/>
      <w:bookmarkStart w:id="4982" w:name="_Toc25539"/>
      <w:bookmarkStart w:id="4983" w:name="_Toc14669"/>
      <w:bookmarkStart w:id="4984" w:name="_Toc5804"/>
      <w:bookmarkStart w:id="4985" w:name="_Toc23182"/>
      <w:bookmarkStart w:id="4986" w:name="_Toc27358"/>
      <w:bookmarkStart w:id="4987" w:name="_Toc26541"/>
      <w:bookmarkStart w:id="4988" w:name="_Toc517528741"/>
      <w:bookmarkStart w:id="4989" w:name="_Toc32235"/>
      <w:bookmarkStart w:id="4990" w:name="_Toc4857"/>
      <w:bookmarkStart w:id="4991" w:name="_Toc29374"/>
      <w:bookmarkStart w:id="4992" w:name="_Toc23192"/>
      <w:bookmarkStart w:id="4993" w:name="_Toc5131"/>
      <w:bookmarkStart w:id="4994" w:name="_Toc31264"/>
      <w:bookmarkStart w:id="4995" w:name="_Toc517532210"/>
      <w:bookmarkStart w:id="4996" w:name="_Toc13230"/>
      <w:bookmarkStart w:id="4997" w:name="_Toc17005"/>
      <w:bookmarkStart w:id="4998" w:name="_Toc517530934"/>
      <w:bookmarkStart w:id="4999" w:name="_Toc22911"/>
      <w:r>
        <w:rPr>
          <w:rFonts w:hint="eastAsia" w:ascii="宋体" w:hAnsi="宋体" w:cs="宋体"/>
          <w:b/>
          <w:bCs/>
          <w:color w:val="auto"/>
          <w:sz w:val="28"/>
          <w:szCs w:val="28"/>
          <w:highlight w:val="none"/>
        </w:rPr>
        <w:t>17.3特殊风险对工程的损害</w:t>
      </w:r>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由于上述特殊风险致使本工程和用于本工程的任何材料、设备在现场或在现场附近或在运往现场途中遭到破坏或损害时，根据合同规定承包人应有权对上述受到破坏或损害的已建的永久工程和材料或设备得到付款，而且还应有权按监理人的要求或为了完成工程所必需的下述工作得到付款，即：修复遭受上述破坏或损害的工程。</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监理人应根据第10条规定在与承包人协商并报发包人批准后，确定合同价格的增加额，并通知承包人，抄送发包人。</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000" w:name="_Toc9444"/>
      <w:bookmarkStart w:id="5001" w:name="_Toc31420"/>
      <w:bookmarkStart w:id="5002" w:name="_Toc517528742"/>
      <w:bookmarkStart w:id="5003" w:name="_Toc517530935"/>
      <w:bookmarkStart w:id="5004" w:name="_Toc7822"/>
      <w:bookmarkStart w:id="5005" w:name="_Toc3944"/>
      <w:bookmarkStart w:id="5006" w:name="_Toc22790"/>
      <w:bookmarkStart w:id="5007" w:name="_Toc18456"/>
      <w:bookmarkStart w:id="5008" w:name="_Toc7499"/>
      <w:bookmarkStart w:id="5009" w:name="_Toc517532211"/>
      <w:bookmarkStart w:id="5010" w:name="_Toc11190"/>
      <w:bookmarkStart w:id="5011" w:name="_Toc16415"/>
      <w:bookmarkStart w:id="5012" w:name="_Toc22851"/>
      <w:bookmarkStart w:id="5013" w:name="_Toc5038"/>
      <w:bookmarkStart w:id="5014" w:name="_Toc16655"/>
      <w:bookmarkStart w:id="5015" w:name="_Toc13404"/>
      <w:bookmarkStart w:id="5016" w:name="_Toc31351"/>
      <w:bookmarkStart w:id="5017" w:name="_Toc30332"/>
      <w:bookmarkStart w:id="5018" w:name="_Toc15193"/>
      <w:bookmarkStart w:id="5019" w:name="_Toc14510"/>
      <w:bookmarkStart w:id="5020" w:name="_Toc30453"/>
      <w:r>
        <w:rPr>
          <w:rFonts w:hint="eastAsia" w:ascii="宋体" w:hAnsi="宋体" w:cs="宋体"/>
          <w:b/>
          <w:bCs/>
          <w:color w:val="auto"/>
          <w:sz w:val="28"/>
          <w:szCs w:val="28"/>
          <w:highlight w:val="none"/>
        </w:rPr>
        <w:t>17.4由特殊风险引起的费用增加</w:t>
      </w:r>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除了根据合同的任何其他条款规定应该得到的付款之外，发包人应偿还承包人在施工方面产生的任何费用（但在任何特殊风险发生之前根据第9.2.3条的规定已宣告为不合格的工程的重建；特殊风险发生时停、窝工或承包人装备损坏或用于本工程的周转材料损坏费用除外），无论这些费用可归因于上述特殊风险，或随其发生，或为其后果，或以任何方式与之有关，但要受到本条下文中关于终止合同有关规定的制约，而承包人一旦知道发生此类费用时，应立即通知监理人。监理人在与承包人协商并经发包人批准后，应确定与此有关的应加到合同价格上的费用款额，并通知承包人，抄送发包人。</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021" w:name="_Toc1482"/>
      <w:bookmarkStart w:id="5022" w:name="_Toc19382"/>
      <w:bookmarkStart w:id="5023" w:name="_Toc16767"/>
      <w:bookmarkStart w:id="5024" w:name="_Toc19025"/>
      <w:bookmarkStart w:id="5025" w:name="_Toc21694"/>
      <w:bookmarkStart w:id="5026" w:name="_Toc16077"/>
      <w:bookmarkStart w:id="5027" w:name="_Toc20068"/>
      <w:bookmarkStart w:id="5028" w:name="_Toc18220"/>
      <w:bookmarkStart w:id="5029" w:name="_Toc11583"/>
      <w:bookmarkStart w:id="5030" w:name="_Toc28222"/>
      <w:bookmarkStart w:id="5031" w:name="_Toc379"/>
      <w:bookmarkStart w:id="5032" w:name="_Toc18358"/>
      <w:bookmarkStart w:id="5033" w:name="_Toc16117"/>
      <w:bookmarkStart w:id="5034" w:name="_Toc1548"/>
      <w:bookmarkStart w:id="5035" w:name="_Toc16719"/>
      <w:bookmarkStart w:id="5036" w:name="_Toc683"/>
      <w:bookmarkStart w:id="5037" w:name="_Toc517528743"/>
      <w:bookmarkStart w:id="5038" w:name="_Toc9553"/>
      <w:bookmarkStart w:id="5039" w:name="_Toc517530936"/>
      <w:bookmarkStart w:id="5040" w:name="_Toc8823"/>
      <w:bookmarkStart w:id="5041" w:name="_Toc517532212"/>
      <w:r>
        <w:rPr>
          <w:rFonts w:hint="eastAsia" w:ascii="宋体" w:hAnsi="宋体" w:cs="宋体"/>
          <w:b/>
          <w:bCs/>
          <w:color w:val="auto"/>
          <w:sz w:val="28"/>
          <w:szCs w:val="28"/>
          <w:highlight w:val="none"/>
        </w:rPr>
        <w:t>17.5由特殊风险而终止合同</w:t>
      </w:r>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合同履行过程中，如果发生上述特殊风险，双方都应始终尽所有合理的努力，使特殊风险对履行合同造成的任何延误减至最小。承包人应继续尽最大努力实施和完成工程，除非此种特殊风险的发生对本工程施工有重大实质性影响，并使合同的继续履行已成为不可能。在这种情况下，发包人有权通知承包人终止合同。一经发出此通知，除按本条规定和行使第20条规定的各方权利外，此合同应告终止，但不损害双方中在该风险发生之前所应有的权利。</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042" w:name="_Toc27972"/>
      <w:bookmarkStart w:id="5043" w:name="_Toc894"/>
      <w:bookmarkStart w:id="5044" w:name="_Toc24621"/>
      <w:bookmarkStart w:id="5045" w:name="_Toc517530937"/>
      <w:bookmarkStart w:id="5046" w:name="_Toc29036"/>
      <w:bookmarkStart w:id="5047" w:name="_Toc19126"/>
      <w:bookmarkStart w:id="5048" w:name="_Toc11584"/>
      <w:bookmarkStart w:id="5049" w:name="_Toc17744"/>
      <w:bookmarkStart w:id="5050" w:name="_Toc19712"/>
      <w:bookmarkStart w:id="5051" w:name="_Toc517532213"/>
      <w:bookmarkStart w:id="5052" w:name="_Toc21617"/>
      <w:bookmarkStart w:id="5053" w:name="_Toc19044"/>
      <w:bookmarkStart w:id="5054" w:name="_Toc21182"/>
      <w:bookmarkStart w:id="5055" w:name="_Toc517528744"/>
      <w:bookmarkStart w:id="5056" w:name="_Toc21649"/>
      <w:bookmarkStart w:id="5057" w:name="_Toc5150"/>
      <w:bookmarkStart w:id="5058" w:name="_Toc31295"/>
      <w:bookmarkStart w:id="5059" w:name="_Toc5395"/>
      <w:bookmarkStart w:id="5060" w:name="_Toc27919"/>
      <w:bookmarkStart w:id="5061" w:name="_Toc30667"/>
      <w:bookmarkStart w:id="5062" w:name="_Toc26628"/>
      <w:r>
        <w:rPr>
          <w:rFonts w:hint="eastAsia" w:ascii="宋体" w:hAnsi="宋体" w:cs="宋体"/>
          <w:b/>
          <w:bCs/>
          <w:color w:val="auto"/>
          <w:sz w:val="28"/>
          <w:szCs w:val="28"/>
          <w:highlight w:val="none"/>
        </w:rPr>
        <w:t>17.6终止合同时承包人装备的撤离</w:t>
      </w:r>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如果根据第17.5条的规定终止合同，则承包人应尽快地从现场撤离其一切装备，并为其分包人的尽快撤离提供同样的便利。</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063" w:name="_Toc2490"/>
      <w:bookmarkStart w:id="5064" w:name="_Toc30725"/>
      <w:bookmarkStart w:id="5065" w:name="_Toc30509"/>
      <w:bookmarkStart w:id="5066" w:name="_Toc4472"/>
      <w:bookmarkStart w:id="5067" w:name="_Toc6120"/>
      <w:bookmarkStart w:id="5068" w:name="_Toc14114"/>
      <w:bookmarkStart w:id="5069" w:name="_Toc517530938"/>
      <w:bookmarkStart w:id="5070" w:name="_Toc2122"/>
      <w:bookmarkStart w:id="5071" w:name="_Toc12635"/>
      <w:bookmarkStart w:id="5072" w:name="_Toc517532214"/>
      <w:bookmarkStart w:id="5073" w:name="_Toc32324"/>
      <w:bookmarkStart w:id="5074" w:name="_Toc6059"/>
      <w:bookmarkStart w:id="5075" w:name="_Toc517528745"/>
      <w:bookmarkStart w:id="5076" w:name="_Toc13705"/>
      <w:bookmarkStart w:id="5077" w:name="_Toc7563"/>
      <w:bookmarkStart w:id="5078" w:name="_Toc28488"/>
      <w:bookmarkStart w:id="5079" w:name="_Toc3867"/>
      <w:bookmarkStart w:id="5080" w:name="_Toc25390"/>
      <w:bookmarkStart w:id="5081" w:name="_Toc25284"/>
      <w:bookmarkStart w:id="5082" w:name="_Toc7232"/>
      <w:bookmarkStart w:id="5083" w:name="_Toc7397"/>
      <w:r>
        <w:rPr>
          <w:rFonts w:hint="eastAsia" w:ascii="宋体" w:hAnsi="宋体" w:cs="宋体"/>
          <w:b/>
          <w:bCs/>
          <w:color w:val="auto"/>
          <w:sz w:val="28"/>
          <w:szCs w:val="28"/>
          <w:highlight w:val="none"/>
        </w:rPr>
        <w:t>17.7终止合同的支付</w:t>
      </w:r>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如果合同按前款予以终止，则发包人应向承包人支付在合同终止之日以前已完成的全部工程的费用，其单价和总额价应按合同的规定，并另外支付下述费用：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(a)有关在工程量清单中所指的任何费用项目的应付款额，只要这些项目中的工作或服务已经进行或履行，以及任何此类项中其工作或服务已经进行或履行了的那部分相应比例的费用；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(b)已经交付承包人或承包人依法有责任收货的、为本合同工程合理订购的材料、设备或货物的费用，经发包人支付此项费用，该材料、设备或货物即成为发包人的财产；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(c)作为已合理开支的、确实属于承包人为了完成本合同工程而预期开支的任何款额，而该开支还没有包括在本款提及的各项其他支付之内；</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(d)根据第17.3和17.4条规定应支付的任何附加款额；</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(e)根据第17.6条规定承包人装备的撤离的合理开支部分（应考虑已完成的工程已支付或将支付的费用），以及当承包人提出要求时，将这些装备运回承包人的装备基地，或其他目的地的费用，但不得多索费用。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除按本款规定应予支付上述费用外，亦应有权要求承包人偿还各项预付款的未扣回余额，以及在合同终止之日，按合同规定应由发包人向承包人收回的任何其他款额。根据本款规定应支付的费额，应由监理人在与承包人协商并报发包人批准后确定，然后通知承包人，抄送发包人。</w:t>
      </w:r>
    </w:p>
    <w:bookmarkEnd w:id="4933"/>
    <w:bookmarkEnd w:id="4934"/>
    <w:bookmarkEnd w:id="4935"/>
    <w:bookmarkEnd w:id="4936"/>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5084" w:name="_Toc351203612"/>
      <w:bookmarkStart w:id="5085" w:name="_Toc27595"/>
      <w:bookmarkStart w:id="5086" w:name="_Toc465237134"/>
      <w:bookmarkStart w:id="5087" w:name="_Toc16051"/>
      <w:bookmarkStart w:id="5088" w:name="_Toc1833"/>
      <w:bookmarkStart w:id="5089" w:name="_Toc5363"/>
      <w:bookmarkStart w:id="5090" w:name="_Toc20391"/>
      <w:bookmarkStart w:id="5091" w:name="_Toc24365"/>
      <w:bookmarkStart w:id="5092" w:name="_Toc6507"/>
      <w:bookmarkStart w:id="5093" w:name="_Toc32662"/>
      <w:bookmarkStart w:id="5094" w:name="_Toc12628"/>
      <w:bookmarkStart w:id="5095" w:name="_Toc8410"/>
      <w:bookmarkStart w:id="5096" w:name="_Toc517532215"/>
      <w:bookmarkStart w:id="5097" w:name="_Toc19500"/>
      <w:bookmarkStart w:id="5098" w:name="_Toc517529751"/>
      <w:bookmarkStart w:id="5099" w:name="_Toc12856"/>
      <w:bookmarkStart w:id="5100" w:name="_Toc13868"/>
      <w:bookmarkStart w:id="5101" w:name="_Toc465237231"/>
      <w:bookmarkStart w:id="5102" w:name="_Toc30487"/>
      <w:bookmarkStart w:id="5103" w:name="_Toc1378"/>
      <w:bookmarkStart w:id="5104" w:name="_Toc26014"/>
      <w:bookmarkStart w:id="5105" w:name="_Toc517528746"/>
      <w:bookmarkStart w:id="5106" w:name="_Toc517530939"/>
      <w:bookmarkStart w:id="5107" w:name="_Toc21457"/>
      <w:bookmarkStart w:id="5108" w:name="_Toc2960"/>
      <w:bookmarkStart w:id="5109" w:name="_Toc337558828"/>
      <w:bookmarkStart w:id="5110" w:name="_Toc296346621"/>
      <w:bookmarkStart w:id="5111" w:name="_Toc296503120"/>
      <w:r>
        <w:rPr>
          <w:rFonts w:hint="eastAsia" w:ascii="宋体" w:hAnsi="宋体" w:cs="宋体"/>
          <w:b/>
          <w:bCs/>
          <w:color w:val="auto"/>
          <w:sz w:val="30"/>
          <w:szCs w:val="30"/>
          <w:highlight w:val="none"/>
        </w:rPr>
        <w:t>18.</w:t>
      </w:r>
      <w:bookmarkEnd w:id="5084"/>
      <w:r>
        <w:rPr>
          <w:rFonts w:hint="eastAsia" w:ascii="宋体" w:hAnsi="宋体" w:cs="宋体"/>
          <w:b/>
          <w:bCs/>
          <w:color w:val="auto"/>
          <w:sz w:val="30"/>
          <w:szCs w:val="30"/>
          <w:highlight w:val="none"/>
        </w:rPr>
        <w:t xml:space="preserve"> 保险</w:t>
      </w:r>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112" w:name="_Toc517530940"/>
      <w:bookmarkStart w:id="5113" w:name="_Toc12245"/>
      <w:bookmarkStart w:id="5114" w:name="_Toc28116"/>
      <w:bookmarkStart w:id="5115" w:name="_Toc24462"/>
      <w:bookmarkStart w:id="5116" w:name="_Toc23975"/>
      <w:bookmarkStart w:id="5117" w:name="_Toc16390"/>
      <w:bookmarkStart w:id="5118" w:name="_Toc8941"/>
      <w:bookmarkStart w:id="5119" w:name="_Toc12931"/>
      <w:bookmarkStart w:id="5120" w:name="_Toc27905"/>
      <w:bookmarkStart w:id="5121" w:name="_Toc12690"/>
      <w:bookmarkStart w:id="5122" w:name="_Toc17875"/>
      <w:bookmarkStart w:id="5123" w:name="_Toc31769"/>
      <w:bookmarkStart w:id="5124" w:name="_Toc702"/>
      <w:bookmarkStart w:id="5125" w:name="_Toc23323"/>
      <w:bookmarkStart w:id="5126" w:name="_Toc18104"/>
      <w:bookmarkStart w:id="5127" w:name="_Toc19269"/>
      <w:bookmarkStart w:id="5128" w:name="_Toc517532216"/>
      <w:bookmarkStart w:id="5129" w:name="_Toc19401"/>
      <w:bookmarkStart w:id="5130" w:name="_Toc17797"/>
      <w:bookmarkStart w:id="5131" w:name="_Toc517528747"/>
      <w:bookmarkStart w:id="5132" w:name="_Toc14055"/>
      <w:r>
        <w:rPr>
          <w:rFonts w:hint="eastAsia" w:ascii="宋体" w:hAnsi="宋体" w:cs="宋体"/>
          <w:b/>
          <w:bCs/>
          <w:color w:val="auto"/>
          <w:sz w:val="28"/>
          <w:szCs w:val="28"/>
          <w:highlight w:val="none"/>
        </w:rPr>
        <w:t>18.1工程的保险</w:t>
      </w:r>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在第8.2.1条规定的承包人和发包人的义务和责任不受约束的条件下，发包人已经以承包人和发包人的联名形式为本合同工程投保工程保险（包括第三者责任保险），其保险金额为本合同工程的概算中的建安费金额。上述保险的责任范围应符合保险公司的有关规定。当工程发生损失或损害时，应第一时间（出险当天）报保险顾问公司，在保险顾问公司指导下向保险公司报案，并同时通知业主代表。承包人应在风险发生后及时向发包人提供损失情况和估价报告，并抄送监理人；如损害继续发生，承包人在递交第一次报告后每7天报告一次，直到损害结束。对于发生保险责任范围内的损失及损害，承包人应及时向保险公司报告和索赔，对于涉及发包人权利的损害，承包人也应按监理人指示，协助发包人做好向保险公司的报告和索赔工作。</w:t>
      </w:r>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如保险期限即将结束但工程未完工，承包人须提前二个月以书面形式报告发包人，由发包人与承包人共同商议是否延期投保及延期保费的承担方式。</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133" w:name="_Toc18870"/>
      <w:bookmarkStart w:id="5134" w:name="_Toc9155"/>
      <w:bookmarkStart w:id="5135" w:name="_Toc9665"/>
      <w:bookmarkStart w:id="5136" w:name="_Toc27164"/>
      <w:bookmarkStart w:id="5137" w:name="_Toc2453"/>
      <w:bookmarkStart w:id="5138" w:name="_Toc517530941"/>
      <w:bookmarkStart w:id="5139" w:name="_Toc14074"/>
      <w:bookmarkStart w:id="5140" w:name="_Toc2218"/>
      <w:bookmarkStart w:id="5141" w:name="_Toc8709"/>
      <w:bookmarkStart w:id="5142" w:name="_Toc32657"/>
      <w:bookmarkStart w:id="5143" w:name="_Toc11069"/>
      <w:bookmarkStart w:id="5144" w:name="_Toc29574"/>
      <w:bookmarkStart w:id="5145" w:name="_Toc24099"/>
      <w:bookmarkStart w:id="5146" w:name="_Toc4269"/>
      <w:bookmarkStart w:id="5147" w:name="_Toc517532217"/>
      <w:bookmarkStart w:id="5148" w:name="_Toc9843"/>
      <w:bookmarkStart w:id="5149" w:name="_Toc517528748"/>
      <w:bookmarkStart w:id="5150" w:name="_Toc20926"/>
      <w:bookmarkStart w:id="5151" w:name="_Toc2308"/>
      <w:r>
        <w:rPr>
          <w:rFonts w:hint="eastAsia" w:ascii="宋体" w:hAnsi="宋体" w:cs="宋体"/>
          <w:b/>
          <w:bCs/>
          <w:color w:val="auto"/>
          <w:sz w:val="28"/>
          <w:szCs w:val="28"/>
          <w:highlight w:val="none"/>
        </w:rPr>
        <w:t>18.2发包人与承包人约定的工程保险事项</w:t>
      </w:r>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p>
    <w:p>
      <w:pPr>
        <w:spacing w:line="360" w:lineRule="auto"/>
        <w:ind w:firstLine="420" w:firstLineChars="200"/>
        <w:jc w:val="left"/>
        <w:rPr>
          <w:rFonts w:hint="eastAsia" w:ascii="宋体" w:hAnsi="宋体" w:cs="宋体"/>
          <w:bCs/>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zh-CN"/>
        </w:rPr>
        <w:t xml:space="preserve">发包人投保内容：建筑工程一切险及安装工程一切险（含第三者责任部分）。  </w:t>
      </w:r>
    </w:p>
    <w:p>
      <w:pPr>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 xml:space="preserve">(b)发包人委托承包人办理的保险事项：无论什么原因，若承保工程一旦出险，承包人必须第一时间向监理人、发包人、发包人的保险顾问、承保人报告，对出险现场具有及时抢险、防止风险扩大和临时看管义务，对监理人、发包人或发包人的保险顾问负有配合义务，对于涉及发包人的权利的损害，承包人有义务协助发包人做好向保险公司的索赔工作，若承包人原因造成保险不能索赔或索赔额不足，则由承包人负责赔偿因此造成的一切损失。 </w:t>
      </w:r>
    </w:p>
    <w:p>
      <w:pPr>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c)承包人投保内容：承包人必须足额（投保金额应足以现场重置）为从事危险作业的职工办理意外伤害保险（团体意外保险不得低于20万元/人·年），为场地内自有人员的生命财产及施工机械设备办理保险，支付保险费用。承包人还必须严格执行</w:t>
      </w:r>
      <w:r>
        <w:rPr>
          <w:rFonts w:hint="eastAsia" w:ascii="宋体" w:hAnsi="宋体" w:cs="宋体"/>
          <w:color w:val="auto"/>
          <w:kern w:val="0"/>
          <w:szCs w:val="21"/>
          <w:highlight w:val="none"/>
        </w:rPr>
        <w:t>深圳市相关主管部门的规定，</w:t>
      </w:r>
      <w:r>
        <w:rPr>
          <w:rFonts w:hint="eastAsia" w:ascii="宋体" w:hAnsi="宋体" w:cs="宋体"/>
          <w:color w:val="auto"/>
          <w:szCs w:val="21"/>
          <w:highlight w:val="none"/>
          <w:lang w:val="zh-CN"/>
        </w:rPr>
        <w:t>为本企业雇用的从事建筑施工的农民工参加工伤保险。承包人应保证投保标准足够及保险合同持续有效，否则承包人承担由此引起的一切责任和后果。无论该保险能否索赔或足额索赔，承包人均不能因此向发包人提出任何索赔要求。承包人投保的保单应报监理人和发包人备案。承包人必须服从发包人的保险顾问对与保险有关的事务进行的监督和管理。</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152" w:name="_Toc17739"/>
      <w:bookmarkStart w:id="5153" w:name="_Toc887"/>
      <w:bookmarkStart w:id="5154" w:name="_Toc26418"/>
      <w:bookmarkStart w:id="5155" w:name="_Toc20962"/>
      <w:bookmarkStart w:id="5156" w:name="_Toc31915"/>
      <w:bookmarkStart w:id="5157" w:name="_Toc2939"/>
      <w:bookmarkStart w:id="5158" w:name="_Toc17712"/>
      <w:bookmarkStart w:id="5159" w:name="_Toc12417"/>
      <w:bookmarkStart w:id="5160" w:name="_Toc25868"/>
      <w:bookmarkStart w:id="5161" w:name="_Toc10696"/>
      <w:bookmarkStart w:id="5162" w:name="_Toc29385"/>
      <w:bookmarkStart w:id="5163" w:name="_Toc26958"/>
      <w:bookmarkStart w:id="5164" w:name="_Toc28626"/>
      <w:bookmarkStart w:id="5165" w:name="_Toc517528749"/>
      <w:bookmarkStart w:id="5166" w:name="_Toc517532218"/>
      <w:bookmarkStart w:id="5167" w:name="_Toc29159"/>
      <w:bookmarkStart w:id="5168" w:name="_Toc18052"/>
      <w:bookmarkStart w:id="5169" w:name="_Toc6445"/>
      <w:bookmarkStart w:id="5170" w:name="_Toc21792"/>
      <w:bookmarkStart w:id="5171" w:name="_Toc517530942"/>
      <w:bookmarkStart w:id="5172" w:name="_Toc2871"/>
      <w:r>
        <w:rPr>
          <w:rFonts w:hint="eastAsia" w:ascii="宋体" w:hAnsi="宋体" w:cs="宋体"/>
          <w:b/>
          <w:bCs/>
          <w:color w:val="auto"/>
          <w:sz w:val="28"/>
          <w:szCs w:val="28"/>
          <w:highlight w:val="none"/>
        </w:rPr>
        <w:t>18.3保险范围</w:t>
      </w:r>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第18.1条的保险范围应包括：</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(a)从现场开始工作直至合同工程或其区段或其单项工程（视情况而定）竣工颁发交接证书为止，发包人和承包人遭受的，并由第18.1条所规定的损失或损害；</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(b)由承包人负责的：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①在保修期内，由发生于保修期开始之前的原因造成的损失和损害；</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②在履行第15条规定的承包人义务而进行的任何作业过程中由他人造成的损失或损害。</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173" w:name="_Toc27757"/>
      <w:bookmarkStart w:id="5174" w:name="_Toc20112"/>
      <w:bookmarkStart w:id="5175" w:name="_Toc24544"/>
      <w:bookmarkStart w:id="5176" w:name="_Toc23363"/>
      <w:bookmarkStart w:id="5177" w:name="_Toc517528750"/>
      <w:bookmarkStart w:id="5178" w:name="_Toc15749"/>
      <w:bookmarkStart w:id="5179" w:name="_Toc3364"/>
      <w:bookmarkStart w:id="5180" w:name="_Toc194"/>
      <w:bookmarkStart w:id="5181" w:name="_Toc517532219"/>
      <w:bookmarkStart w:id="5182" w:name="_Toc27005"/>
      <w:bookmarkStart w:id="5183" w:name="_Toc517530943"/>
      <w:bookmarkStart w:id="5184" w:name="_Toc20334"/>
      <w:bookmarkStart w:id="5185" w:name="_Toc19983"/>
      <w:bookmarkStart w:id="5186" w:name="_Toc28127"/>
      <w:bookmarkStart w:id="5187" w:name="_Toc8761"/>
      <w:bookmarkStart w:id="5188" w:name="_Toc19091"/>
      <w:bookmarkStart w:id="5189" w:name="_Toc28601"/>
      <w:bookmarkStart w:id="5190" w:name="_Toc24535"/>
      <w:bookmarkStart w:id="5191" w:name="_Toc14815"/>
      <w:bookmarkStart w:id="5192" w:name="_Toc3361"/>
      <w:bookmarkStart w:id="5193" w:name="_Toc26343"/>
      <w:r>
        <w:rPr>
          <w:rFonts w:hint="eastAsia" w:ascii="宋体" w:hAnsi="宋体" w:cs="宋体"/>
          <w:b/>
          <w:bCs/>
          <w:color w:val="auto"/>
          <w:sz w:val="28"/>
          <w:szCs w:val="28"/>
          <w:highlight w:val="none"/>
        </w:rPr>
        <w:t>18.4承包人装备的保险</w:t>
      </w:r>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在第8.2条规定的承包人的义务和责任不受约束的条件下，承包人应给已经运到现场的承包人装备办理保险，其投保金额足以现场重置。此项保险的一切费用由承包人承担并支付。</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194" w:name="_Toc19244"/>
      <w:bookmarkStart w:id="5195" w:name="_Toc5426"/>
      <w:bookmarkStart w:id="5196" w:name="_Toc11404"/>
      <w:bookmarkStart w:id="5197" w:name="_Toc517530944"/>
      <w:bookmarkStart w:id="5198" w:name="_Toc28789"/>
      <w:bookmarkStart w:id="5199" w:name="_Toc9640"/>
      <w:bookmarkStart w:id="5200" w:name="_Toc30597"/>
      <w:bookmarkStart w:id="5201" w:name="_Toc20621"/>
      <w:bookmarkStart w:id="5202" w:name="_Toc10555"/>
      <w:bookmarkStart w:id="5203" w:name="_Toc974"/>
      <w:bookmarkStart w:id="5204" w:name="_Toc32481"/>
      <w:bookmarkStart w:id="5205" w:name="_Toc17506"/>
      <w:bookmarkStart w:id="5206" w:name="_Toc29550"/>
      <w:bookmarkStart w:id="5207" w:name="_Toc21163"/>
      <w:bookmarkStart w:id="5208" w:name="_Toc17823"/>
      <w:bookmarkStart w:id="5209" w:name="_Toc18711"/>
      <w:bookmarkStart w:id="5210" w:name="_Toc517532220"/>
      <w:bookmarkStart w:id="5211" w:name="_Toc19243"/>
      <w:bookmarkStart w:id="5212" w:name="_Toc517528751"/>
      <w:bookmarkStart w:id="5213" w:name="_Toc18878"/>
      <w:bookmarkStart w:id="5214" w:name="_Toc31765"/>
      <w:r>
        <w:rPr>
          <w:rFonts w:hint="eastAsia" w:ascii="宋体" w:hAnsi="宋体" w:cs="宋体"/>
          <w:b/>
          <w:bCs/>
          <w:color w:val="auto"/>
          <w:sz w:val="28"/>
          <w:szCs w:val="28"/>
          <w:highlight w:val="none"/>
        </w:rPr>
        <w:t>18.5对未能收回偿额的责任</w:t>
      </w:r>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任何不能投保的风险损失或不能从承保人收回的偿额，应根据第8.2.1条对发包人和承包人责任的规定，由发包人或承包人承担。</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215" w:name="_Toc29595"/>
      <w:bookmarkStart w:id="5216" w:name="_Toc517532221"/>
      <w:bookmarkStart w:id="5217" w:name="_Toc30118"/>
      <w:bookmarkStart w:id="5218" w:name="_Toc17995"/>
      <w:bookmarkStart w:id="5219" w:name="_Toc19134"/>
      <w:bookmarkStart w:id="5220" w:name="_Toc517528752"/>
      <w:bookmarkStart w:id="5221" w:name="_Toc19738"/>
      <w:bookmarkStart w:id="5222" w:name="_Toc20132"/>
      <w:bookmarkStart w:id="5223" w:name="_Toc20578"/>
      <w:bookmarkStart w:id="5224" w:name="_Toc21501"/>
      <w:bookmarkStart w:id="5225" w:name="_Toc11637"/>
      <w:bookmarkStart w:id="5226" w:name="_Toc29832"/>
      <w:bookmarkStart w:id="5227" w:name="_Toc517530945"/>
      <w:bookmarkStart w:id="5228" w:name="_Toc3251"/>
      <w:bookmarkStart w:id="5229" w:name="_Toc6965"/>
      <w:bookmarkStart w:id="5230" w:name="_Toc20164"/>
      <w:bookmarkStart w:id="5231" w:name="_Toc9136"/>
      <w:bookmarkStart w:id="5232" w:name="_Toc30374"/>
      <w:bookmarkStart w:id="5233" w:name="_Toc20489"/>
      <w:bookmarkStart w:id="5234" w:name="_Toc3512"/>
      <w:bookmarkStart w:id="5235" w:name="_Toc29276"/>
      <w:r>
        <w:rPr>
          <w:rFonts w:hint="eastAsia" w:ascii="宋体" w:hAnsi="宋体" w:cs="宋体"/>
          <w:b/>
          <w:bCs/>
          <w:color w:val="auto"/>
          <w:sz w:val="28"/>
          <w:szCs w:val="28"/>
          <w:highlight w:val="none"/>
        </w:rPr>
        <w:t>18.6第三者责任险</w:t>
      </w:r>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在第6.2条规定的承包人和发包人的义务和责任不受约束的条件下，发包人已经以承包人与发包人的联名形式为本合同工程投保工程保险（其中包括第三者责任险）。第三者责任险是对因履行本合同而造成的任何财产（本工程及承包人的财产除外）的损失或损害，或任何人员（第6.2.3及18.7条规定的情况除外）的死亡或致伤所负的责任进行保险。因此第18.1条的相应规定同样地适用于本款。</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236" w:name="_Toc30086"/>
      <w:bookmarkStart w:id="5237" w:name="_Toc11582"/>
      <w:bookmarkStart w:id="5238" w:name="_Toc517528753"/>
      <w:bookmarkStart w:id="5239" w:name="_Toc24208"/>
      <w:bookmarkStart w:id="5240" w:name="_Toc517530946"/>
      <w:bookmarkStart w:id="5241" w:name="_Toc8217"/>
      <w:bookmarkStart w:id="5242" w:name="_Toc22706"/>
      <w:bookmarkStart w:id="5243" w:name="_Toc31863"/>
      <w:bookmarkStart w:id="5244" w:name="_Toc14624"/>
      <w:bookmarkStart w:id="5245" w:name="_Toc21298"/>
      <w:bookmarkStart w:id="5246" w:name="_Toc1185"/>
      <w:bookmarkStart w:id="5247" w:name="_Toc6905"/>
      <w:bookmarkStart w:id="5248" w:name="_Toc10287"/>
      <w:bookmarkStart w:id="5249" w:name="_Toc28105"/>
      <w:bookmarkStart w:id="5250" w:name="_Toc517532222"/>
      <w:bookmarkStart w:id="5251" w:name="_Toc31907"/>
      <w:bookmarkStart w:id="5252" w:name="_Toc1563"/>
      <w:bookmarkStart w:id="5253" w:name="_Toc28527"/>
      <w:bookmarkStart w:id="5254" w:name="_Toc14834"/>
      <w:bookmarkStart w:id="5255" w:name="_Toc18080"/>
      <w:bookmarkStart w:id="5256" w:name="_Toc17610"/>
      <w:r>
        <w:rPr>
          <w:rFonts w:hint="eastAsia" w:ascii="宋体" w:hAnsi="宋体" w:cs="宋体"/>
          <w:b/>
          <w:bCs/>
          <w:color w:val="auto"/>
          <w:sz w:val="28"/>
          <w:szCs w:val="28"/>
          <w:highlight w:val="none"/>
        </w:rPr>
        <w:t>18.7职工事故的保险</w:t>
      </w:r>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zh-CN"/>
        </w:rPr>
        <w:t>承包人必须为从事危险作业的职工办理意外伤害保险，支付保险费用。承包人必须严格执行</w:t>
      </w:r>
      <w:r>
        <w:rPr>
          <w:rFonts w:hint="eastAsia" w:ascii="宋体" w:hAnsi="宋体" w:cs="宋体"/>
          <w:color w:val="auto"/>
          <w:szCs w:val="21"/>
          <w:highlight w:val="none"/>
        </w:rPr>
        <w:t>深圳市相关主管部门关于建筑企业参加保险的各项规定</w:t>
      </w:r>
      <w:r>
        <w:rPr>
          <w:rFonts w:hint="eastAsia" w:ascii="宋体" w:hAnsi="宋体" w:cs="宋体"/>
          <w:color w:val="auto"/>
          <w:szCs w:val="21"/>
          <w:highlight w:val="none"/>
          <w:lang w:val="zh-CN"/>
        </w:rPr>
        <w:t>。承包人应保证投保标准足够及保险合同持续有效，否则承包人承担由此引起的一切责任和后果。无论该保险能否索赔或足额索赔，承包人均不能因此向发包人提出任何索赔要求。承包人投保的保单应报监理人和发包人备案。承包人必须服从发包人的保险顾问对与保险有关的事务进行的监督和管理。</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257" w:name="_Toc10070"/>
      <w:bookmarkStart w:id="5258" w:name="_Toc11102"/>
      <w:bookmarkStart w:id="5259" w:name="_Toc22990"/>
      <w:bookmarkStart w:id="5260" w:name="_Toc21417"/>
      <w:bookmarkStart w:id="5261" w:name="_Toc517530947"/>
      <w:bookmarkStart w:id="5262" w:name="_Toc425"/>
      <w:bookmarkStart w:id="5263" w:name="_Toc20642"/>
      <w:bookmarkStart w:id="5264" w:name="_Toc32158"/>
      <w:bookmarkStart w:id="5265" w:name="_Toc517528754"/>
      <w:bookmarkStart w:id="5266" w:name="_Toc16207"/>
      <w:bookmarkStart w:id="5267" w:name="_Toc29544"/>
      <w:bookmarkStart w:id="5268" w:name="_Toc21918"/>
      <w:bookmarkStart w:id="5269" w:name="_Toc18285"/>
      <w:bookmarkStart w:id="5270" w:name="_Toc32253"/>
      <w:bookmarkStart w:id="5271" w:name="_Toc5215"/>
      <w:bookmarkStart w:id="5272" w:name="_Toc517532223"/>
      <w:bookmarkStart w:id="5273" w:name="_Toc20842"/>
      <w:bookmarkStart w:id="5274" w:name="_Toc14763"/>
      <w:bookmarkStart w:id="5275" w:name="_Toc29633"/>
      <w:bookmarkStart w:id="5276" w:name="_Toc27062"/>
      <w:bookmarkStart w:id="5277" w:name="_Toc32371"/>
      <w:r>
        <w:rPr>
          <w:rFonts w:hint="eastAsia" w:ascii="宋体" w:hAnsi="宋体" w:cs="宋体"/>
          <w:b/>
          <w:bCs/>
          <w:color w:val="auto"/>
          <w:sz w:val="28"/>
          <w:szCs w:val="28"/>
          <w:highlight w:val="none"/>
        </w:rPr>
        <w:t>18.8保险的凭证</w:t>
      </w:r>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p>
    <w:p>
      <w:pPr>
        <w:adjustRightInd w:val="0"/>
        <w:snapToGri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承包人应在正式施工前向发包人的保险顾问公司索取工程保险合同，并须在保险顾问的安排下进行保险知识培训。</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278" w:name="_Toc1956"/>
      <w:bookmarkStart w:id="5279" w:name="_Toc517532224"/>
      <w:bookmarkStart w:id="5280" w:name="_Toc19296"/>
      <w:bookmarkStart w:id="5281" w:name="_Toc1491"/>
      <w:bookmarkStart w:id="5282" w:name="_Toc21712"/>
      <w:bookmarkStart w:id="5283" w:name="_Toc18675"/>
      <w:bookmarkStart w:id="5284" w:name="_Toc9605"/>
      <w:bookmarkStart w:id="5285" w:name="_Toc25480"/>
      <w:bookmarkStart w:id="5286" w:name="_Toc241"/>
      <w:bookmarkStart w:id="5287" w:name="_Toc22921"/>
      <w:bookmarkStart w:id="5288" w:name="_Toc25672"/>
      <w:bookmarkStart w:id="5289" w:name="_Toc6470"/>
      <w:bookmarkStart w:id="5290" w:name="_Toc13418"/>
      <w:bookmarkStart w:id="5291" w:name="_Toc7475"/>
      <w:bookmarkStart w:id="5292" w:name="_Toc1898"/>
      <w:bookmarkStart w:id="5293" w:name="_Toc517528755"/>
      <w:bookmarkStart w:id="5294" w:name="_Toc16143"/>
      <w:bookmarkStart w:id="5295" w:name="_Toc52"/>
      <w:bookmarkStart w:id="5296" w:name="_Toc22528"/>
      <w:bookmarkStart w:id="5297" w:name="_Toc517530948"/>
      <w:bookmarkStart w:id="5298" w:name="_Toc22621"/>
      <w:r>
        <w:rPr>
          <w:rFonts w:hint="eastAsia" w:ascii="宋体" w:hAnsi="宋体" w:cs="宋体"/>
          <w:b/>
          <w:bCs/>
          <w:color w:val="auto"/>
          <w:sz w:val="28"/>
          <w:szCs w:val="28"/>
          <w:highlight w:val="none"/>
        </w:rPr>
        <w:t>18.9足够的保险额</w:t>
      </w:r>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当工程施工的性质、规模或计划发生变更时，承包人应及时通知承保人，并在整个期间按合同条款保证足够的保险额。在发生上述通知前，如需对各项保险作任何变动时，承包人应事先与监理人协商并取得发包人的批准。</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299" w:name="_Toc27292"/>
      <w:bookmarkStart w:id="5300" w:name="_Toc517528756"/>
      <w:bookmarkStart w:id="5301" w:name="_Toc8878"/>
      <w:bookmarkStart w:id="5302" w:name="_Toc517532225"/>
      <w:bookmarkStart w:id="5303" w:name="_Toc9907"/>
      <w:bookmarkStart w:id="5304" w:name="_Toc661"/>
      <w:bookmarkStart w:id="5305" w:name="_Toc9612"/>
      <w:bookmarkStart w:id="5306" w:name="_Toc16323"/>
      <w:bookmarkStart w:id="5307" w:name="_Toc2966"/>
      <w:bookmarkStart w:id="5308" w:name="_Toc26352"/>
      <w:bookmarkStart w:id="5309" w:name="_Toc517530949"/>
      <w:bookmarkStart w:id="5310" w:name="_Toc6574"/>
      <w:bookmarkStart w:id="5311" w:name="_Toc5839"/>
      <w:bookmarkStart w:id="5312" w:name="_Toc1151"/>
      <w:bookmarkStart w:id="5313" w:name="_Toc19535"/>
      <w:bookmarkStart w:id="5314" w:name="_Toc29085"/>
      <w:bookmarkStart w:id="5315" w:name="_Toc22567"/>
      <w:bookmarkStart w:id="5316" w:name="_Toc5072"/>
      <w:bookmarkStart w:id="5317" w:name="_Toc6371"/>
      <w:bookmarkStart w:id="5318" w:name="_Toc1275"/>
      <w:bookmarkStart w:id="5319" w:name="_Toc13372"/>
      <w:r>
        <w:rPr>
          <w:rFonts w:hint="eastAsia" w:ascii="宋体" w:hAnsi="宋体" w:cs="宋体"/>
          <w:b/>
          <w:bCs/>
          <w:color w:val="auto"/>
          <w:sz w:val="28"/>
          <w:szCs w:val="28"/>
          <w:highlight w:val="none"/>
        </w:rPr>
        <w:t>18.10遵守保险单的条件</w:t>
      </w:r>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p>
    <w:p>
      <w:pPr>
        <w:adjustRightInd w:val="0"/>
        <w:snapToGrid w:val="0"/>
        <w:spacing w:line="360" w:lineRule="auto"/>
        <w:ind w:firstLine="420" w:firstLineChars="200"/>
        <w:jc w:val="left"/>
        <w:rPr>
          <w:rFonts w:hint="eastAsia" w:ascii="宋体" w:hAnsi="宋体" w:cs="宋体"/>
          <w:color w:val="auto"/>
          <w:szCs w:val="21"/>
          <w:highlight w:val="none"/>
          <w:lang w:val="zh-CN"/>
        </w:rPr>
      </w:pPr>
      <w:r>
        <w:rPr>
          <w:rFonts w:hint="eastAsia" w:ascii="宋体" w:hAnsi="宋体" w:cs="宋体"/>
          <w:color w:val="auto"/>
          <w:szCs w:val="21"/>
          <w:highlight w:val="none"/>
        </w:rPr>
        <w:t>承</w:t>
      </w:r>
      <w:r>
        <w:rPr>
          <w:rFonts w:hint="eastAsia" w:ascii="宋体" w:hAnsi="宋体" w:cs="宋体"/>
          <w:color w:val="auto"/>
          <w:szCs w:val="21"/>
          <w:highlight w:val="none"/>
          <w:lang w:val="zh-CN"/>
        </w:rPr>
        <w:t>包人应对其为本合同工程派遣或雇用的任何人员</w:t>
      </w:r>
      <w:r>
        <w:rPr>
          <w:rFonts w:hint="eastAsia" w:ascii="宋体" w:hAnsi="宋体" w:cs="宋体"/>
          <w:color w:val="auto"/>
          <w:szCs w:val="21"/>
          <w:highlight w:val="none"/>
        </w:rPr>
        <w:t>购买</w:t>
      </w:r>
      <w:r>
        <w:rPr>
          <w:rFonts w:hint="eastAsia" w:ascii="宋体" w:hAnsi="宋体" w:cs="宋体"/>
          <w:color w:val="auto"/>
          <w:szCs w:val="21"/>
          <w:highlight w:val="none"/>
          <w:lang w:val="zh-CN"/>
        </w:rPr>
        <w:t>人身意外保险，并应在全部工作期间持续进行上述保险，同时也应要分包人进行此项保险，该项保险的一切费用应由承包人（或分包人）承担并支付。</w:t>
      </w:r>
    </w:p>
    <w:bookmarkEnd w:id="5109"/>
    <w:bookmarkEnd w:id="5110"/>
    <w:bookmarkEnd w:id="5111"/>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5320" w:name="_Toc351203620"/>
      <w:bookmarkStart w:id="5321" w:name="_Toc31249"/>
      <w:bookmarkStart w:id="5322" w:name="_Toc19590"/>
      <w:bookmarkStart w:id="5323" w:name="_Toc26530"/>
      <w:bookmarkStart w:id="5324" w:name="_Toc21864"/>
      <w:bookmarkStart w:id="5325" w:name="_Toc12452"/>
      <w:bookmarkStart w:id="5326" w:name="_Toc7818"/>
      <w:bookmarkStart w:id="5327" w:name="_Toc517529752"/>
      <w:bookmarkStart w:id="5328" w:name="_Toc4336"/>
      <w:bookmarkStart w:id="5329" w:name="_Toc517528757"/>
      <w:bookmarkStart w:id="5330" w:name="_Toc19474"/>
      <w:bookmarkStart w:id="5331" w:name="_Toc517530950"/>
      <w:bookmarkStart w:id="5332" w:name="_Toc14807"/>
      <w:bookmarkStart w:id="5333" w:name="_Toc1863"/>
      <w:bookmarkStart w:id="5334" w:name="_Toc18763"/>
      <w:bookmarkStart w:id="5335" w:name="_Toc465237232"/>
      <w:bookmarkStart w:id="5336" w:name="_Toc517532226"/>
      <w:bookmarkStart w:id="5337" w:name="_Toc20456"/>
      <w:bookmarkStart w:id="5338" w:name="_Toc1918"/>
      <w:bookmarkStart w:id="5339" w:name="_Toc28122"/>
      <w:bookmarkStart w:id="5340" w:name="_Toc18046"/>
      <w:bookmarkStart w:id="5341" w:name="_Toc22801"/>
      <w:bookmarkStart w:id="5342" w:name="_Toc11343"/>
      <w:bookmarkStart w:id="5343" w:name="_Toc465237135"/>
      <w:bookmarkStart w:id="5344" w:name="_Toc29700"/>
      <w:bookmarkStart w:id="5345" w:name="_Toc337558835"/>
      <w:bookmarkStart w:id="5346" w:name="_Toc296346641"/>
      <w:bookmarkStart w:id="5347" w:name="_Toc296503140"/>
      <w:r>
        <w:rPr>
          <w:rFonts w:hint="eastAsia" w:ascii="宋体" w:hAnsi="宋体" w:cs="宋体"/>
          <w:b/>
          <w:bCs/>
          <w:color w:val="auto"/>
          <w:sz w:val="30"/>
          <w:szCs w:val="30"/>
          <w:highlight w:val="none"/>
        </w:rPr>
        <w:t>19.</w:t>
      </w:r>
      <w:bookmarkEnd w:id="5320"/>
      <w:r>
        <w:rPr>
          <w:rFonts w:hint="eastAsia" w:ascii="宋体" w:hAnsi="宋体" w:cs="宋体"/>
          <w:b/>
          <w:bCs/>
          <w:color w:val="auto"/>
          <w:sz w:val="30"/>
          <w:szCs w:val="30"/>
          <w:highlight w:val="none"/>
        </w:rPr>
        <w:t xml:space="preserve"> 索赔</w:t>
      </w:r>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348" w:name="_Toc23962"/>
      <w:bookmarkStart w:id="5349" w:name="_Toc10177"/>
      <w:bookmarkStart w:id="5350" w:name="_Toc517530951"/>
      <w:bookmarkStart w:id="5351" w:name="_Toc13156"/>
      <w:bookmarkStart w:id="5352" w:name="_Toc28931"/>
      <w:bookmarkStart w:id="5353" w:name="_Toc23723"/>
      <w:bookmarkStart w:id="5354" w:name="_Toc26018"/>
      <w:bookmarkStart w:id="5355" w:name="_Toc32189"/>
      <w:bookmarkStart w:id="5356" w:name="_Toc25909"/>
      <w:bookmarkStart w:id="5357" w:name="_Toc26769"/>
      <w:bookmarkStart w:id="5358" w:name="_Toc5168"/>
      <w:bookmarkStart w:id="5359" w:name="_Toc17604"/>
      <w:bookmarkStart w:id="5360" w:name="_Toc517532227"/>
      <w:bookmarkStart w:id="5361" w:name="_Toc8149"/>
      <w:bookmarkStart w:id="5362" w:name="_Toc20863"/>
      <w:bookmarkStart w:id="5363" w:name="_Toc1183"/>
      <w:bookmarkStart w:id="5364" w:name="_Toc17422"/>
      <w:bookmarkStart w:id="5365" w:name="_Toc465237233"/>
      <w:bookmarkStart w:id="5366" w:name="_Toc517528758"/>
      <w:bookmarkStart w:id="5367" w:name="_Toc5732"/>
      <w:bookmarkStart w:id="5368" w:name="_Toc465237136"/>
      <w:bookmarkStart w:id="5369" w:name="_Toc12428"/>
      <w:bookmarkStart w:id="5370" w:name="_Toc10258"/>
      <w:r>
        <w:rPr>
          <w:rFonts w:hint="eastAsia" w:ascii="宋体" w:hAnsi="宋体" w:cs="宋体"/>
          <w:b/>
          <w:bCs/>
          <w:color w:val="auto"/>
          <w:sz w:val="28"/>
          <w:szCs w:val="28"/>
          <w:highlight w:val="none"/>
        </w:rPr>
        <w:t>19.1承包人的索赔</w:t>
      </w:r>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371" w:name="_Toc19389"/>
      <w:bookmarkStart w:id="5372" w:name="_Toc16554"/>
      <w:bookmarkStart w:id="5373" w:name="_Toc14762"/>
      <w:bookmarkStart w:id="5374" w:name="_Toc4582"/>
      <w:bookmarkStart w:id="5375" w:name="_Toc6971"/>
      <w:bookmarkStart w:id="5376" w:name="_Toc517530952"/>
      <w:bookmarkStart w:id="5377" w:name="_Toc11294"/>
      <w:bookmarkStart w:id="5378" w:name="_Toc517532228"/>
      <w:bookmarkStart w:id="5379" w:name="_Toc26371"/>
      <w:bookmarkStart w:id="5380" w:name="_Toc19379"/>
      <w:bookmarkStart w:id="5381" w:name="_Toc24771"/>
      <w:bookmarkStart w:id="5382" w:name="_Toc4810"/>
      <w:bookmarkStart w:id="5383" w:name="_Toc6108"/>
      <w:bookmarkStart w:id="5384" w:name="_Toc1703"/>
      <w:bookmarkStart w:id="5385" w:name="_Toc31896"/>
      <w:bookmarkStart w:id="5386" w:name="_Toc13961"/>
      <w:bookmarkStart w:id="5387" w:name="_Toc20157"/>
      <w:bookmarkStart w:id="5388" w:name="_Toc20796"/>
      <w:bookmarkStart w:id="5389" w:name="_Toc11248"/>
      <w:bookmarkStart w:id="5390" w:name="_Toc5871"/>
      <w:r>
        <w:rPr>
          <w:rFonts w:hint="eastAsia" w:ascii="宋体" w:hAnsi="宋体" w:cs="宋体"/>
          <w:b/>
          <w:bCs/>
          <w:color w:val="auto"/>
          <w:sz w:val="24"/>
          <w:szCs w:val="24"/>
          <w:highlight w:val="none"/>
        </w:rPr>
        <w:t>19.1.1索赔通知</w:t>
      </w:r>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即使合同有其他规定，如果承包人根据本合同条款任何条款或其他方面要求索取任何附加支付，承包人应在要求索赔的事件首次发生的</w:t>
      </w:r>
      <w:r>
        <w:rPr>
          <w:rFonts w:hint="eastAsia" w:ascii="宋体" w:hAnsi="宋体" w:cs="宋体"/>
          <w:color w:val="auto"/>
          <w:szCs w:val="21"/>
          <w:highlight w:val="none"/>
          <w:u w:val="single"/>
        </w:rPr>
        <w:t>21</w:t>
      </w:r>
      <w:r>
        <w:rPr>
          <w:rFonts w:hint="eastAsia" w:ascii="宋体" w:hAnsi="宋体" w:cs="宋体"/>
          <w:color w:val="auto"/>
          <w:szCs w:val="21"/>
          <w:highlight w:val="none"/>
        </w:rPr>
        <w:t>天之内将索赔的要求书面通知监理人，并抄送发包人。</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391" w:name="_Toc517530953"/>
      <w:bookmarkStart w:id="5392" w:name="_Toc7200"/>
      <w:bookmarkStart w:id="5393" w:name="_Toc12674"/>
      <w:bookmarkStart w:id="5394" w:name="_Toc27092"/>
      <w:bookmarkStart w:id="5395" w:name="_Toc32414"/>
      <w:bookmarkStart w:id="5396" w:name="_Toc2712"/>
      <w:bookmarkStart w:id="5397" w:name="_Toc10558"/>
      <w:bookmarkStart w:id="5398" w:name="_Toc19306"/>
      <w:bookmarkStart w:id="5399" w:name="_Toc21765"/>
      <w:bookmarkStart w:id="5400" w:name="_Toc517532229"/>
      <w:bookmarkStart w:id="5401" w:name="_Toc21460"/>
      <w:bookmarkStart w:id="5402" w:name="_Toc25034"/>
      <w:bookmarkStart w:id="5403" w:name="_Toc25411"/>
      <w:bookmarkStart w:id="5404" w:name="_Toc29261"/>
      <w:bookmarkStart w:id="5405" w:name="_Toc8483"/>
      <w:bookmarkStart w:id="5406" w:name="_Toc28965"/>
      <w:bookmarkStart w:id="5407" w:name="_Toc29338"/>
      <w:bookmarkStart w:id="5408" w:name="_Toc30490"/>
      <w:bookmarkStart w:id="5409" w:name="_Toc13287"/>
      <w:bookmarkStart w:id="5410" w:name="_Toc2558"/>
      <w:r>
        <w:rPr>
          <w:rFonts w:hint="eastAsia" w:ascii="宋体" w:hAnsi="宋体" w:cs="宋体"/>
          <w:b/>
          <w:bCs/>
          <w:color w:val="auto"/>
          <w:sz w:val="24"/>
          <w:szCs w:val="24"/>
          <w:highlight w:val="none"/>
        </w:rPr>
        <w:t>19.1.2索赔的记录</w:t>
      </w:r>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第19.1.1条所指事件发生时，承包人应保存相关记录，以便合理地证明要申请的索赔。监理人在接到第19.1.1条所述的通知时，不必以承认是否系发包人责任为前提，先应审查这些记录，并可指示承包人进一步作好相关记录，该记录是承包人发出的索赔的重要补充资料。承包人应允许监理人审查根据本款规定而保存的全部记录，并当监理人指令要记录的复制件时，向监理人提交。</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411" w:name="_Toc25231"/>
      <w:bookmarkStart w:id="5412" w:name="_Toc26052"/>
      <w:bookmarkStart w:id="5413" w:name="_Toc14480"/>
      <w:bookmarkStart w:id="5414" w:name="_Toc12531"/>
      <w:bookmarkStart w:id="5415" w:name="_Toc11058"/>
      <w:bookmarkStart w:id="5416" w:name="_Toc19263"/>
      <w:bookmarkStart w:id="5417" w:name="_Toc19405"/>
      <w:bookmarkStart w:id="5418" w:name="_Toc11226"/>
      <w:bookmarkStart w:id="5419" w:name="_Toc8567"/>
      <w:bookmarkStart w:id="5420" w:name="_Toc16136"/>
      <w:bookmarkStart w:id="5421" w:name="_Toc13906"/>
      <w:bookmarkStart w:id="5422" w:name="_Toc16511"/>
      <w:bookmarkStart w:id="5423" w:name="_Toc18740"/>
      <w:bookmarkStart w:id="5424" w:name="_Toc25798"/>
      <w:bookmarkStart w:id="5425" w:name="_Toc19105"/>
      <w:bookmarkStart w:id="5426" w:name="_Toc7930"/>
      <w:bookmarkStart w:id="5427" w:name="_Toc517530954"/>
      <w:bookmarkStart w:id="5428" w:name="_Toc517532230"/>
      <w:bookmarkStart w:id="5429" w:name="_Toc20799"/>
      <w:bookmarkStart w:id="5430" w:name="_Toc13333"/>
      <w:r>
        <w:rPr>
          <w:rFonts w:hint="eastAsia" w:ascii="宋体" w:hAnsi="宋体" w:cs="宋体"/>
          <w:b/>
          <w:bCs/>
          <w:color w:val="auto"/>
          <w:sz w:val="24"/>
          <w:szCs w:val="24"/>
          <w:highlight w:val="none"/>
        </w:rPr>
        <w:t>19.1.3索赔的证明</w:t>
      </w:r>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在根据第19.1.1条规定发出通知后的</w:t>
      </w:r>
      <w:r>
        <w:rPr>
          <w:rFonts w:hint="eastAsia" w:ascii="宋体" w:hAnsi="宋体" w:cs="宋体"/>
          <w:color w:val="auto"/>
          <w:szCs w:val="21"/>
          <w:highlight w:val="none"/>
          <w:u w:val="single"/>
        </w:rPr>
        <w:t>21</w:t>
      </w:r>
      <w:r>
        <w:rPr>
          <w:rFonts w:hint="eastAsia" w:ascii="宋体" w:hAnsi="宋体" w:cs="宋体"/>
          <w:color w:val="auto"/>
          <w:szCs w:val="21"/>
          <w:highlight w:val="none"/>
        </w:rPr>
        <w:t>天内，或在可能得到监理人同意的另一合理期限之内，承包人应向监理人提交一份说明索赔款额的具体细节账目，并说明索赔所依据的理由。在要求索赔的事件具有持续作用的情况下，上述账目应认为是一笔暂时账目，承包人应在监理人合理要求的间隔时间内，送交后来进一步发生的暂时账目和作为索赔依据的进一步理由。在暂时账目陆续送交监理人的条件下，承包人应该在要求索赔事件终止后</w:t>
      </w:r>
      <w:r>
        <w:rPr>
          <w:rFonts w:hint="eastAsia" w:ascii="宋体" w:hAnsi="宋体" w:cs="宋体"/>
          <w:color w:val="auto"/>
          <w:szCs w:val="21"/>
          <w:highlight w:val="none"/>
          <w:u w:val="single"/>
        </w:rPr>
        <w:t>21</w:t>
      </w:r>
      <w:r>
        <w:rPr>
          <w:rFonts w:hint="eastAsia" w:ascii="宋体" w:hAnsi="宋体" w:cs="宋体"/>
          <w:color w:val="auto"/>
          <w:szCs w:val="21"/>
          <w:highlight w:val="none"/>
        </w:rPr>
        <w:t>天之内送出最后账目。如果监理人有此要求，承包人应将根据本款规定送交监理人的全部账目的复制件送交发包人。</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431" w:name="_Toc14108"/>
      <w:bookmarkStart w:id="5432" w:name="_Toc16422"/>
      <w:bookmarkStart w:id="5433" w:name="_Toc24627"/>
      <w:bookmarkStart w:id="5434" w:name="_Toc11074"/>
      <w:bookmarkStart w:id="5435" w:name="_Toc25168"/>
      <w:bookmarkStart w:id="5436" w:name="_Toc517532231"/>
      <w:bookmarkStart w:id="5437" w:name="_Toc21709"/>
      <w:bookmarkStart w:id="5438" w:name="_Toc31573"/>
      <w:bookmarkStart w:id="5439" w:name="_Toc17146"/>
      <w:bookmarkStart w:id="5440" w:name="_Toc30949"/>
      <w:bookmarkStart w:id="5441" w:name="_Toc9838"/>
      <w:bookmarkStart w:id="5442" w:name="_Toc32617"/>
      <w:bookmarkStart w:id="5443" w:name="_Toc517530955"/>
      <w:bookmarkStart w:id="5444" w:name="_Toc21782"/>
      <w:bookmarkStart w:id="5445" w:name="_Toc16461"/>
      <w:bookmarkStart w:id="5446" w:name="_Toc24226"/>
      <w:bookmarkStart w:id="5447" w:name="_Toc24962"/>
      <w:bookmarkStart w:id="5448" w:name="_Toc19617"/>
      <w:bookmarkStart w:id="5449" w:name="_Toc28619"/>
      <w:bookmarkStart w:id="5450" w:name="_Toc12596"/>
      <w:r>
        <w:rPr>
          <w:rFonts w:hint="eastAsia" w:ascii="宋体" w:hAnsi="宋体" w:cs="宋体"/>
          <w:b/>
          <w:bCs/>
          <w:color w:val="auto"/>
          <w:sz w:val="24"/>
          <w:szCs w:val="24"/>
          <w:highlight w:val="none"/>
        </w:rPr>
        <w:t>19.1.4索赔限制</w:t>
      </w:r>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如果承包人提出的任何索赔要求未能遵守本条中有关索赔的各项规定，则承包人有权得到的索赔付款不超过监理人或法院（即按第20条指定的对索赔进行评定者）认为可以按当时记录予以核实的款额。</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451" w:name="_Toc27413"/>
      <w:bookmarkStart w:id="5452" w:name="_Toc5178"/>
      <w:bookmarkStart w:id="5453" w:name="_Toc31682"/>
      <w:bookmarkStart w:id="5454" w:name="_Toc26106"/>
      <w:bookmarkStart w:id="5455" w:name="_Toc21893"/>
      <w:bookmarkStart w:id="5456" w:name="_Toc4090"/>
      <w:bookmarkStart w:id="5457" w:name="_Toc517532232"/>
      <w:bookmarkStart w:id="5458" w:name="_Toc29769"/>
      <w:bookmarkStart w:id="5459" w:name="_Toc517530956"/>
      <w:bookmarkStart w:id="5460" w:name="_Toc12204"/>
      <w:bookmarkStart w:id="5461" w:name="_Toc30459"/>
      <w:bookmarkStart w:id="5462" w:name="_Toc6754"/>
      <w:bookmarkStart w:id="5463" w:name="_Toc671"/>
      <w:bookmarkStart w:id="5464" w:name="_Toc18211"/>
      <w:bookmarkStart w:id="5465" w:name="_Toc19150"/>
      <w:bookmarkStart w:id="5466" w:name="_Toc26062"/>
      <w:bookmarkStart w:id="5467" w:name="_Toc13945"/>
      <w:bookmarkStart w:id="5468" w:name="_Toc29585"/>
      <w:bookmarkStart w:id="5469" w:name="_Toc26540"/>
      <w:bookmarkStart w:id="5470" w:name="_Toc5176"/>
      <w:r>
        <w:rPr>
          <w:rFonts w:hint="eastAsia" w:ascii="宋体" w:hAnsi="宋体" w:cs="宋体"/>
          <w:b/>
          <w:bCs/>
          <w:color w:val="auto"/>
          <w:sz w:val="24"/>
          <w:szCs w:val="24"/>
          <w:highlight w:val="none"/>
        </w:rPr>
        <w:t>19.1.5索赔的支付</w:t>
      </w:r>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监理人应对承包人根据上述各款规定提供的索赔证据和细节账目等有关资料进行审查核实，在与承包人协商并报经发包人批准后，确定承包人有权得到的全部或部分的索赔款额，并列入核签的期中支付证书或最后支付证书内予以支付。监理人应将此决定通知承包人，并抄送发包人。</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如果承包人未能在第19.1.1和19.1.3条规定的时间内，将要求索赔的通知和说明索赔款额的具体细节账目与索赔所依据的理由等证实资料交监理人，则监理人事后可不予受理。</w:t>
      </w:r>
    </w:p>
    <w:p>
      <w:pPr>
        <w:keepNext/>
        <w:keepLines/>
        <w:spacing w:before="156" w:beforeLines="50" w:after="156" w:afterLines="50" w:line="360" w:lineRule="auto"/>
        <w:ind w:firstLine="728"/>
        <w:outlineLvl w:val="3"/>
        <w:rPr>
          <w:rFonts w:hint="eastAsia" w:ascii="宋体" w:hAnsi="宋体" w:cs="宋体"/>
          <w:b/>
          <w:bCs/>
          <w:color w:val="auto"/>
          <w:sz w:val="24"/>
          <w:szCs w:val="24"/>
          <w:highlight w:val="none"/>
        </w:rPr>
      </w:pPr>
      <w:bookmarkStart w:id="5471" w:name="_Toc7378"/>
      <w:bookmarkStart w:id="5472" w:name="_Toc16826"/>
      <w:bookmarkStart w:id="5473" w:name="_Toc5247"/>
      <w:bookmarkStart w:id="5474" w:name="_Toc30782"/>
      <w:bookmarkStart w:id="5475" w:name="_Toc16659"/>
      <w:bookmarkStart w:id="5476" w:name="_Toc32119"/>
      <w:bookmarkStart w:id="5477" w:name="_Toc28923"/>
      <w:bookmarkStart w:id="5478" w:name="_Toc517530957"/>
      <w:bookmarkStart w:id="5479" w:name="_Toc18231"/>
      <w:bookmarkStart w:id="5480" w:name="_Toc7993"/>
      <w:bookmarkStart w:id="5481" w:name="_Toc995"/>
      <w:bookmarkStart w:id="5482" w:name="_Toc25208"/>
      <w:bookmarkStart w:id="5483" w:name="_Toc2628"/>
      <w:bookmarkStart w:id="5484" w:name="_Toc885"/>
      <w:bookmarkStart w:id="5485" w:name="_Toc28482"/>
      <w:bookmarkStart w:id="5486" w:name="_Toc19606"/>
      <w:bookmarkStart w:id="5487" w:name="_Toc13208"/>
      <w:bookmarkStart w:id="5488" w:name="_Toc8531"/>
      <w:bookmarkStart w:id="5489" w:name="_Toc648"/>
      <w:bookmarkStart w:id="5490" w:name="_Toc517532233"/>
      <w:r>
        <w:rPr>
          <w:rFonts w:hint="eastAsia" w:ascii="宋体" w:hAnsi="宋体" w:cs="宋体"/>
          <w:b/>
          <w:bCs/>
          <w:color w:val="auto"/>
          <w:sz w:val="24"/>
          <w:szCs w:val="24"/>
          <w:highlight w:val="none"/>
        </w:rPr>
        <w:t>19.1.6因发包人原因造成的停工</w:t>
      </w:r>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于发包人原因造成暂时停工持续63天以上的，双方可以按照情势变更原则，协商停工超过63天以上部分的费用补偿（不计停工后63天之内造成的损失，承包人在停工后63天之内遣散人员、承包人装备、临时工程和材料退场等费用不予补偿）。发包人原因造成的停工仅影响本工程的一部分时，发包人仅对受此停工影响工程的部分造成的损失与承包人协商补偿事宜。由于发包人原因造成暂时停工未持续超过63天的，费用不予补偿。</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原因导致持续暂时停工情况发生时，承包人应采取有效措施将损失降到最低，否则造成的额外损失由承包人承担，发包人不予补偿。承包人应采取的有效措施包括但不限于遣散不必要的承包人职员和工人、安排不必要的承包人装备、临时工程和材料退场等。承包人的应对措施在征得发包人同意后，应及时将暂时停工63天之后涉及费用预算报送发包人，作为双方协商补偿事宜的依据；承包人不执行监理人或发包人指令以降低损失的，由此造成的损失发包人不予补偿。</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承包人不得提出无理高价索赔，不得以此为由暂停不受影响工程的施工，或拒绝执行监理人或发包人的指令，否则发包人可对承包人予以记录不良行为。</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491" w:name="_Toc19439"/>
      <w:bookmarkStart w:id="5492" w:name="_Toc465237234"/>
      <w:bookmarkStart w:id="5493" w:name="_Toc19197"/>
      <w:bookmarkStart w:id="5494" w:name="_Toc20557"/>
      <w:bookmarkStart w:id="5495" w:name="_Toc517528759"/>
      <w:bookmarkStart w:id="5496" w:name="_Toc30105"/>
      <w:bookmarkStart w:id="5497" w:name="_Toc18413"/>
      <w:bookmarkStart w:id="5498" w:name="_Toc7514"/>
      <w:bookmarkStart w:id="5499" w:name="_Toc517530958"/>
      <w:bookmarkStart w:id="5500" w:name="_Toc14157"/>
      <w:bookmarkStart w:id="5501" w:name="_Toc465237137"/>
      <w:bookmarkStart w:id="5502" w:name="_Toc24853"/>
      <w:bookmarkStart w:id="5503" w:name="_Toc11601"/>
      <w:bookmarkStart w:id="5504" w:name="_Toc19492"/>
      <w:bookmarkStart w:id="5505" w:name="_Toc28060"/>
      <w:bookmarkStart w:id="5506" w:name="_Toc303"/>
      <w:bookmarkStart w:id="5507" w:name="_Toc31154"/>
      <w:bookmarkStart w:id="5508" w:name="_Toc2479"/>
      <w:bookmarkStart w:id="5509" w:name="_Toc2114"/>
      <w:bookmarkStart w:id="5510" w:name="_Toc30380"/>
      <w:bookmarkStart w:id="5511" w:name="_Toc31389"/>
      <w:bookmarkStart w:id="5512" w:name="_Toc517532234"/>
      <w:bookmarkStart w:id="5513" w:name="_Toc28202"/>
      <w:r>
        <w:rPr>
          <w:rFonts w:hint="eastAsia" w:ascii="宋体" w:hAnsi="宋体" w:cs="宋体"/>
          <w:b/>
          <w:bCs/>
          <w:color w:val="auto"/>
          <w:sz w:val="28"/>
          <w:szCs w:val="28"/>
          <w:highlight w:val="none"/>
        </w:rPr>
        <w:t>19.2发包人的索赔</w:t>
      </w:r>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本合同的有关规定，发包人如果认为有权得到任何付款和（或）对履约担保期限的任何延长，发包人应在了解引起索赔事项或情况后7天内发出索赔通知，关于履约担保期限延长的通知应在该期限到期前14天内发出。上述通知应详细说明提出索赔依据的合同条款或其他依据，还应说明根据合同发包人有权得到索赔金额和（或）延长期限的事实根据。监理人在充分了解和与发包人或承包人沟通后，合理确定发包人有权得到的由承包人支付的金额（如果有），和（或）延长履约担保的期限（如果有），并有权在当期（或最后）支付证书中作为扣减项进行冲销或扣除，或另外对承包人提出索赔。</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本款的履行不影响发包人对合同其他条款权利的缩小或免除。</w:t>
      </w:r>
    </w:p>
    <w:bookmarkEnd w:id="5345"/>
    <w:bookmarkEnd w:id="5346"/>
    <w:bookmarkEnd w:id="5347"/>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5514" w:name="_Toc351203626"/>
      <w:bookmarkStart w:id="5515" w:name="_Toc517528760"/>
      <w:bookmarkStart w:id="5516" w:name="_Toc517530959"/>
      <w:bookmarkStart w:id="5517" w:name="_Toc5046"/>
      <w:bookmarkStart w:id="5518" w:name="_Toc19499"/>
      <w:bookmarkStart w:id="5519" w:name="_Toc517529753"/>
      <w:bookmarkStart w:id="5520" w:name="_Toc10309"/>
      <w:bookmarkStart w:id="5521" w:name="_Toc32757"/>
      <w:bookmarkStart w:id="5522" w:name="_Toc465237235"/>
      <w:bookmarkStart w:id="5523" w:name="_Toc19133"/>
      <w:bookmarkStart w:id="5524" w:name="_Toc4957"/>
      <w:bookmarkStart w:id="5525" w:name="_Toc2768"/>
      <w:bookmarkStart w:id="5526" w:name="_Toc1609"/>
      <w:bookmarkStart w:id="5527" w:name="_Toc14626"/>
      <w:bookmarkStart w:id="5528" w:name="_Toc3004"/>
      <w:bookmarkStart w:id="5529" w:name="_Toc22602"/>
      <w:bookmarkStart w:id="5530" w:name="_Toc21992"/>
      <w:bookmarkStart w:id="5531" w:name="_Toc517532235"/>
      <w:bookmarkStart w:id="5532" w:name="_Toc465237138"/>
      <w:bookmarkStart w:id="5533" w:name="_Toc11803"/>
      <w:bookmarkStart w:id="5534" w:name="_Toc27214"/>
      <w:bookmarkStart w:id="5535" w:name="_Toc21670"/>
      <w:bookmarkStart w:id="5536" w:name="_Toc32715"/>
      <w:bookmarkStart w:id="5537" w:name="_Toc24314"/>
      <w:bookmarkStart w:id="5538" w:name="_Toc15976"/>
      <w:bookmarkStart w:id="5539" w:name="_Toc337558840"/>
      <w:bookmarkStart w:id="5540" w:name="_Toc296346647"/>
      <w:bookmarkStart w:id="5541" w:name="_Toc296503146"/>
      <w:r>
        <w:rPr>
          <w:rFonts w:hint="eastAsia" w:ascii="宋体" w:hAnsi="宋体" w:cs="宋体"/>
          <w:b/>
          <w:bCs/>
          <w:color w:val="auto"/>
          <w:sz w:val="30"/>
          <w:szCs w:val="30"/>
          <w:highlight w:val="none"/>
        </w:rPr>
        <w:t>20.</w:t>
      </w:r>
      <w:bookmarkEnd w:id="5514"/>
      <w:r>
        <w:rPr>
          <w:rFonts w:hint="eastAsia" w:ascii="宋体" w:hAnsi="宋体" w:cs="宋体"/>
          <w:b/>
          <w:bCs/>
          <w:color w:val="auto"/>
          <w:sz w:val="30"/>
          <w:szCs w:val="30"/>
          <w:highlight w:val="none"/>
        </w:rPr>
        <w:t xml:space="preserve"> 争议解决</w:t>
      </w:r>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542" w:name="_Toc4130"/>
      <w:bookmarkStart w:id="5543" w:name="_Toc13201"/>
      <w:bookmarkStart w:id="5544" w:name="_Toc19807"/>
      <w:bookmarkStart w:id="5545" w:name="_Toc27606"/>
      <w:bookmarkStart w:id="5546" w:name="_Toc32024"/>
      <w:bookmarkStart w:id="5547" w:name="_Toc29970"/>
      <w:bookmarkStart w:id="5548" w:name="_Toc16846"/>
      <w:bookmarkStart w:id="5549" w:name="_Toc20171"/>
      <w:bookmarkStart w:id="5550" w:name="_Toc31546"/>
      <w:bookmarkStart w:id="5551" w:name="_Toc8372"/>
      <w:bookmarkStart w:id="5552" w:name="_Toc517528761"/>
      <w:bookmarkStart w:id="5553" w:name="_Toc3382"/>
      <w:bookmarkStart w:id="5554" w:name="_Toc32614"/>
      <w:bookmarkStart w:id="5555" w:name="_Toc517532236"/>
      <w:bookmarkStart w:id="5556" w:name="_Toc23804"/>
      <w:bookmarkStart w:id="5557" w:name="_Toc12441"/>
      <w:bookmarkStart w:id="5558" w:name="_Toc517530960"/>
      <w:bookmarkStart w:id="5559" w:name="_Toc6133"/>
      <w:bookmarkStart w:id="5560" w:name="_Toc31231"/>
      <w:bookmarkStart w:id="5561" w:name="_Toc2664"/>
      <w:bookmarkStart w:id="5562" w:name="_Toc465237236"/>
      <w:bookmarkStart w:id="5563" w:name="_Toc32077"/>
      <w:r>
        <w:rPr>
          <w:rFonts w:hint="eastAsia" w:ascii="宋体" w:hAnsi="宋体" w:cs="宋体"/>
          <w:b/>
          <w:bCs/>
          <w:color w:val="auto"/>
          <w:sz w:val="28"/>
          <w:szCs w:val="28"/>
          <w:highlight w:val="none"/>
        </w:rPr>
        <w:t>20.1监理人的裁定</w:t>
      </w:r>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和发包人因本合同工程产生的任何争端，首先应书面提交监理人解决，并抄送另一方，此提交文件应写明是根据本条规定作出的。监理人在收到该提交件后42天之内应将自己的裁定通知发包人和承包人。此裁定应写明是根据本条规定作出的。</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除非合同已被终止，承包人无论在什么情况下都应尽一切努力继续完成本工程。而且承包人和发包人应使监理人的上述每一项裁定付诸实施，除非到该裁定按第20.2或20.3条规定的方式作出更改。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监理人已将其对此争端的裁定通知了发包人或承包人，而发包人和承包人在收到该通知之日起的42天当天或之前，任何一方均未向其提出要求按第20.2条双方进行友好协商或通过双方上级主管部门进行调解；或者在上述协商或调解达不成协议后的42天当天或以前，任何一方均未通知另一方提出要求按第20.3条开始起诉的意向，则监理人的上述裁定应是最后的裁定；并对发包人和承包人均有约束力。</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564" w:name="_Toc27890"/>
      <w:bookmarkStart w:id="5565" w:name="_Toc10701"/>
      <w:bookmarkStart w:id="5566" w:name="_Toc31299"/>
      <w:bookmarkStart w:id="5567" w:name="_Toc17550"/>
      <w:bookmarkStart w:id="5568" w:name="_Toc19575"/>
      <w:bookmarkStart w:id="5569" w:name="_Toc14862"/>
      <w:bookmarkStart w:id="5570" w:name="_Toc11050"/>
      <w:bookmarkStart w:id="5571" w:name="_Toc17014"/>
      <w:bookmarkStart w:id="5572" w:name="_Toc24874"/>
      <w:bookmarkStart w:id="5573" w:name="_Toc31940"/>
      <w:bookmarkStart w:id="5574" w:name="_Toc17221"/>
      <w:bookmarkStart w:id="5575" w:name="_Toc517528762"/>
      <w:bookmarkStart w:id="5576" w:name="_Toc517530961"/>
      <w:bookmarkStart w:id="5577" w:name="_Toc14632"/>
      <w:bookmarkStart w:id="5578" w:name="_Toc3860"/>
      <w:bookmarkStart w:id="5579" w:name="_Toc30309"/>
      <w:bookmarkStart w:id="5580" w:name="_Toc12414"/>
      <w:bookmarkStart w:id="5581" w:name="_Toc27465"/>
      <w:bookmarkStart w:id="5582" w:name="_Toc12755"/>
      <w:bookmarkStart w:id="5583" w:name="_Toc14814"/>
      <w:bookmarkStart w:id="5584" w:name="_Toc517532237"/>
      <w:bookmarkStart w:id="5585" w:name="_Toc465237237"/>
      <w:r>
        <w:rPr>
          <w:rFonts w:hint="eastAsia" w:ascii="宋体" w:hAnsi="宋体" w:cs="宋体"/>
          <w:b/>
          <w:bCs/>
          <w:color w:val="auto"/>
          <w:sz w:val="28"/>
          <w:szCs w:val="28"/>
          <w:highlight w:val="none"/>
        </w:rPr>
        <w:t>20.2友好协商或上级调解</w:t>
      </w:r>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发包人或承包人对监理人的裁定有异议，或如果监理人在收到提交件后42天当天或之前，没有发出自己的裁定通知，则双方可就争端事项进行友好协商或通过双方上级主管部门进行调解。协商或调解应在收到监理人发出的裁定通知或监理发出裁定通知规定的期限到期后的42天内进行。通过协商或调解如能达成书面协议，双方都应执行，对发包人和承包人均有约束力，该协议应送监理人一份。</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586" w:name="_Toc2457"/>
      <w:bookmarkStart w:id="5587" w:name="_Toc10194"/>
      <w:bookmarkStart w:id="5588" w:name="_Toc16530"/>
      <w:bookmarkStart w:id="5589" w:name="_Toc23592"/>
      <w:bookmarkStart w:id="5590" w:name="_Toc23982"/>
      <w:bookmarkStart w:id="5591" w:name="_Toc3661"/>
      <w:bookmarkStart w:id="5592" w:name="_Toc12589"/>
      <w:bookmarkStart w:id="5593" w:name="_Toc5617"/>
      <w:bookmarkStart w:id="5594" w:name="_Toc8222"/>
      <w:bookmarkStart w:id="5595" w:name="_Toc29735"/>
      <w:bookmarkStart w:id="5596" w:name="_Toc28500"/>
      <w:bookmarkStart w:id="5597" w:name="_Toc517532238"/>
      <w:bookmarkStart w:id="5598" w:name="_Toc465237238"/>
      <w:bookmarkStart w:id="5599" w:name="_Toc5930"/>
      <w:bookmarkStart w:id="5600" w:name="_Toc32398"/>
      <w:bookmarkStart w:id="5601" w:name="_Toc14613"/>
      <w:bookmarkStart w:id="5602" w:name="_Toc20304"/>
      <w:bookmarkStart w:id="5603" w:name="_Toc517530962"/>
      <w:bookmarkStart w:id="5604" w:name="_Toc30792"/>
      <w:bookmarkStart w:id="5605" w:name="_Toc30273"/>
      <w:bookmarkStart w:id="5606" w:name="_Toc517528763"/>
      <w:bookmarkStart w:id="5607" w:name="_Toc29187"/>
      <w:r>
        <w:rPr>
          <w:rFonts w:hint="eastAsia" w:ascii="宋体" w:hAnsi="宋体" w:cs="宋体"/>
          <w:b/>
          <w:bCs/>
          <w:color w:val="auto"/>
          <w:sz w:val="28"/>
          <w:szCs w:val="28"/>
          <w:highlight w:val="none"/>
        </w:rPr>
        <w:t>20.3管辖及法律适用</w:t>
      </w:r>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如果在20.2条规定的期限内，双方进行友好协商或通过上级主管部门进行调解未能达成协议，则发包人或承包人任何一方可以提起诉讼，并在协商或调解达不成协议后的42天当天或以前将其通过诉讼解决纠纷的意向通知另一方，并抄送给监理人。诉讼应由工程所在地的人民法院管辖，并适用中华人民共和国的法律（不包括香港、澳门、台湾地区的法律）。</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诉讼可以在竣工之前或之后进行，但发包人、监理人和承包人各自的义务不得因在工程实施期间进行诉讼而有所改变。如果诉讼是在终止合同的情况下进行，则对合同工程应采用保护措施，措施费由败诉方承担。</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608" w:name="_Toc9236"/>
      <w:bookmarkStart w:id="5609" w:name="_Toc23564"/>
      <w:bookmarkStart w:id="5610" w:name="_Toc28189"/>
      <w:bookmarkStart w:id="5611" w:name="_Toc15880"/>
      <w:bookmarkStart w:id="5612" w:name="_Toc517532239"/>
      <w:bookmarkStart w:id="5613" w:name="_Toc31778"/>
      <w:bookmarkStart w:id="5614" w:name="_Toc14374"/>
      <w:bookmarkStart w:id="5615" w:name="_Toc28575"/>
      <w:bookmarkStart w:id="5616" w:name="_Toc517530963"/>
      <w:bookmarkStart w:id="5617" w:name="_Toc27619"/>
      <w:bookmarkStart w:id="5618" w:name="_Toc30443"/>
      <w:bookmarkStart w:id="5619" w:name="_Toc517528764"/>
      <w:bookmarkStart w:id="5620" w:name="_Toc17516"/>
      <w:bookmarkStart w:id="5621" w:name="_Toc1587"/>
      <w:bookmarkStart w:id="5622" w:name="_Toc11369"/>
      <w:bookmarkStart w:id="5623" w:name="_Toc7607"/>
      <w:bookmarkStart w:id="5624" w:name="_Toc14898"/>
      <w:bookmarkStart w:id="5625" w:name="_Toc465237239"/>
      <w:bookmarkStart w:id="5626" w:name="_Toc23015"/>
      <w:bookmarkStart w:id="5627" w:name="_Toc28623"/>
      <w:bookmarkStart w:id="5628" w:name="_Toc13682"/>
      <w:bookmarkStart w:id="5629" w:name="_Toc10385"/>
      <w:r>
        <w:rPr>
          <w:rFonts w:hint="eastAsia" w:ascii="宋体" w:hAnsi="宋体" w:cs="宋体"/>
          <w:b/>
          <w:bCs/>
          <w:color w:val="auto"/>
          <w:sz w:val="28"/>
          <w:szCs w:val="28"/>
          <w:highlight w:val="none"/>
        </w:rPr>
        <w:t>20.4未能遵守裁定或协议</w:t>
      </w:r>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第20.1、20.2条规定的期限之内，发包人和承包人都未发出对争端要求开始起诉的通知，且上述有关的裁定或协议已经成为最后的有约束力的情况下，如果任何一方未能遵守这样的裁定或协议，则另一方可在不损害对方可能具有的任何其他权利的情况下，根据第20.3条的规定将未能遵守监理人裁定或不执行双方友好协商或双方上级主管部门调解达成书面协议的事项提交诉讼，在此情况下，第20.1和20.2条的各项规定应不适用于任何这样的提交件。</w:t>
      </w:r>
    </w:p>
    <w:p>
      <w:pPr>
        <w:keepNext/>
        <w:keepLines/>
        <w:spacing w:before="156" w:beforeLines="50" w:after="156" w:afterLines="50" w:line="360" w:lineRule="auto"/>
        <w:ind w:firstLine="562"/>
        <w:outlineLvl w:val="2"/>
        <w:rPr>
          <w:rFonts w:hint="eastAsia" w:ascii="宋体" w:hAnsi="宋体" w:cs="宋体"/>
          <w:b/>
          <w:bCs/>
          <w:color w:val="auto"/>
          <w:sz w:val="28"/>
          <w:szCs w:val="28"/>
          <w:highlight w:val="none"/>
        </w:rPr>
      </w:pPr>
      <w:bookmarkStart w:id="5630" w:name="_Toc7014"/>
      <w:bookmarkStart w:id="5631" w:name="_Toc28314"/>
      <w:bookmarkStart w:id="5632" w:name="_Toc1998"/>
      <w:bookmarkStart w:id="5633" w:name="_Toc517528765"/>
      <w:bookmarkStart w:id="5634" w:name="_Toc517532240"/>
      <w:bookmarkStart w:id="5635" w:name="_Toc465237240"/>
      <w:bookmarkStart w:id="5636" w:name="_Toc200"/>
      <w:bookmarkStart w:id="5637" w:name="_Toc10533"/>
      <w:bookmarkStart w:id="5638" w:name="_Toc11555"/>
      <w:bookmarkStart w:id="5639" w:name="_Toc31979"/>
      <w:bookmarkStart w:id="5640" w:name="_Toc20354"/>
      <w:bookmarkStart w:id="5641" w:name="_Toc9554"/>
      <w:bookmarkStart w:id="5642" w:name="_Toc971"/>
      <w:bookmarkStart w:id="5643" w:name="_Toc31199"/>
      <w:bookmarkStart w:id="5644" w:name="_Toc27031"/>
      <w:bookmarkStart w:id="5645" w:name="_Toc517530964"/>
      <w:bookmarkStart w:id="5646" w:name="_Toc2513"/>
      <w:bookmarkStart w:id="5647" w:name="_Toc30854"/>
      <w:bookmarkStart w:id="5648" w:name="_Toc3957"/>
      <w:bookmarkStart w:id="5649" w:name="_Toc16749"/>
      <w:bookmarkStart w:id="5650" w:name="_Toc15348"/>
      <w:bookmarkStart w:id="5651" w:name="_Toc4961"/>
      <w:r>
        <w:rPr>
          <w:rFonts w:hint="eastAsia" w:ascii="宋体" w:hAnsi="宋体" w:cs="宋体"/>
          <w:b/>
          <w:bCs/>
          <w:color w:val="auto"/>
          <w:sz w:val="28"/>
          <w:szCs w:val="28"/>
          <w:highlight w:val="none"/>
        </w:rPr>
        <w:t>20.5诉讼费用</w:t>
      </w:r>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p>
    <w:p>
      <w:pPr>
        <w:rPr>
          <w:rFonts w:ascii="宋体" w:hAnsi="宋体" w:cs="宋体"/>
          <w:color w:val="auto"/>
          <w:szCs w:val="21"/>
          <w:highlight w:val="none"/>
        </w:rPr>
        <w:sectPr>
          <w:headerReference r:id="rId3" w:type="default"/>
          <w:pgSz w:w="11906" w:h="16838"/>
          <w:pgMar w:top="1440" w:right="1800" w:bottom="1440" w:left="1800" w:header="851" w:footer="992" w:gutter="0"/>
          <w:pgNumType w:fmt="decimal"/>
          <w:cols w:space="720" w:num="1"/>
          <w:docGrid w:type="lines" w:linePitch="312" w:charSpace="0"/>
        </w:sectPr>
      </w:pPr>
      <w:r>
        <w:rPr>
          <w:rFonts w:hint="eastAsia" w:ascii="宋体" w:hAnsi="宋体" w:cs="宋体"/>
          <w:color w:val="auto"/>
          <w:szCs w:val="21"/>
          <w:highlight w:val="none"/>
        </w:rPr>
        <w:t>按第20.3和20.4条规定，任何争端的问题如经法院判决，则其诉讼费用应由败诉方承担；或按法院判决的比例分担。</w:t>
      </w:r>
      <w:bookmarkEnd w:id="5539"/>
      <w:bookmarkEnd w:id="5540"/>
      <w:bookmarkEnd w:id="5541"/>
    </w:p>
    <w:p>
      <w:pPr>
        <w:rPr>
          <w:rFonts w:hint="eastAsia" w:ascii="宋体" w:hAnsi="宋体"/>
          <w:color w:val="auto"/>
          <w:sz w:val="72"/>
          <w:highlight w:val="none"/>
        </w:rPr>
      </w:pPr>
    </w:p>
    <w:p>
      <w:pPr>
        <w:rPr>
          <w:rFonts w:hint="eastAsia" w:ascii="宋体" w:hAnsi="宋体"/>
          <w:color w:val="auto"/>
          <w:sz w:val="72"/>
          <w:highlight w:val="none"/>
        </w:rPr>
      </w:pPr>
    </w:p>
    <w:p>
      <w:pPr>
        <w:rPr>
          <w:rFonts w:hint="eastAsia" w:ascii="宋体" w:hAnsi="宋体"/>
          <w:color w:val="auto"/>
          <w:sz w:val="72"/>
          <w:highlight w:val="none"/>
        </w:rPr>
      </w:pPr>
    </w:p>
    <w:p>
      <w:pPr>
        <w:rPr>
          <w:rFonts w:hint="eastAsia" w:ascii="宋体" w:hAnsi="宋体"/>
          <w:color w:val="auto"/>
          <w:sz w:val="72"/>
          <w:highlight w:val="none"/>
        </w:rPr>
      </w:pPr>
    </w:p>
    <w:p>
      <w:pPr>
        <w:pStyle w:val="3"/>
        <w:numPr>
          <w:ilvl w:val="0"/>
          <w:numId w:val="0"/>
        </w:numPr>
        <w:ind w:left="1212" w:leftChars="577" w:firstLine="2160" w:firstLineChars="300"/>
        <w:jc w:val="both"/>
        <w:rPr>
          <w:rFonts w:ascii="宋体" w:hAnsi="宋体"/>
          <w:b w:val="0"/>
          <w:color w:val="auto"/>
          <w:sz w:val="72"/>
          <w:highlight w:val="none"/>
        </w:rPr>
      </w:pPr>
      <w:bookmarkStart w:id="5652" w:name="_Toc517528766"/>
      <w:bookmarkStart w:id="5653" w:name="_Toc517529754"/>
      <w:bookmarkStart w:id="5654" w:name="_Toc517532241"/>
      <w:bookmarkStart w:id="5655" w:name="_Toc517530965"/>
      <w:r>
        <w:rPr>
          <w:rFonts w:hint="eastAsia" w:ascii="宋体" w:hAnsi="宋体"/>
          <w:b w:val="0"/>
          <w:color w:val="auto"/>
          <w:sz w:val="72"/>
          <w:highlight w:val="none"/>
        </w:rPr>
        <w:t>第</w:t>
      </w:r>
      <w:r>
        <w:rPr>
          <w:rFonts w:ascii="宋体" w:hAnsi="宋体"/>
          <w:b w:val="0"/>
          <w:color w:val="auto"/>
          <w:sz w:val="72"/>
          <w:highlight w:val="none"/>
        </w:rPr>
        <w:t>6篇</w:t>
      </w:r>
      <w:bookmarkEnd w:id="5652"/>
      <w:bookmarkEnd w:id="5653"/>
      <w:bookmarkEnd w:id="5654"/>
      <w:bookmarkEnd w:id="5655"/>
    </w:p>
    <w:p>
      <w:pPr>
        <w:jc w:val="left"/>
        <w:rPr>
          <w:rFonts w:ascii="宋体"/>
          <w:bCs/>
          <w:color w:val="auto"/>
          <w:sz w:val="42"/>
          <w:szCs w:val="42"/>
          <w:highlight w:val="none"/>
        </w:rPr>
      </w:pPr>
    </w:p>
    <w:p>
      <w:pPr>
        <w:ind w:firstLine="2400" w:firstLineChars="500"/>
        <w:jc w:val="left"/>
        <w:rPr>
          <w:rFonts w:hint="eastAsia" w:ascii="宋体"/>
          <w:bCs/>
          <w:color w:val="auto"/>
          <w:sz w:val="48"/>
          <w:szCs w:val="48"/>
          <w:highlight w:val="none"/>
        </w:rPr>
      </w:pPr>
      <w:r>
        <w:rPr>
          <w:rFonts w:hint="eastAsia" w:ascii="宋体"/>
          <w:bCs/>
          <w:color w:val="auto"/>
          <w:sz w:val="48"/>
          <w:szCs w:val="48"/>
          <w:highlight w:val="none"/>
        </w:rPr>
        <w:t>合同条件第Ⅲ部分</w:t>
      </w:r>
    </w:p>
    <w:p>
      <w:pPr>
        <w:pStyle w:val="13"/>
        <w:jc w:val="center"/>
        <w:rPr>
          <w:i/>
          <w:iCs/>
          <w:color w:val="auto"/>
          <w:highlight w:val="none"/>
        </w:rPr>
      </w:pPr>
      <w:r>
        <w:rPr>
          <w:rFonts w:hint="eastAsia"/>
          <w:b w:val="0"/>
          <w:color w:val="auto"/>
          <w:sz w:val="48"/>
          <w:szCs w:val="48"/>
          <w:highlight w:val="none"/>
        </w:rPr>
        <w:t>——合同专用条款</w:t>
      </w:r>
      <w:r>
        <w:rPr>
          <w:rFonts w:hAnsi="宋体"/>
          <w:color w:val="auto"/>
          <w:highlight w:val="none"/>
        </w:rPr>
        <w:br w:type="page"/>
      </w:r>
      <w:r>
        <w:rPr>
          <w:rFonts w:hint="eastAsia" w:ascii="宋体"/>
          <w:color w:val="auto"/>
          <w:sz w:val="44"/>
          <w:szCs w:val="44"/>
          <w:highlight w:val="none"/>
        </w:rPr>
        <w:t>目</w:t>
      </w:r>
      <w:r>
        <w:rPr>
          <w:rFonts w:ascii="宋体"/>
          <w:color w:val="auto"/>
          <w:sz w:val="44"/>
          <w:szCs w:val="44"/>
          <w:highlight w:val="none"/>
        </w:rPr>
        <w:t xml:space="preserve">  </w:t>
      </w:r>
      <w:r>
        <w:rPr>
          <w:rFonts w:hint="eastAsia" w:ascii="宋体"/>
          <w:color w:val="auto"/>
          <w:sz w:val="44"/>
          <w:szCs w:val="44"/>
          <w:highlight w:val="none"/>
        </w:rPr>
        <w:t>录</w:t>
      </w:r>
    </w:p>
    <w:p>
      <w:pPr>
        <w:adjustRightInd w:val="0"/>
        <w:snapToGrid w:val="0"/>
        <w:spacing w:line="360" w:lineRule="auto"/>
        <w:rPr>
          <w:rFonts w:hint="eastAsia" w:ascii="宋体" w:hAnsi="宋体"/>
          <w:color w:val="auto"/>
          <w:szCs w:val="21"/>
          <w:highlight w:val="none"/>
        </w:rPr>
      </w:pPr>
    </w:p>
    <w:p>
      <w:pPr>
        <w:pStyle w:val="13"/>
        <w:tabs>
          <w:tab w:val="right" w:leader="dot" w:pos="8296"/>
        </w:tabs>
        <w:rPr>
          <w:rFonts w:cs="Times New Roman"/>
          <w:i/>
          <w:iCs/>
          <w:color w:val="auto"/>
          <w:sz w:val="21"/>
          <w:szCs w:val="22"/>
          <w:highlight w:val="none"/>
        </w:rPr>
      </w:pPr>
      <w:bookmarkStart w:id="5656" w:name="_Toc21716"/>
      <w:bookmarkStart w:id="5657" w:name="_Toc19354"/>
      <w:bookmarkStart w:id="5658" w:name="_Toc23059"/>
      <w:bookmarkStart w:id="5659" w:name="_Toc19131"/>
      <w:bookmarkStart w:id="5660" w:name="_Toc14676"/>
      <w:bookmarkStart w:id="5661" w:name="_Toc31771"/>
      <w:bookmarkStart w:id="5662" w:name="_Toc3316"/>
      <w:bookmarkStart w:id="5663" w:name="_Toc13222"/>
      <w:bookmarkStart w:id="5664" w:name="_Toc15999"/>
      <w:bookmarkStart w:id="5665" w:name="_Toc13614"/>
      <w:bookmarkStart w:id="5666" w:name="_Toc18006"/>
      <w:bookmarkStart w:id="5667" w:name="_Toc15910"/>
      <w:bookmarkStart w:id="5668" w:name="_Toc31933"/>
      <w:bookmarkStart w:id="5669" w:name="_Toc5985"/>
      <w:bookmarkStart w:id="5670" w:name="_Toc4521"/>
      <w:bookmarkStart w:id="5671" w:name="_Toc7420"/>
      <w:bookmarkStart w:id="5672" w:name="_Toc23803"/>
      <w:bookmarkStart w:id="5673" w:name="_Toc7957"/>
      <w:r>
        <w:rPr>
          <w:rFonts w:ascii="宋体" w:hAnsi="宋体" w:cs="宋体"/>
          <w:b w:val="0"/>
          <w:bCs w:val="0"/>
          <w:color w:val="auto"/>
          <w:kern w:val="44"/>
          <w:sz w:val="32"/>
          <w:szCs w:val="32"/>
          <w:highlight w:val="none"/>
        </w:rPr>
        <w:fldChar w:fldCharType="begin"/>
      </w:r>
      <w:r>
        <w:rPr>
          <w:rFonts w:ascii="宋体" w:hAnsi="宋体" w:cs="宋体"/>
          <w:b w:val="0"/>
          <w:bCs w:val="0"/>
          <w:color w:val="auto"/>
          <w:kern w:val="44"/>
          <w:sz w:val="32"/>
          <w:szCs w:val="32"/>
          <w:highlight w:val="none"/>
        </w:rPr>
        <w:instrText xml:space="preserve"> TOC \o "1-6" \h \z \u </w:instrText>
      </w:r>
      <w:r>
        <w:rPr>
          <w:rFonts w:ascii="宋体" w:hAnsi="宋体" w:cs="宋体"/>
          <w:b w:val="0"/>
          <w:bCs w:val="0"/>
          <w:color w:val="auto"/>
          <w:kern w:val="44"/>
          <w:sz w:val="32"/>
          <w:szCs w:val="32"/>
          <w:highlight w:val="none"/>
        </w:rPr>
        <w:fldChar w:fldCharType="separate"/>
      </w:r>
    </w:p>
    <w:p>
      <w:pPr>
        <w:pStyle w:val="13"/>
        <w:tabs>
          <w:tab w:val="right" w:leader="dot" w:pos="8296"/>
        </w:tabs>
        <w:rPr>
          <w:rFonts w:cs="Times New Roman"/>
          <w:b w:val="0"/>
          <w:bCs w:val="0"/>
          <w: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"_Toc517532241"</w:instrText>
      </w:r>
      <w:r>
        <w:rPr>
          <w:rStyle w:val="17"/>
          <w:color w:val="auto"/>
          <w:highlight w:val="none"/>
        </w:rPr>
        <w:instrText xml:space="preserve"> </w:instrText>
      </w:r>
      <w:r>
        <w:rPr>
          <w:color w:val="auto"/>
          <w:highlight w:val="none"/>
        </w:rPr>
        <w:fldChar w:fldCharType="separate"/>
      </w:r>
      <w:r>
        <w:rPr>
          <w:rStyle w:val="17"/>
          <w:rFonts w:hint="eastAsia" w:ascii="宋体" w:hAnsi="宋体"/>
          <w:color w:val="auto"/>
          <w:highlight w:val="none"/>
        </w:rPr>
        <w:t>第</w:t>
      </w:r>
      <w:r>
        <w:rPr>
          <w:rStyle w:val="17"/>
          <w:rFonts w:ascii="宋体" w:hAnsi="宋体"/>
          <w:color w:val="auto"/>
          <w:highlight w:val="none"/>
        </w:rPr>
        <w:t>6</w:t>
      </w:r>
      <w:r>
        <w:rPr>
          <w:rStyle w:val="17"/>
          <w:rFonts w:hint="eastAsia" w:ascii="宋体" w:hAnsi="宋体"/>
          <w:color w:val="auto"/>
          <w:highlight w:val="none"/>
        </w:rPr>
        <w:t>篇</w:t>
      </w:r>
      <w:r>
        <w:rPr>
          <w:color w:val="auto"/>
          <w:highlight w:val="none"/>
        </w:rPr>
        <w:tab/>
      </w:r>
      <w:r>
        <w:rPr>
          <w:color w:val="auto"/>
          <w:highlight w:val="none"/>
        </w:rPr>
        <w:fldChar w:fldCharType="begin"/>
      </w:r>
      <w:r>
        <w:rPr>
          <w:color w:val="auto"/>
          <w:highlight w:val="none"/>
        </w:rPr>
        <w:instrText xml:space="preserve"> PAGEREF _Toc517532241 \h </w:instrText>
      </w:r>
      <w:r>
        <w:rPr>
          <w:color w:val="auto"/>
          <w:highlight w:val="none"/>
        </w:rPr>
        <w:fldChar w:fldCharType="separate"/>
      </w:r>
      <w:r>
        <w:rPr>
          <w:color w:val="auto"/>
          <w:highlight w:val="none"/>
        </w:rPr>
        <w:t>87</w:t>
      </w:r>
      <w:r>
        <w:rPr>
          <w:color w:val="auto"/>
          <w:highlight w:val="none"/>
        </w:rPr>
        <w:fldChar w:fldCharType="end"/>
      </w:r>
      <w:r>
        <w:rPr>
          <w:color w:val="auto"/>
          <w:highlight w:val="none"/>
        </w:rPr>
        <w:fldChar w:fldCharType="end"/>
      </w:r>
    </w:p>
    <w:p>
      <w:pPr>
        <w:pStyle w:val="13"/>
        <w:tabs>
          <w:tab w:val="right" w:leader="dot" w:pos="8296"/>
        </w:tabs>
        <w:rPr>
          <w:rFonts w:cs="Times New Roman"/>
          <w:b w:val="0"/>
          <w:bCs w:val="0"/>
          <w:caps w:val="0"/>
          <w:color w:val="auto"/>
          <w:sz w:val="21"/>
          <w:szCs w:val="22"/>
          <w:highlight w:val="none"/>
        </w:rPr>
      </w:pPr>
      <w:r>
        <w:rPr>
          <w:rFonts w:hint="eastAsia"/>
          <w:color w:val="auto"/>
          <w:highlight w:val="none"/>
        </w:rPr>
        <w:t>合同</w:t>
      </w: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"_Toc517532242"</w:instrText>
      </w:r>
      <w:r>
        <w:rPr>
          <w:rStyle w:val="17"/>
          <w:color w:val="auto"/>
          <w:highlight w:val="none"/>
        </w:rPr>
        <w:instrText xml:space="preserve"> </w:instrText>
      </w:r>
      <w:r>
        <w:rPr>
          <w:color w:val="auto"/>
          <w:highlight w:val="none"/>
        </w:rPr>
        <w:fldChar w:fldCharType="separate"/>
      </w:r>
      <w:r>
        <w:rPr>
          <w:rStyle w:val="17"/>
          <w:rFonts w:hint="eastAsia" w:ascii="宋体" w:hAnsi="宋体" w:cs="宋体"/>
          <w:color w:val="auto"/>
          <w:kern w:val="44"/>
          <w:highlight w:val="none"/>
        </w:rPr>
        <w:t>专用条款</w:t>
      </w:r>
      <w:r>
        <w:rPr>
          <w:color w:val="auto"/>
          <w:highlight w:val="none"/>
        </w:rPr>
        <w:tab/>
      </w:r>
      <w:r>
        <w:rPr>
          <w:color w:val="auto"/>
          <w:highlight w:val="none"/>
        </w:rPr>
        <w:fldChar w:fldCharType="begin"/>
      </w:r>
      <w:r>
        <w:rPr>
          <w:color w:val="auto"/>
          <w:highlight w:val="none"/>
        </w:rPr>
        <w:instrText xml:space="preserve"> PAGEREF _Toc517532242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"_Toc517532243"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 </w:t>
      </w:r>
      <w:r>
        <w:rPr>
          <w:rStyle w:val="17"/>
          <w:rFonts w:hint="eastAsia" w:ascii="宋体" w:hAnsi="宋体" w:cs="宋体"/>
          <w:b/>
          <w:bCs/>
          <w:color w:val="auto"/>
          <w:highlight w:val="none"/>
        </w:rPr>
        <w:t>一般约定</w:t>
      </w:r>
      <w:r>
        <w:rPr>
          <w:color w:val="auto"/>
          <w:highlight w:val="none"/>
        </w:rPr>
        <w:tab/>
      </w:r>
      <w:r>
        <w:rPr>
          <w:color w:val="auto"/>
          <w:highlight w:val="none"/>
        </w:rPr>
        <w:fldChar w:fldCharType="begin"/>
      </w:r>
      <w:r>
        <w:rPr>
          <w:color w:val="auto"/>
          <w:highlight w:val="none"/>
        </w:rPr>
        <w:instrText xml:space="preserve"> PAGEREF _Toc517532243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9"/>
        <w:tabs>
          <w:tab w:val="left" w:pos="840"/>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"_Toc517532244"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w:t>
      </w:r>
      <w:r>
        <w:rPr>
          <w:rFonts w:cs="Times New Roman"/>
          <w:i w:val="0"/>
          <w:iCs w:val="0"/>
          <w:color w:val="auto"/>
          <w:sz w:val="21"/>
          <w:szCs w:val="22"/>
          <w:highlight w:val="none"/>
        </w:rPr>
        <w:tab/>
      </w:r>
      <w:r>
        <w:rPr>
          <w:rStyle w:val="17"/>
          <w:rFonts w:ascii="宋体" w:hAnsi="宋体" w:cs="宋体"/>
          <w:b/>
          <w:bCs/>
          <w:color w:val="auto"/>
          <w:highlight w:val="none"/>
        </w:rPr>
        <w:t xml:space="preserve">1.1 </w:t>
      </w:r>
      <w:r>
        <w:rPr>
          <w:rStyle w:val="17"/>
          <w:rFonts w:hint="eastAsia" w:ascii="宋体" w:hAnsi="宋体" w:cs="宋体"/>
          <w:b/>
          <w:bCs/>
          <w:color w:val="auto"/>
          <w:highlight w:val="none"/>
        </w:rPr>
        <w:t>定义</w:t>
      </w:r>
      <w:r>
        <w:rPr>
          <w:color w:val="auto"/>
          <w:highlight w:val="none"/>
        </w:rPr>
        <w:tab/>
      </w:r>
      <w:r>
        <w:rPr>
          <w:color w:val="auto"/>
          <w:highlight w:val="none"/>
        </w:rPr>
        <w:fldChar w:fldCharType="begin"/>
      </w:r>
      <w:r>
        <w:rPr>
          <w:color w:val="auto"/>
          <w:highlight w:val="none"/>
        </w:rPr>
        <w:instrText xml:space="preserve"> PAGEREF _Toc517532244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9"/>
        <w:tabs>
          <w:tab w:val="left" w:pos="840"/>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"_Toc517532246"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2.</w:t>
      </w:r>
      <w:r>
        <w:rPr>
          <w:rFonts w:cs="Times New Roman"/>
          <w:i w:val="0"/>
          <w:iCs w:val="0"/>
          <w:color w:val="auto"/>
          <w:sz w:val="21"/>
          <w:szCs w:val="22"/>
          <w:highlight w:val="none"/>
        </w:rPr>
        <w:tab/>
      </w:r>
      <w:r>
        <w:rPr>
          <w:rStyle w:val="17"/>
          <w:rFonts w:ascii="宋体" w:hAnsi="宋体" w:cs="宋体"/>
          <w:b/>
          <w:bCs/>
          <w:color w:val="auto"/>
          <w:highlight w:val="none"/>
        </w:rPr>
        <w:t>1.3</w:t>
      </w:r>
      <w:r>
        <w:rPr>
          <w:rStyle w:val="17"/>
          <w:rFonts w:hint="eastAsia" w:ascii="宋体" w:hAnsi="宋体" w:cs="宋体"/>
          <w:b/>
          <w:bCs/>
          <w:color w:val="auto"/>
          <w:highlight w:val="none"/>
        </w:rPr>
        <w:t>法律和法规</w:t>
      </w:r>
      <w:r>
        <w:rPr>
          <w:color w:val="auto"/>
          <w:highlight w:val="none"/>
        </w:rPr>
        <w:tab/>
      </w:r>
      <w:r>
        <w:rPr>
          <w:color w:val="auto"/>
          <w:highlight w:val="none"/>
        </w:rPr>
        <w:fldChar w:fldCharType="begin"/>
      </w:r>
      <w:r>
        <w:rPr>
          <w:color w:val="auto"/>
          <w:highlight w:val="none"/>
        </w:rPr>
        <w:instrText xml:space="preserve"> PAGEREF _Toc517532246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9"/>
        <w:tabs>
          <w:tab w:val="left" w:pos="840"/>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"_Toc517532247"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3.</w:t>
      </w:r>
      <w:r>
        <w:rPr>
          <w:rFonts w:cs="Times New Roman"/>
          <w:i w:val="0"/>
          <w:iCs w:val="0"/>
          <w:color w:val="auto"/>
          <w:sz w:val="21"/>
          <w:szCs w:val="22"/>
          <w:highlight w:val="none"/>
        </w:rPr>
        <w:tab/>
      </w:r>
      <w:r>
        <w:rPr>
          <w:rStyle w:val="17"/>
          <w:rFonts w:ascii="宋体" w:hAnsi="宋体" w:cs="宋体"/>
          <w:b/>
          <w:bCs/>
          <w:color w:val="auto"/>
          <w:highlight w:val="none"/>
        </w:rPr>
        <w:t xml:space="preserve">1.4 </w:t>
      </w:r>
      <w:r>
        <w:rPr>
          <w:rStyle w:val="17"/>
          <w:rFonts w:hint="eastAsia" w:ascii="宋体" w:hAnsi="宋体" w:cs="宋体"/>
          <w:b/>
          <w:bCs/>
          <w:color w:val="auto"/>
          <w:highlight w:val="none"/>
        </w:rPr>
        <w:t>标准和规范</w:t>
      </w:r>
      <w:r>
        <w:rPr>
          <w:color w:val="auto"/>
          <w:highlight w:val="none"/>
        </w:rPr>
        <w:tab/>
      </w:r>
      <w:r>
        <w:rPr>
          <w:color w:val="auto"/>
          <w:highlight w:val="none"/>
        </w:rPr>
        <w:fldChar w:fldCharType="begin"/>
      </w:r>
      <w:r>
        <w:rPr>
          <w:color w:val="auto"/>
          <w:highlight w:val="none"/>
        </w:rPr>
        <w:instrText xml:space="preserve"> PAGEREF _Toc517532247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9"/>
        <w:tabs>
          <w:tab w:val="left" w:pos="840"/>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"_Toc517532248"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4.</w:t>
      </w:r>
      <w:r>
        <w:rPr>
          <w:rFonts w:cs="Times New Roman"/>
          <w:i w:val="0"/>
          <w:iCs w:val="0"/>
          <w:color w:val="auto"/>
          <w:sz w:val="21"/>
          <w:szCs w:val="22"/>
          <w:highlight w:val="none"/>
        </w:rPr>
        <w:tab/>
      </w:r>
      <w:r>
        <w:rPr>
          <w:rStyle w:val="17"/>
          <w:rFonts w:ascii="宋体" w:hAnsi="宋体" w:cs="宋体"/>
          <w:b/>
          <w:bCs/>
          <w:color w:val="auto"/>
          <w:highlight w:val="none"/>
        </w:rPr>
        <w:t xml:space="preserve">1.7 </w:t>
      </w:r>
      <w:r>
        <w:rPr>
          <w:rStyle w:val="17"/>
          <w:rFonts w:hint="eastAsia" w:ascii="宋体" w:hAnsi="宋体" w:cs="宋体"/>
          <w:b/>
          <w:bCs/>
          <w:color w:val="auto"/>
          <w:highlight w:val="none"/>
        </w:rPr>
        <w:t>联络</w:t>
      </w:r>
      <w:r>
        <w:rPr>
          <w:color w:val="auto"/>
          <w:highlight w:val="none"/>
        </w:rPr>
        <w:tab/>
      </w:r>
      <w:r>
        <w:rPr>
          <w:color w:val="auto"/>
          <w:highlight w:val="none"/>
        </w:rPr>
        <w:fldChar w:fldCharType="begin"/>
      </w:r>
      <w:r>
        <w:rPr>
          <w:color w:val="auto"/>
          <w:highlight w:val="none"/>
        </w:rPr>
        <w:instrText xml:space="preserve"> PAGEREF _Toc517532248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9"/>
        <w:tabs>
          <w:tab w:val="left" w:pos="840"/>
          <w:tab w:val="right" w:leader="dot" w:pos="8296"/>
        </w:tabs>
        <w:rPr>
          <w:rFonts w:cs="Times New Roman"/>
          <w:i w:val="0"/>
          <w:iC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"_Toc517532249"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5.</w:t>
      </w:r>
      <w:r>
        <w:rPr>
          <w:rFonts w:cs="Times New Roman"/>
          <w:i w:val="0"/>
          <w:iCs w:val="0"/>
          <w:color w:val="auto"/>
          <w:sz w:val="21"/>
          <w:szCs w:val="22"/>
          <w:highlight w:val="none"/>
        </w:rPr>
        <w:tab/>
      </w:r>
      <w:r>
        <w:rPr>
          <w:rStyle w:val="17"/>
          <w:rFonts w:ascii="宋体" w:hAnsi="宋体" w:cs="宋体"/>
          <w:b/>
          <w:bCs/>
          <w:color w:val="auto"/>
          <w:highlight w:val="none"/>
        </w:rPr>
        <w:t>1.11</w:t>
      </w:r>
      <w:r>
        <w:rPr>
          <w:rStyle w:val="17"/>
          <w:rFonts w:hint="eastAsia" w:ascii="宋体" w:hAnsi="宋体" w:cs="宋体"/>
          <w:b/>
          <w:bCs/>
          <w:color w:val="auto"/>
          <w:highlight w:val="none"/>
        </w:rPr>
        <w:t>知识产权</w:t>
      </w:r>
      <w:r>
        <w:rPr>
          <w:color w:val="auto"/>
          <w:highlight w:val="none"/>
        </w:rPr>
        <w:tab/>
      </w:r>
      <w:r>
        <w:rPr>
          <w:color w:val="auto"/>
          <w:highlight w:val="none"/>
        </w:rPr>
        <w:fldChar w:fldCharType="begin"/>
      </w:r>
      <w:r>
        <w:rPr>
          <w:color w:val="auto"/>
          <w:highlight w:val="none"/>
        </w:rPr>
        <w:instrText xml:space="preserve"> PAGEREF _Toc517532249 \h </w:instrText>
      </w:r>
      <w:r>
        <w:rPr>
          <w:color w:val="auto"/>
          <w:highlight w:val="none"/>
        </w:rPr>
        <w:fldChar w:fldCharType="separate"/>
      </w:r>
      <w:r>
        <w:rPr>
          <w:color w:val="auto"/>
          <w:highlight w:val="none"/>
        </w:rPr>
        <w:t>89</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"_Toc517532250"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2. </w:t>
      </w:r>
      <w:r>
        <w:rPr>
          <w:rStyle w:val="17"/>
          <w:rFonts w:hint="eastAsia" w:ascii="宋体" w:hAnsi="宋体" w:cs="宋体"/>
          <w:b/>
          <w:bCs/>
          <w:color w:val="auto"/>
          <w:highlight w:val="none"/>
        </w:rPr>
        <w:t>发包人</w:t>
      </w:r>
      <w:r>
        <w:rPr>
          <w:color w:val="auto"/>
          <w:highlight w:val="none"/>
        </w:rPr>
        <w:tab/>
      </w:r>
      <w:r>
        <w:rPr>
          <w:color w:val="auto"/>
          <w:highlight w:val="none"/>
        </w:rPr>
        <w:fldChar w:fldCharType="begin"/>
      </w:r>
      <w:r>
        <w:rPr>
          <w:color w:val="auto"/>
          <w:highlight w:val="none"/>
        </w:rPr>
        <w:instrText xml:space="preserve"> PAGEREF _Toc517532250 \h </w:instrText>
      </w:r>
      <w:r>
        <w:rPr>
          <w:color w:val="auto"/>
          <w:highlight w:val="none"/>
        </w:rPr>
        <w:fldChar w:fldCharType="separate"/>
      </w:r>
      <w:r>
        <w:rPr>
          <w:color w:val="auto"/>
          <w:highlight w:val="none"/>
        </w:rPr>
        <w:t>90</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"_Toc517532253"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3. </w:t>
      </w:r>
      <w:r>
        <w:rPr>
          <w:rStyle w:val="17"/>
          <w:rFonts w:hint="eastAsia" w:ascii="宋体" w:hAnsi="宋体" w:cs="宋体"/>
          <w:b/>
          <w:bCs/>
          <w:color w:val="auto"/>
          <w:highlight w:val="none"/>
        </w:rPr>
        <w:t>承包人</w:t>
      </w:r>
      <w:r>
        <w:rPr>
          <w:color w:val="auto"/>
          <w:highlight w:val="none"/>
        </w:rPr>
        <w:tab/>
      </w:r>
      <w:r>
        <w:rPr>
          <w:color w:val="auto"/>
          <w:highlight w:val="none"/>
        </w:rPr>
        <w:fldChar w:fldCharType="begin"/>
      </w:r>
      <w:r>
        <w:rPr>
          <w:color w:val="auto"/>
          <w:highlight w:val="none"/>
        </w:rPr>
        <w:instrText xml:space="preserve"> PAGEREF _Toc517532253 \h </w:instrText>
      </w:r>
      <w:r>
        <w:rPr>
          <w:color w:val="auto"/>
          <w:highlight w:val="none"/>
        </w:rPr>
        <w:fldChar w:fldCharType="separate"/>
      </w:r>
      <w:r>
        <w:rPr>
          <w:color w:val="auto"/>
          <w:highlight w:val="none"/>
        </w:rPr>
        <w:t>91</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"_Toc517532267"</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4. </w:t>
      </w:r>
      <w:r>
        <w:rPr>
          <w:rStyle w:val="17"/>
          <w:rFonts w:hint="eastAsia" w:ascii="宋体" w:hAnsi="宋体" w:cs="宋体"/>
          <w:b/>
          <w:bCs/>
          <w:color w:val="auto"/>
          <w:highlight w:val="none"/>
        </w:rPr>
        <w:t>监理人</w:t>
      </w:r>
      <w:r>
        <w:rPr>
          <w:color w:val="auto"/>
          <w:highlight w:val="none"/>
        </w:rPr>
        <w:tab/>
      </w:r>
      <w:r>
        <w:rPr>
          <w:color w:val="auto"/>
          <w:highlight w:val="none"/>
        </w:rPr>
        <w:fldChar w:fldCharType="begin"/>
      </w:r>
      <w:r>
        <w:rPr>
          <w:color w:val="auto"/>
          <w:highlight w:val="none"/>
        </w:rPr>
        <w:instrText xml:space="preserve"> PAGEREF _Toc517532267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"_Toc517532270"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5. </w:t>
      </w:r>
      <w:r>
        <w:rPr>
          <w:rStyle w:val="17"/>
          <w:rFonts w:hint="eastAsia" w:ascii="宋体" w:hAnsi="宋体" w:cs="宋体"/>
          <w:b/>
          <w:bCs/>
          <w:color w:val="auto"/>
          <w:highlight w:val="none"/>
        </w:rPr>
        <w:t>工程质量</w:t>
      </w:r>
      <w:r>
        <w:rPr>
          <w:color w:val="auto"/>
          <w:highlight w:val="none"/>
        </w:rPr>
        <w:tab/>
      </w:r>
      <w:r>
        <w:rPr>
          <w:color w:val="auto"/>
          <w:highlight w:val="none"/>
        </w:rPr>
        <w:fldChar w:fldCharType="begin"/>
      </w:r>
      <w:r>
        <w:rPr>
          <w:color w:val="auto"/>
          <w:highlight w:val="none"/>
        </w:rPr>
        <w:instrText xml:space="preserve"> PAGEREF _Toc517532270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"_Toc517532272"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6.</w:t>
      </w:r>
      <w:r>
        <w:rPr>
          <w:rStyle w:val="17"/>
          <w:rFonts w:hint="eastAsia" w:ascii="宋体" w:hAnsi="宋体" w:cs="宋体"/>
          <w:b/>
          <w:bCs/>
          <w:color w:val="auto"/>
          <w:highlight w:val="none"/>
        </w:rPr>
        <w:t>安全文明施工与环境保护</w:t>
      </w:r>
      <w:r>
        <w:rPr>
          <w:color w:val="auto"/>
          <w:highlight w:val="none"/>
        </w:rPr>
        <w:tab/>
      </w:r>
      <w:r>
        <w:rPr>
          <w:color w:val="auto"/>
          <w:highlight w:val="none"/>
        </w:rPr>
        <w:fldChar w:fldCharType="begin"/>
      </w:r>
      <w:r>
        <w:rPr>
          <w:color w:val="auto"/>
          <w:highlight w:val="none"/>
        </w:rPr>
        <w:instrText xml:space="preserve"> PAGEREF _Toc517532272 \h </w:instrText>
      </w:r>
      <w:r>
        <w:rPr>
          <w:color w:val="auto"/>
          <w:highlight w:val="none"/>
        </w:rPr>
        <w:fldChar w:fldCharType="separate"/>
      </w:r>
      <w:r>
        <w:rPr>
          <w:color w:val="auto"/>
          <w:highlight w:val="none"/>
        </w:rPr>
        <w:t>95</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"_Toc517532296"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7. </w:t>
      </w:r>
      <w:r>
        <w:rPr>
          <w:rStyle w:val="17"/>
          <w:rFonts w:hint="eastAsia" w:ascii="宋体" w:hAnsi="宋体" w:cs="宋体"/>
          <w:b/>
          <w:bCs/>
          <w:color w:val="auto"/>
          <w:highlight w:val="none"/>
        </w:rPr>
        <w:t>工期和进度</w:t>
      </w:r>
      <w:r>
        <w:rPr>
          <w:color w:val="auto"/>
          <w:highlight w:val="none"/>
        </w:rPr>
        <w:tab/>
      </w:r>
      <w:r>
        <w:rPr>
          <w:color w:val="auto"/>
          <w:highlight w:val="none"/>
        </w:rPr>
        <w:fldChar w:fldCharType="begin"/>
      </w:r>
      <w:r>
        <w:rPr>
          <w:color w:val="auto"/>
          <w:highlight w:val="none"/>
        </w:rPr>
        <w:instrText xml:space="preserve"> PAGEREF _Toc517532296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"_Toc517532299"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8. </w:t>
      </w:r>
      <w:r>
        <w:rPr>
          <w:rStyle w:val="17"/>
          <w:rFonts w:hint="eastAsia" w:ascii="宋体" w:hAnsi="宋体" w:cs="宋体"/>
          <w:b/>
          <w:bCs/>
          <w:color w:val="auto"/>
          <w:highlight w:val="none"/>
        </w:rPr>
        <w:t>材料与设备</w:t>
      </w:r>
      <w:r>
        <w:rPr>
          <w:color w:val="auto"/>
          <w:highlight w:val="none"/>
        </w:rPr>
        <w:tab/>
      </w:r>
      <w:r>
        <w:rPr>
          <w:color w:val="auto"/>
          <w:highlight w:val="none"/>
        </w:rPr>
        <w:fldChar w:fldCharType="begin"/>
      </w:r>
      <w:r>
        <w:rPr>
          <w:color w:val="auto"/>
          <w:highlight w:val="none"/>
        </w:rPr>
        <w:instrText xml:space="preserve"> PAGEREF _Toc517532299 \h </w:instrText>
      </w:r>
      <w:r>
        <w:rPr>
          <w:color w:val="auto"/>
          <w:highlight w:val="none"/>
        </w:rPr>
        <w:fldChar w:fldCharType="separate"/>
      </w:r>
      <w:r>
        <w:rPr>
          <w:color w:val="auto"/>
          <w:highlight w:val="none"/>
        </w:rPr>
        <w:t>110</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"_Toc517532305"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9. </w:t>
      </w:r>
      <w:r>
        <w:rPr>
          <w:rStyle w:val="17"/>
          <w:rFonts w:hint="eastAsia" w:ascii="宋体" w:hAnsi="宋体" w:cs="宋体"/>
          <w:b/>
          <w:bCs/>
          <w:color w:val="auto"/>
          <w:highlight w:val="none"/>
        </w:rPr>
        <w:t>试验与检验</w:t>
      </w:r>
      <w:r>
        <w:rPr>
          <w:color w:val="auto"/>
          <w:highlight w:val="none"/>
        </w:rPr>
        <w:tab/>
      </w:r>
      <w:r>
        <w:rPr>
          <w:color w:val="auto"/>
          <w:highlight w:val="none"/>
        </w:rPr>
        <w:fldChar w:fldCharType="begin"/>
      </w:r>
      <w:r>
        <w:rPr>
          <w:color w:val="auto"/>
          <w:highlight w:val="none"/>
        </w:rPr>
        <w:instrText xml:space="preserve"> PAGEREF _Toc517532305 \h </w:instrText>
      </w:r>
      <w:r>
        <w:rPr>
          <w:color w:val="auto"/>
          <w:highlight w:val="none"/>
        </w:rPr>
        <w:fldChar w:fldCharType="separate"/>
      </w:r>
      <w:r>
        <w:rPr>
          <w:color w:val="auto"/>
          <w:highlight w:val="none"/>
        </w:rPr>
        <w:t>111</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"_Toc517532309"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10. </w:t>
      </w:r>
      <w:r>
        <w:rPr>
          <w:rStyle w:val="17"/>
          <w:rFonts w:hint="eastAsia" w:ascii="宋体" w:hAnsi="宋体" w:cs="宋体"/>
          <w:b/>
          <w:bCs/>
          <w:color w:val="auto"/>
          <w:highlight w:val="none"/>
        </w:rPr>
        <w:t>变更</w:t>
      </w:r>
      <w:r>
        <w:rPr>
          <w:color w:val="auto"/>
          <w:highlight w:val="none"/>
        </w:rPr>
        <w:tab/>
      </w:r>
      <w:r>
        <w:rPr>
          <w:color w:val="auto"/>
          <w:highlight w:val="none"/>
        </w:rPr>
        <w:fldChar w:fldCharType="begin"/>
      </w:r>
      <w:r>
        <w:rPr>
          <w:color w:val="auto"/>
          <w:highlight w:val="none"/>
        </w:rPr>
        <w:instrText xml:space="preserve"> PAGEREF _Toc517532309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"_Toc517532311"</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11. </w:t>
      </w:r>
      <w:r>
        <w:rPr>
          <w:rStyle w:val="17"/>
          <w:rFonts w:hint="eastAsia" w:ascii="宋体" w:hAnsi="宋体" w:cs="宋体"/>
          <w:b/>
          <w:bCs/>
          <w:color w:val="auto"/>
          <w:highlight w:val="none"/>
        </w:rPr>
        <w:t>价格调整</w:t>
      </w:r>
      <w:r>
        <w:rPr>
          <w:color w:val="auto"/>
          <w:highlight w:val="none"/>
        </w:rPr>
        <w:tab/>
      </w:r>
      <w:r>
        <w:rPr>
          <w:color w:val="auto"/>
          <w:highlight w:val="none"/>
        </w:rPr>
        <w:fldChar w:fldCharType="begin"/>
      </w:r>
      <w:r>
        <w:rPr>
          <w:color w:val="auto"/>
          <w:highlight w:val="none"/>
        </w:rPr>
        <w:instrText xml:space="preserve"> PAGEREF _Toc517532311 \h </w:instrText>
      </w:r>
      <w:r>
        <w:rPr>
          <w:color w:val="auto"/>
          <w:highlight w:val="none"/>
        </w:rPr>
        <w:fldChar w:fldCharType="separate"/>
      </w:r>
      <w:r>
        <w:rPr>
          <w:color w:val="auto"/>
          <w:highlight w:val="none"/>
        </w:rPr>
        <w:t>114</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"_Toc517532319"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12. </w:t>
      </w:r>
      <w:r>
        <w:rPr>
          <w:rStyle w:val="17"/>
          <w:rFonts w:hint="eastAsia" w:ascii="宋体" w:hAnsi="宋体" w:cs="宋体"/>
          <w:b/>
          <w:bCs/>
          <w:color w:val="auto"/>
          <w:highlight w:val="none"/>
        </w:rPr>
        <w:t>合同价格、计量与支付</w:t>
      </w:r>
      <w:r>
        <w:rPr>
          <w:color w:val="auto"/>
          <w:highlight w:val="none"/>
        </w:rPr>
        <w:tab/>
      </w:r>
      <w:r>
        <w:rPr>
          <w:color w:val="auto"/>
          <w:highlight w:val="none"/>
        </w:rPr>
        <w:fldChar w:fldCharType="begin"/>
      </w:r>
      <w:r>
        <w:rPr>
          <w:color w:val="auto"/>
          <w:highlight w:val="none"/>
        </w:rPr>
        <w:instrText xml:space="preserve"> PAGEREF _Toc517532319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"_Toc517532324"</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13.</w:t>
      </w:r>
      <w:r>
        <w:rPr>
          <w:rStyle w:val="17"/>
          <w:rFonts w:hint="eastAsia" w:ascii="宋体" w:hAnsi="宋体" w:cs="宋体"/>
          <w:b/>
          <w:bCs/>
          <w:color w:val="auto"/>
          <w:highlight w:val="none"/>
        </w:rPr>
        <w:t>竣工验收</w:t>
      </w:r>
      <w:r>
        <w:rPr>
          <w:color w:val="auto"/>
          <w:highlight w:val="none"/>
        </w:rPr>
        <w:tab/>
      </w:r>
      <w:r>
        <w:rPr>
          <w:color w:val="auto"/>
          <w:highlight w:val="none"/>
        </w:rPr>
        <w:fldChar w:fldCharType="begin"/>
      </w:r>
      <w:r>
        <w:rPr>
          <w:color w:val="auto"/>
          <w:highlight w:val="none"/>
        </w:rPr>
        <w:instrText xml:space="preserve"> PAGEREF _Toc517532324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"_Toc517532325"</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14.</w:t>
      </w:r>
      <w:r>
        <w:rPr>
          <w:rStyle w:val="17"/>
          <w:rFonts w:hint="eastAsia" w:ascii="宋体" w:hAnsi="宋体" w:cs="宋体"/>
          <w:b/>
          <w:bCs/>
          <w:color w:val="auto"/>
          <w:highlight w:val="none"/>
        </w:rPr>
        <w:t>竣工结算</w:t>
      </w:r>
      <w:r>
        <w:rPr>
          <w:color w:val="auto"/>
          <w:highlight w:val="none"/>
        </w:rPr>
        <w:tab/>
      </w:r>
      <w:r>
        <w:rPr>
          <w:color w:val="auto"/>
          <w:highlight w:val="none"/>
        </w:rPr>
        <w:fldChar w:fldCharType="begin"/>
      </w:r>
      <w:r>
        <w:rPr>
          <w:color w:val="auto"/>
          <w:highlight w:val="none"/>
        </w:rPr>
        <w:instrText xml:space="preserve"> PAGEREF _Toc517532325 \h </w:instrText>
      </w:r>
      <w:r>
        <w:rPr>
          <w:color w:val="auto"/>
          <w:highlight w:val="none"/>
        </w:rPr>
        <w:fldChar w:fldCharType="separate"/>
      </w:r>
      <w:r>
        <w:rPr>
          <w:color w:val="auto"/>
          <w:highlight w:val="none"/>
        </w:rPr>
        <w:t>118</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"_Toc517532326"</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15. </w:t>
      </w:r>
      <w:r>
        <w:rPr>
          <w:rStyle w:val="17"/>
          <w:rFonts w:hint="eastAsia" w:ascii="宋体" w:hAnsi="宋体" w:cs="宋体"/>
          <w:b/>
          <w:bCs/>
          <w:color w:val="auto"/>
          <w:highlight w:val="none"/>
        </w:rPr>
        <w:t>缺陷责任与保修</w:t>
      </w:r>
      <w:r>
        <w:rPr>
          <w:color w:val="auto"/>
          <w:highlight w:val="none"/>
        </w:rPr>
        <w:tab/>
      </w:r>
      <w:r>
        <w:rPr>
          <w:color w:val="auto"/>
          <w:highlight w:val="none"/>
        </w:rPr>
        <w:fldChar w:fldCharType="begin"/>
      </w:r>
      <w:r>
        <w:rPr>
          <w:color w:val="auto"/>
          <w:highlight w:val="none"/>
        </w:rPr>
        <w:instrText xml:space="preserve"> PAGEREF _Toc517532326 \h </w:instrText>
      </w:r>
      <w:r>
        <w:rPr>
          <w:color w:val="auto"/>
          <w:highlight w:val="none"/>
        </w:rPr>
        <w:fldChar w:fldCharType="separate"/>
      </w:r>
      <w:r>
        <w:rPr>
          <w:color w:val="auto"/>
          <w:highlight w:val="none"/>
        </w:rPr>
        <w:t>119</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"_Toc517532328"</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16.</w:t>
      </w:r>
      <w:r>
        <w:rPr>
          <w:rStyle w:val="17"/>
          <w:rFonts w:hint="eastAsia" w:ascii="宋体" w:hAnsi="宋体" w:cs="宋体"/>
          <w:b/>
          <w:bCs/>
          <w:color w:val="auto"/>
          <w:highlight w:val="none"/>
        </w:rPr>
        <w:t>违约</w:t>
      </w:r>
      <w:r>
        <w:rPr>
          <w:color w:val="auto"/>
          <w:highlight w:val="none"/>
        </w:rPr>
        <w:tab/>
      </w:r>
      <w:r>
        <w:rPr>
          <w:color w:val="auto"/>
          <w:highlight w:val="none"/>
        </w:rPr>
        <w:fldChar w:fldCharType="begin"/>
      </w:r>
      <w:r>
        <w:rPr>
          <w:color w:val="auto"/>
          <w:highlight w:val="none"/>
        </w:rPr>
        <w:instrText xml:space="preserve"> PAGEREF _Toc517532328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"_Toc517532329"</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17.</w:t>
      </w:r>
      <w:r>
        <w:rPr>
          <w:rStyle w:val="17"/>
          <w:rFonts w:hint="eastAsia" w:ascii="宋体" w:hAnsi="宋体" w:cs="宋体"/>
          <w:b/>
          <w:bCs/>
          <w:color w:val="auto"/>
          <w:highlight w:val="none"/>
        </w:rPr>
        <w:t>特殊风险</w:t>
      </w:r>
      <w:r>
        <w:rPr>
          <w:color w:val="auto"/>
          <w:highlight w:val="none"/>
        </w:rPr>
        <w:tab/>
      </w:r>
      <w:r>
        <w:rPr>
          <w:color w:val="auto"/>
          <w:highlight w:val="none"/>
        </w:rPr>
        <w:fldChar w:fldCharType="begin"/>
      </w:r>
      <w:r>
        <w:rPr>
          <w:color w:val="auto"/>
          <w:highlight w:val="none"/>
        </w:rPr>
        <w:instrText xml:space="preserve"> PAGEREF _Toc517532329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"_Toc517532330"</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18. </w:t>
      </w:r>
      <w:r>
        <w:rPr>
          <w:rStyle w:val="17"/>
          <w:rFonts w:hint="eastAsia" w:ascii="宋体" w:hAnsi="宋体" w:cs="宋体"/>
          <w:b/>
          <w:bCs/>
          <w:color w:val="auto"/>
          <w:highlight w:val="none"/>
        </w:rPr>
        <w:t>保险</w:t>
      </w:r>
      <w:r>
        <w:rPr>
          <w:color w:val="auto"/>
          <w:highlight w:val="none"/>
        </w:rPr>
        <w:tab/>
      </w:r>
      <w:r>
        <w:rPr>
          <w:color w:val="auto"/>
          <w:highlight w:val="none"/>
        </w:rPr>
        <w:fldChar w:fldCharType="begin"/>
      </w:r>
      <w:r>
        <w:rPr>
          <w:color w:val="auto"/>
          <w:highlight w:val="none"/>
        </w:rPr>
        <w:instrText xml:space="preserve"> PAGEREF _Toc517532330 \h </w:instrText>
      </w:r>
      <w:r>
        <w:rPr>
          <w:color w:val="auto"/>
          <w:highlight w:val="none"/>
        </w:rPr>
        <w:fldChar w:fldCharType="separate"/>
      </w:r>
      <w:r>
        <w:rPr>
          <w:color w:val="auto"/>
          <w:highlight w:val="none"/>
        </w:rPr>
        <w:t>120</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"_Toc517532332"</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19.</w:t>
      </w:r>
      <w:r>
        <w:rPr>
          <w:rStyle w:val="17"/>
          <w:rFonts w:hint="eastAsia" w:ascii="宋体" w:hAnsi="宋体" w:cs="宋体"/>
          <w:b/>
          <w:bCs/>
          <w:color w:val="auto"/>
          <w:highlight w:val="none"/>
        </w:rPr>
        <w:t>索赔</w:t>
      </w:r>
      <w:r>
        <w:rPr>
          <w:color w:val="auto"/>
          <w:highlight w:val="none"/>
        </w:rPr>
        <w:tab/>
      </w:r>
      <w:r>
        <w:rPr>
          <w:color w:val="auto"/>
          <w:highlight w:val="none"/>
        </w:rPr>
        <w:fldChar w:fldCharType="begin"/>
      </w:r>
      <w:r>
        <w:rPr>
          <w:color w:val="auto"/>
          <w:highlight w:val="none"/>
        </w:rPr>
        <w:instrText xml:space="preserve"> PAGEREF _Toc517532332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r>
        <w:rPr>
          <w:color w:val="auto"/>
          <w:highlight w:val="none"/>
        </w:rPr>
        <w:fldChar w:fldCharType="begin"/>
      </w:r>
      <w:r>
        <w:rPr>
          <w:rStyle w:val="17"/>
          <w:color w:val="auto"/>
          <w:highlight w:val="none"/>
        </w:rPr>
        <w:instrText xml:space="preserve"> </w:instrText>
      </w:r>
      <w:r>
        <w:rPr>
          <w:color w:val="auto"/>
          <w:highlight w:val="none"/>
        </w:rPr>
        <w:instrText xml:space="preserve">HYPERLINK \l "_Toc517532333"</w:instrText>
      </w:r>
      <w:r>
        <w:rPr>
          <w:rStyle w:val="17"/>
          <w:color w:val="auto"/>
          <w:highlight w:val="none"/>
        </w:rPr>
        <w:instrText xml:space="preserve"> </w:instrText>
      </w:r>
      <w:r>
        <w:rPr>
          <w:color w:val="auto"/>
          <w:highlight w:val="none"/>
        </w:rPr>
        <w:fldChar w:fldCharType="separate"/>
      </w:r>
      <w:r>
        <w:rPr>
          <w:rStyle w:val="17"/>
          <w:rFonts w:ascii="宋体" w:hAnsi="宋体" w:cs="宋体"/>
          <w:b/>
          <w:bCs/>
          <w:color w:val="auto"/>
          <w:highlight w:val="none"/>
        </w:rPr>
        <w:t xml:space="preserve">20. </w:t>
      </w:r>
      <w:r>
        <w:rPr>
          <w:rStyle w:val="17"/>
          <w:rFonts w:hint="eastAsia" w:ascii="宋体" w:hAnsi="宋体" w:cs="宋体"/>
          <w:b/>
          <w:bCs/>
          <w:color w:val="auto"/>
          <w:highlight w:val="none"/>
        </w:rPr>
        <w:t>争议解决</w:t>
      </w:r>
      <w:r>
        <w:rPr>
          <w:color w:val="auto"/>
          <w:highlight w:val="none"/>
        </w:rPr>
        <w:tab/>
      </w:r>
      <w:r>
        <w:rPr>
          <w:color w:val="auto"/>
          <w:highlight w:val="none"/>
        </w:rPr>
        <w:fldChar w:fldCharType="begin"/>
      </w:r>
      <w:r>
        <w:rPr>
          <w:color w:val="auto"/>
          <w:highlight w:val="none"/>
        </w:rPr>
        <w:instrText xml:space="preserve"> PAGEREF _Toc517532333 \h </w:instrText>
      </w:r>
      <w:r>
        <w:rPr>
          <w:color w:val="auto"/>
          <w:highlight w:val="none"/>
        </w:rPr>
        <w:fldChar w:fldCharType="separate"/>
      </w:r>
      <w:r>
        <w:rPr>
          <w:color w:val="auto"/>
          <w:highlight w:val="none"/>
        </w:rPr>
        <w:t>121</w:t>
      </w:r>
      <w:r>
        <w:rPr>
          <w:color w:val="auto"/>
          <w:highlight w:val="none"/>
        </w:rPr>
        <w:fldChar w:fldCharType="end"/>
      </w:r>
      <w:r>
        <w:rPr>
          <w:color w:val="auto"/>
          <w:highlight w:val="none"/>
        </w:rPr>
        <w:fldChar w:fldCharType="end"/>
      </w:r>
    </w:p>
    <w:p>
      <w:pPr>
        <w:pStyle w:val="2"/>
        <w:tabs>
          <w:tab w:val="right" w:leader="dot" w:pos="8296"/>
        </w:tabs>
        <w:rPr>
          <w:rFonts w:cs="Times New Roman"/>
          <w:smallCaps w:val="0"/>
          <w:color w:val="auto"/>
          <w:sz w:val="21"/>
          <w:szCs w:val="22"/>
          <w:highlight w:val="none"/>
        </w:rPr>
      </w:pPr>
    </w:p>
    <w:p>
      <w:pPr>
        <w:keepNext/>
        <w:keepLines/>
        <w:spacing w:line="360" w:lineRule="auto"/>
        <w:ind w:firstLine="2891" w:firstLineChars="900"/>
        <w:outlineLvl w:val="0"/>
        <w:rPr>
          <w:rFonts w:ascii="宋体" w:hAnsi="宋体" w:cs="宋体"/>
          <w:b/>
          <w:bCs/>
          <w:color w:val="auto"/>
          <w:kern w:val="44"/>
          <w:sz w:val="32"/>
          <w:szCs w:val="32"/>
          <w:highlight w:val="none"/>
        </w:rPr>
      </w:pPr>
      <w:r>
        <w:rPr>
          <w:rFonts w:ascii="宋体" w:hAnsi="宋体" w:cs="宋体"/>
          <w:b/>
          <w:bCs/>
          <w:color w:val="auto"/>
          <w:kern w:val="44"/>
          <w:sz w:val="32"/>
          <w:szCs w:val="32"/>
          <w:highlight w:val="none"/>
        </w:rPr>
        <w:fldChar w:fldCharType="end"/>
      </w:r>
      <w:r>
        <w:rPr>
          <w:rFonts w:ascii="宋体" w:hAnsi="宋体" w:cs="宋体"/>
          <w:b/>
          <w:bCs/>
          <w:color w:val="auto"/>
          <w:kern w:val="44"/>
          <w:sz w:val="32"/>
          <w:szCs w:val="32"/>
          <w:highlight w:val="none"/>
        </w:rPr>
        <w:br w:type="page"/>
      </w:r>
      <w:r>
        <w:rPr>
          <w:rFonts w:hint="eastAsia" w:ascii="宋体" w:hAnsi="宋体" w:cs="宋体"/>
          <w:b/>
          <w:bCs/>
          <w:color w:val="auto"/>
          <w:kern w:val="44"/>
          <w:sz w:val="32"/>
          <w:szCs w:val="32"/>
          <w:highlight w:val="none"/>
        </w:rPr>
        <w:t xml:space="preserve"> </w:t>
      </w:r>
      <w:bookmarkStart w:id="5674" w:name="_Toc517532242"/>
      <w:bookmarkStart w:id="5675" w:name="_Toc517528767"/>
      <w:bookmarkStart w:id="5676" w:name="_Toc517530966"/>
      <w:bookmarkStart w:id="5677" w:name="_Toc517529755"/>
      <w:r>
        <w:rPr>
          <w:rFonts w:hint="eastAsia" w:ascii="宋体" w:hAnsi="宋体" w:cs="宋体"/>
          <w:b/>
          <w:bCs/>
          <w:color w:val="auto"/>
          <w:kern w:val="44"/>
          <w:sz w:val="32"/>
          <w:szCs w:val="32"/>
          <w:highlight w:val="none"/>
        </w:rPr>
        <w:t>合同专用条款</w:t>
      </w:r>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5678" w:name="_Toc517529756"/>
      <w:bookmarkStart w:id="5679" w:name="_Toc6972"/>
      <w:bookmarkStart w:id="5680" w:name="_Toc19305"/>
      <w:bookmarkStart w:id="5681" w:name="_Toc18047"/>
      <w:bookmarkStart w:id="5682" w:name="_Toc517532243"/>
      <w:bookmarkStart w:id="5683" w:name="_Toc16463"/>
      <w:bookmarkStart w:id="5684" w:name="_Toc19629"/>
      <w:bookmarkStart w:id="5685" w:name="_Toc517530967"/>
      <w:bookmarkStart w:id="5686" w:name="_Toc18893"/>
      <w:bookmarkStart w:id="5687" w:name="_Toc517528768"/>
      <w:bookmarkStart w:id="5688" w:name="_Toc465237242"/>
      <w:bookmarkStart w:id="5689" w:name="_Toc29394"/>
      <w:bookmarkStart w:id="5690" w:name="_Toc32016"/>
      <w:bookmarkStart w:id="5691" w:name="_Toc3052"/>
      <w:bookmarkStart w:id="5692" w:name="_Toc1317"/>
      <w:bookmarkStart w:id="5693" w:name="_Toc25533"/>
      <w:bookmarkStart w:id="5694" w:name="_Toc28334"/>
      <w:bookmarkStart w:id="5695" w:name="_Toc11531"/>
      <w:bookmarkStart w:id="5696" w:name="_Toc351203633"/>
      <w:bookmarkStart w:id="5697" w:name="_Toc22205"/>
      <w:bookmarkStart w:id="5698" w:name="_Toc465237140"/>
      <w:bookmarkStart w:id="5699" w:name="_Toc8658"/>
      <w:bookmarkStart w:id="5700" w:name="_Toc27851"/>
      <w:bookmarkStart w:id="5701" w:name="_Toc16777"/>
      <w:bookmarkStart w:id="5702" w:name="_Toc18256"/>
      <w:r>
        <w:rPr>
          <w:rFonts w:hint="eastAsia" w:ascii="宋体" w:hAnsi="宋体" w:cs="宋体"/>
          <w:b/>
          <w:bCs/>
          <w:color w:val="auto"/>
          <w:sz w:val="30"/>
          <w:szCs w:val="30"/>
          <w:highlight w:val="none"/>
        </w:rPr>
        <w:t>1</w:t>
      </w:r>
      <w:bookmarkStart w:id="5703" w:name="_Toc296890984"/>
      <w:bookmarkStart w:id="5704" w:name="_Toc297048342"/>
      <w:bookmarkStart w:id="5705" w:name="_Toc296891196"/>
      <w:bookmarkStart w:id="5706" w:name="_Toc297120456"/>
      <w:bookmarkStart w:id="5707" w:name="_Toc292559361"/>
      <w:bookmarkStart w:id="5708" w:name="_Toc296944495"/>
      <w:bookmarkStart w:id="5709" w:name="_Toc296503156"/>
      <w:bookmarkStart w:id="5710" w:name="_Toc296346657"/>
      <w:bookmarkStart w:id="5711" w:name="_Toc292559866"/>
      <w:bookmarkStart w:id="5712" w:name="_Toc296347155"/>
      <w:r>
        <w:rPr>
          <w:rFonts w:hint="eastAsia" w:ascii="宋体" w:hAnsi="宋体" w:cs="宋体"/>
          <w:b/>
          <w:bCs/>
          <w:color w:val="auto"/>
          <w:sz w:val="30"/>
          <w:szCs w:val="30"/>
          <w:highlight w:val="none"/>
        </w:rPr>
        <w:t>. 一般约定</w:t>
      </w:r>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p>
    <w:bookmarkEnd w:id="5703"/>
    <w:bookmarkEnd w:id="5704"/>
    <w:bookmarkEnd w:id="5705"/>
    <w:bookmarkEnd w:id="5706"/>
    <w:bookmarkEnd w:id="5707"/>
    <w:bookmarkEnd w:id="5708"/>
    <w:bookmarkEnd w:id="5709"/>
    <w:bookmarkEnd w:id="5710"/>
    <w:bookmarkEnd w:id="5711"/>
    <w:bookmarkEnd w:id="5712"/>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5713" w:name="_Toc26482"/>
      <w:bookmarkStart w:id="5714" w:name="_Toc8975"/>
      <w:bookmarkStart w:id="5715" w:name="_Toc3820"/>
      <w:bookmarkStart w:id="5716" w:name="_Toc517532244"/>
      <w:bookmarkStart w:id="5717" w:name="_Toc1987"/>
      <w:bookmarkStart w:id="5718" w:name="_Toc517530968"/>
      <w:bookmarkStart w:id="5719" w:name="_Toc17727"/>
      <w:bookmarkStart w:id="5720" w:name="_Toc5618"/>
      <w:bookmarkStart w:id="5721" w:name="_Toc2652"/>
      <w:bookmarkStart w:id="5722" w:name="_Toc16944"/>
      <w:bookmarkStart w:id="5723" w:name="_Toc517528769"/>
      <w:bookmarkStart w:id="5724" w:name="_Toc21725"/>
      <w:bookmarkStart w:id="5725" w:name="_Toc8800"/>
      <w:bookmarkStart w:id="5726" w:name="_Toc18433"/>
      <w:bookmarkStart w:id="5727" w:name="_Toc30401"/>
      <w:bookmarkStart w:id="5728" w:name="_Toc32709"/>
      <w:bookmarkStart w:id="5729" w:name="_Toc16256"/>
      <w:bookmarkStart w:id="5730" w:name="_Toc23920"/>
      <w:bookmarkStart w:id="5731" w:name="_Toc32671"/>
      <w:bookmarkStart w:id="5732" w:name="_Toc7408"/>
      <w:bookmarkStart w:id="5733" w:name="_Toc1280"/>
      <w:r>
        <w:rPr>
          <w:rFonts w:hint="eastAsia" w:ascii="宋体" w:hAnsi="宋体" w:cs="宋体"/>
          <w:b/>
          <w:bCs/>
          <w:color w:val="auto"/>
          <w:sz w:val="28"/>
          <w:szCs w:val="28"/>
          <w:highlight w:val="none"/>
        </w:rPr>
        <w:t>1.1 定义</w:t>
      </w:r>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注：此处可增设关于设计单位、勘察单位、项目管理公司等相关主体的定义和职责。</w:t>
      </w:r>
    </w:p>
    <w:p>
      <w:pPr>
        <w:spacing w:line="360" w:lineRule="auto"/>
        <w:ind w:firstLine="422" w:firstLineChars="200"/>
        <w:outlineLvl w:val="3"/>
        <w:rPr>
          <w:rFonts w:hint="eastAsia" w:ascii="宋体" w:hAnsi="宋体" w:cs="宋体"/>
          <w:b/>
          <w:bCs/>
          <w:color w:val="auto"/>
          <w:szCs w:val="21"/>
          <w:highlight w:val="none"/>
        </w:rPr>
      </w:pPr>
      <w:bookmarkStart w:id="5734" w:name="_Toc2897"/>
      <w:bookmarkStart w:id="5735" w:name="_Toc1120"/>
      <w:bookmarkStart w:id="5736" w:name="_Toc1790"/>
      <w:bookmarkStart w:id="5737" w:name="_Toc15242"/>
      <w:bookmarkStart w:id="5738" w:name="_Toc9207"/>
      <w:bookmarkStart w:id="5739" w:name="_Toc30290"/>
      <w:bookmarkStart w:id="5740" w:name="_Toc5235"/>
      <w:bookmarkStart w:id="5741" w:name="_Toc31680"/>
      <w:bookmarkStart w:id="5742" w:name="_Toc26739"/>
      <w:bookmarkStart w:id="5743" w:name="_Toc29870"/>
      <w:bookmarkStart w:id="5744" w:name="_Toc17915"/>
      <w:bookmarkStart w:id="5745" w:name="_Toc517530969"/>
      <w:bookmarkStart w:id="5746" w:name="_Toc19381"/>
      <w:bookmarkStart w:id="5747" w:name="_Toc517532245"/>
      <w:bookmarkStart w:id="5748" w:name="_Toc21869"/>
      <w:bookmarkStart w:id="5749" w:name="_Toc22066"/>
      <w:bookmarkStart w:id="5750" w:name="_Toc2600"/>
      <w:bookmarkStart w:id="5751" w:name="_Toc5408"/>
      <w:bookmarkStart w:id="5752" w:name="_Toc14016"/>
      <w:bookmarkStart w:id="5753" w:name="_Toc8209"/>
      <w:r>
        <w:rPr>
          <w:rFonts w:hint="eastAsia" w:ascii="宋体" w:hAnsi="宋体" w:cs="宋体"/>
          <w:b/>
          <w:bCs/>
          <w:color w:val="auto"/>
          <w:szCs w:val="21"/>
          <w:highlight w:val="none"/>
        </w:rPr>
        <w:t>1.1.1合同</w:t>
      </w:r>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构成合同组成部分的其他文件</w:t>
      </w:r>
      <w:r>
        <w:rPr>
          <w:rFonts w:hint="eastAsia" w:ascii="宋体" w:hAnsi="宋体" w:cs="宋体"/>
          <w:color w:val="auto"/>
          <w:kern w:val="0"/>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5754" w:name="_Toc517532246"/>
      <w:bookmarkStart w:id="5755" w:name="_Toc3528"/>
      <w:bookmarkStart w:id="5756" w:name="_Toc29424"/>
      <w:bookmarkStart w:id="5757" w:name="_Toc30574"/>
      <w:bookmarkStart w:id="5758" w:name="_Toc17585"/>
      <w:bookmarkStart w:id="5759" w:name="_Toc11212"/>
      <w:bookmarkStart w:id="5760" w:name="_Toc11308"/>
      <w:bookmarkStart w:id="5761" w:name="_Toc1980"/>
      <w:bookmarkStart w:id="5762" w:name="_Toc6224"/>
      <w:bookmarkStart w:id="5763" w:name="_Toc517528770"/>
      <w:bookmarkStart w:id="5764" w:name="_Toc24753"/>
      <w:bookmarkStart w:id="5765" w:name="_Toc4850"/>
      <w:bookmarkStart w:id="5766" w:name="_Toc14314"/>
      <w:bookmarkStart w:id="5767" w:name="_Toc20667"/>
      <w:bookmarkStart w:id="5768" w:name="_Toc517530970"/>
      <w:bookmarkStart w:id="5769" w:name="_Toc501"/>
      <w:bookmarkStart w:id="5770" w:name="_Toc31176"/>
      <w:bookmarkStart w:id="5771" w:name="_Toc14271"/>
      <w:bookmarkStart w:id="5772" w:name="_Toc28874"/>
      <w:bookmarkStart w:id="5773" w:name="_Toc10543"/>
      <w:bookmarkStart w:id="5774" w:name="_Toc17300"/>
      <w:r>
        <w:rPr>
          <w:rFonts w:hint="eastAsia" w:ascii="宋体" w:hAnsi="宋体" w:cs="宋体"/>
          <w:b/>
          <w:bCs/>
          <w:color w:val="auto"/>
          <w:sz w:val="28"/>
          <w:szCs w:val="28"/>
          <w:highlight w:val="none"/>
        </w:rPr>
        <w:t>1.3法律和法规</w:t>
      </w:r>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p>
    <w:p>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适用于合同的其他规范性文件：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bookmarkStart w:id="5775" w:name="_Toc8903"/>
      <w:bookmarkStart w:id="5776" w:name="_Toc23492"/>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5777" w:name="_Toc457"/>
      <w:bookmarkStart w:id="5778" w:name="_Toc11334"/>
      <w:bookmarkStart w:id="5779" w:name="_Toc517532247"/>
      <w:bookmarkStart w:id="5780" w:name="_Toc26408"/>
      <w:bookmarkStart w:id="5781" w:name="_Toc517528771"/>
      <w:bookmarkStart w:id="5782" w:name="_Toc18183"/>
      <w:bookmarkStart w:id="5783" w:name="_Toc517530971"/>
      <w:bookmarkStart w:id="5784" w:name="_Toc12951"/>
      <w:bookmarkStart w:id="5785" w:name="_Toc12431"/>
      <w:bookmarkStart w:id="5786" w:name="_Toc20585"/>
      <w:bookmarkStart w:id="5787" w:name="_Toc13816"/>
      <w:bookmarkStart w:id="5788" w:name="_Toc28548"/>
      <w:r>
        <w:rPr>
          <w:rFonts w:hint="eastAsia" w:ascii="宋体" w:hAnsi="宋体" w:cs="宋体"/>
          <w:b/>
          <w:bCs/>
          <w:color w:val="auto"/>
          <w:sz w:val="28"/>
          <w:szCs w:val="28"/>
          <w:highlight w:val="none"/>
        </w:rPr>
        <w:t>1.4 标准和规范</w:t>
      </w:r>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适用于工程的特别标准或规范：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5789" w:name="_Toc12386"/>
      <w:bookmarkStart w:id="5790" w:name="_Toc11173"/>
      <w:bookmarkStart w:id="5791" w:name="_Toc27536"/>
      <w:bookmarkStart w:id="5792" w:name="_Toc32047"/>
      <w:bookmarkStart w:id="5793" w:name="_Toc9916"/>
      <w:bookmarkStart w:id="5794" w:name="_Toc517532248"/>
      <w:bookmarkStart w:id="5795" w:name="_Toc12706"/>
      <w:bookmarkStart w:id="5796" w:name="_Toc5265"/>
      <w:bookmarkStart w:id="5797" w:name="_Toc4548"/>
      <w:bookmarkStart w:id="5798" w:name="_Toc5552"/>
      <w:bookmarkStart w:id="5799" w:name="_Toc11848"/>
      <w:bookmarkStart w:id="5800" w:name="_Toc9122"/>
      <w:bookmarkStart w:id="5801" w:name="_Toc10883"/>
      <w:bookmarkStart w:id="5802" w:name="_Toc23441"/>
      <w:bookmarkStart w:id="5803" w:name="_Toc7574"/>
      <w:bookmarkStart w:id="5804" w:name="_Toc22817"/>
      <w:bookmarkStart w:id="5805" w:name="_Toc517530972"/>
      <w:bookmarkStart w:id="5806" w:name="_Toc16662"/>
      <w:bookmarkStart w:id="5807" w:name="_Toc18338"/>
      <w:bookmarkStart w:id="5808" w:name="_Toc13723"/>
      <w:bookmarkStart w:id="5809" w:name="_Toc517528772"/>
      <w:r>
        <w:rPr>
          <w:rFonts w:hint="eastAsia" w:ascii="宋体" w:hAnsi="宋体" w:cs="宋体"/>
          <w:b/>
          <w:bCs/>
          <w:color w:val="auto"/>
          <w:sz w:val="28"/>
          <w:szCs w:val="28"/>
          <w:highlight w:val="none"/>
        </w:rPr>
        <w:t>1.7 联络</w:t>
      </w:r>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发包人和承包人应当在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天内将与合同有关的通知、批准、证明、证书、指示、指令、要求、请求、同意、意见、确定和决定等书面函件送达对方当事人。</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发包人接收文件的地点：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发包人指定的接收人为：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承包人接收文件的地点：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承包人指定的接收人为：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监理人接收文件的地点：</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监理人指定的接收人为：</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5810" w:name="_Toc3061"/>
      <w:bookmarkStart w:id="5811" w:name="_Toc517532249"/>
      <w:bookmarkStart w:id="5812" w:name="_Toc517530973"/>
      <w:bookmarkStart w:id="5813" w:name="_Toc29138"/>
      <w:bookmarkStart w:id="5814" w:name="_Toc32354"/>
      <w:bookmarkStart w:id="5815" w:name="_Toc19370"/>
      <w:bookmarkStart w:id="5816" w:name="_Toc9534"/>
      <w:bookmarkStart w:id="5817" w:name="_Toc517528773"/>
      <w:bookmarkStart w:id="5818" w:name="_Toc22348"/>
      <w:bookmarkStart w:id="5819" w:name="_Toc30133"/>
      <w:bookmarkStart w:id="5820" w:name="_Toc16202"/>
      <w:bookmarkStart w:id="5821" w:name="_Toc9111"/>
      <w:bookmarkStart w:id="5822" w:name="_Toc3650"/>
      <w:bookmarkStart w:id="5823" w:name="_Toc2985"/>
      <w:bookmarkStart w:id="5824" w:name="_Toc6940"/>
      <w:bookmarkStart w:id="5825" w:name="_Toc16768"/>
      <w:bookmarkStart w:id="5826" w:name="_Toc29947"/>
      <w:bookmarkStart w:id="5827" w:name="_Toc23420"/>
      <w:bookmarkStart w:id="5828" w:name="_Toc18092"/>
      <w:bookmarkStart w:id="5829" w:name="_Toc1621"/>
      <w:bookmarkStart w:id="5830" w:name="_Toc1952"/>
      <w:r>
        <w:rPr>
          <w:rFonts w:hint="eastAsia" w:ascii="宋体" w:hAnsi="宋体" w:cs="宋体"/>
          <w:b/>
          <w:bCs/>
          <w:color w:val="auto"/>
          <w:sz w:val="28"/>
          <w:szCs w:val="28"/>
          <w:highlight w:val="none"/>
        </w:rPr>
        <w:t>1.11知识产权</w:t>
      </w:r>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发包人和承包人有关知识产权保护的特别约定：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5831" w:name="_Toc11914"/>
      <w:bookmarkStart w:id="5832" w:name="_Toc20682"/>
      <w:bookmarkStart w:id="5833" w:name="_Toc517532250"/>
      <w:bookmarkStart w:id="5834" w:name="_Toc25289"/>
      <w:bookmarkStart w:id="5835" w:name="_Toc9518"/>
      <w:bookmarkStart w:id="5836" w:name="_Toc351203634"/>
      <w:bookmarkStart w:id="5837" w:name="_Toc9616"/>
      <w:bookmarkStart w:id="5838" w:name="_Toc25035"/>
      <w:bookmarkStart w:id="5839" w:name="_Toc30859"/>
      <w:bookmarkStart w:id="5840" w:name="_Toc21781"/>
      <w:bookmarkStart w:id="5841" w:name="_Toc14739"/>
      <w:bookmarkStart w:id="5842" w:name="_Toc31605"/>
      <w:bookmarkStart w:id="5843" w:name="_Toc24098"/>
      <w:bookmarkStart w:id="5844" w:name="_Toc26277"/>
      <w:bookmarkStart w:id="5845" w:name="_Toc465237141"/>
      <w:bookmarkStart w:id="5846" w:name="_Toc517529757"/>
      <w:bookmarkStart w:id="5847" w:name="_Toc3998"/>
      <w:bookmarkStart w:id="5848" w:name="_Toc31399"/>
      <w:bookmarkStart w:id="5849" w:name="_Toc517530974"/>
      <w:bookmarkStart w:id="5850" w:name="_Toc4365"/>
      <w:bookmarkStart w:id="5851" w:name="_Toc1186"/>
      <w:bookmarkStart w:id="5852" w:name="_Toc9549"/>
      <w:bookmarkStart w:id="5853" w:name="_Toc517528774"/>
      <w:bookmarkStart w:id="5854" w:name="_Toc465237243"/>
      <w:bookmarkStart w:id="5855" w:name="_Toc8377"/>
      <w:r>
        <w:rPr>
          <w:rFonts w:hint="eastAsia" w:ascii="宋体" w:hAnsi="宋体" w:cs="宋体"/>
          <w:b/>
          <w:bCs/>
          <w:color w:val="auto"/>
          <w:sz w:val="30"/>
          <w:szCs w:val="30"/>
          <w:highlight w:val="none"/>
        </w:rPr>
        <w:t>2</w:t>
      </w:r>
      <w:bookmarkStart w:id="5856" w:name="_Toc296347156"/>
      <w:bookmarkStart w:id="5857" w:name="_Toc296890985"/>
      <w:bookmarkStart w:id="5858" w:name="_Toc292559867"/>
      <w:bookmarkStart w:id="5859" w:name="_Toc292559362"/>
      <w:bookmarkStart w:id="5860" w:name="_Toc296346658"/>
      <w:bookmarkStart w:id="5861" w:name="_Toc296503157"/>
      <w:bookmarkStart w:id="5862" w:name="_Toc296944496"/>
      <w:bookmarkStart w:id="5863" w:name="_Toc297048343"/>
      <w:bookmarkStart w:id="5864" w:name="_Toc297120457"/>
      <w:bookmarkStart w:id="5865" w:name="_Toc296891197"/>
      <w:r>
        <w:rPr>
          <w:rFonts w:hint="eastAsia" w:ascii="宋体" w:hAnsi="宋体" w:cs="宋体"/>
          <w:b/>
          <w:bCs/>
          <w:color w:val="auto"/>
          <w:sz w:val="30"/>
          <w:szCs w:val="30"/>
          <w:highlight w:val="none"/>
        </w:rPr>
        <w:t>. 发包人</w:t>
      </w:r>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p>
    <w:bookmarkEnd w:id="5856"/>
    <w:bookmarkEnd w:id="5857"/>
    <w:bookmarkEnd w:id="5858"/>
    <w:bookmarkEnd w:id="5859"/>
    <w:bookmarkEnd w:id="5860"/>
    <w:bookmarkEnd w:id="5861"/>
    <w:bookmarkEnd w:id="5862"/>
    <w:bookmarkEnd w:id="5863"/>
    <w:bookmarkEnd w:id="5864"/>
    <w:bookmarkEnd w:id="5865"/>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5866" w:name="_Toc517532251"/>
      <w:bookmarkStart w:id="5867" w:name="_Toc25199"/>
      <w:bookmarkStart w:id="5868" w:name="_Toc517528775"/>
      <w:bookmarkStart w:id="5869" w:name="_Toc2574"/>
      <w:bookmarkStart w:id="5870" w:name="_Toc27138"/>
      <w:bookmarkStart w:id="5871" w:name="_Toc17793"/>
      <w:bookmarkStart w:id="5872" w:name="_Toc9086"/>
      <w:bookmarkStart w:id="5873" w:name="_Toc29656"/>
      <w:bookmarkStart w:id="5874" w:name="_Toc10274"/>
      <w:bookmarkStart w:id="5875" w:name="_Toc27918"/>
      <w:bookmarkStart w:id="5876" w:name="_Toc25438"/>
      <w:bookmarkStart w:id="5877" w:name="_Toc7105"/>
      <w:bookmarkStart w:id="5878" w:name="_Toc29405"/>
      <w:bookmarkStart w:id="5879" w:name="_Toc25755"/>
      <w:bookmarkStart w:id="5880" w:name="_Toc8721"/>
      <w:bookmarkStart w:id="5881" w:name="_Toc29156"/>
      <w:bookmarkStart w:id="5882" w:name="_Toc15159"/>
      <w:bookmarkStart w:id="5883" w:name="_Toc465237142"/>
      <w:bookmarkStart w:id="5884" w:name="_Toc517530975"/>
      <w:bookmarkStart w:id="5885" w:name="_Toc8269"/>
      <w:bookmarkStart w:id="5886" w:name="_Toc465237244"/>
      <w:bookmarkStart w:id="5887" w:name="_Toc16610"/>
      <w:bookmarkStart w:id="5888" w:name="_Toc27019"/>
      <w:r>
        <w:rPr>
          <w:rFonts w:hint="eastAsia" w:ascii="宋体" w:hAnsi="宋体" w:cs="宋体"/>
          <w:b/>
          <w:bCs/>
          <w:color w:val="auto"/>
          <w:sz w:val="28"/>
          <w:szCs w:val="28"/>
          <w:highlight w:val="none"/>
        </w:rPr>
        <w:t>2.2项目主任</w:t>
      </w:r>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2.3履约评价</w:t>
      </w:r>
    </w:p>
    <w:p>
      <w:pPr>
        <w:adjustRightInd w:val="0"/>
        <w:snapToGrid w:val="0"/>
        <w:spacing w:line="560" w:lineRule="exact"/>
        <w:ind w:firstLine="420" w:firstLineChars="200"/>
        <w:jc w:val="left"/>
        <w:rPr>
          <w:rFonts w:ascii="仿宋" w:hAnsi="仿宋" w:eastAsia="仿宋"/>
          <w:color w:val="auto"/>
          <w:sz w:val="32"/>
          <w:szCs w:val="32"/>
          <w:highlight w:val="none"/>
        </w:rPr>
      </w:pPr>
      <w:r>
        <w:rPr>
          <w:rFonts w:hint="eastAsia" w:ascii="宋体" w:hAnsi="宋体"/>
          <w:color w:val="auto"/>
          <w:highlight w:val="none"/>
        </w:rPr>
        <w:t>如中标单位为联合体，则对承包人按如下原则进行履约评价：</w:t>
      </w:r>
    </w:p>
    <w:p>
      <w:pPr>
        <w:adjustRightInd w:val="0"/>
        <w:snapToGrid w:val="0"/>
        <w:spacing w:before="468" w:beforeLines="150" w:line="480" w:lineRule="exact"/>
        <w:jc w:val="left"/>
        <w:rPr>
          <w:rFonts w:ascii="宋体" w:hAnsi="宋体"/>
          <w:color w:val="auto"/>
          <w:szCs w:val="23"/>
          <w:highlight w:val="none"/>
          <w:u w:val="single"/>
        </w:rPr>
      </w:pPr>
      <w:r>
        <w:rPr>
          <w:rFonts w:ascii="宋体" w:hAnsi="宋体"/>
          <w:color w:val="auto"/>
          <w:szCs w:val="23"/>
          <w:highlight w:val="none"/>
        </w:rPr>
        <w:object>
          <v:shape id="_x0000_i1025" o:spt="201" type="#_x0000_t201" style="height:14.4pt;width:12pt;" o:ole="t" filled="f" o:preferrelative="t" stroked="f" coordsize="21600,21600">
            <v:path/>
            <v:fill on="f" focussize="0,0"/>
            <v:stroke on="f"/>
            <v:imagedata r:id="rId11" o:title=""/>
            <o:lock v:ext="edit" aspectratio="t"/>
            <w10:wrap type="none"/>
            <w10:anchorlock/>
          </v:shape>
          <w:control r:id="rId10" w:name="CheckBox119629211" w:shapeid="_x0000_i1025"/>
        </w:object>
      </w:r>
      <w:r>
        <w:rPr>
          <w:rFonts w:hint="eastAsia" w:ascii="宋体" w:hAnsi="宋体"/>
          <w:color w:val="auto"/>
          <w:szCs w:val="23"/>
          <w:highlight w:val="none"/>
        </w:rPr>
        <w:t>按联合体单位联合进行评价，</w:t>
      </w:r>
      <w:r>
        <w:rPr>
          <w:rFonts w:hint="eastAsia" w:ascii="宋体" w:hAnsi="宋体"/>
          <w:color w:val="auto"/>
          <w:szCs w:val="23"/>
          <w:highlight w:val="none"/>
          <w:u w:val="single"/>
        </w:rPr>
        <w:t xml:space="preserve">                                                   </w:t>
      </w:r>
    </w:p>
    <w:p>
      <w:pPr>
        <w:adjustRightInd w:val="0"/>
        <w:snapToGrid w:val="0"/>
        <w:spacing w:before="468" w:beforeLines="150" w:line="480" w:lineRule="exact"/>
        <w:jc w:val="left"/>
        <w:rPr>
          <w:rFonts w:ascii="宋体" w:hAnsi="宋体"/>
          <w:color w:val="auto"/>
          <w:szCs w:val="23"/>
          <w:highlight w:val="none"/>
          <w:u w:val="single"/>
        </w:rPr>
      </w:pPr>
      <w:r>
        <w:rPr>
          <w:rFonts w:hint="eastAsia" w:ascii="宋体" w:hAnsi="宋体"/>
          <w:color w:val="auto"/>
          <w:szCs w:val="23"/>
          <w:highlight w:val="none"/>
          <w:u w:val="single"/>
        </w:rPr>
        <w:t xml:space="preserve">                                                                              。 </w:t>
      </w:r>
    </w:p>
    <w:p>
      <w:pPr>
        <w:adjustRightInd w:val="0"/>
        <w:snapToGrid w:val="0"/>
        <w:spacing w:before="468" w:beforeLines="150" w:line="480" w:lineRule="exact"/>
        <w:jc w:val="left"/>
        <w:rPr>
          <w:rFonts w:ascii="宋体" w:hAnsi="宋体"/>
          <w:color w:val="auto"/>
          <w:szCs w:val="23"/>
          <w:highlight w:val="none"/>
          <w:u w:val="single"/>
        </w:rPr>
      </w:pPr>
      <w:r>
        <w:rPr>
          <w:rFonts w:ascii="宋体" w:hAnsi="宋体"/>
          <w:color w:val="auto"/>
          <w:szCs w:val="23"/>
          <w:highlight w:val="none"/>
        </w:rPr>
        <w:object>
          <v:shape id="_x0000_i1026" o:spt="201" type="#_x0000_t201" style="height:14.4pt;width:12pt;" o:ole="t" filled="f" o:preferrelative="t" stroked="f" coordsize="21600,21600">
            <v:path/>
            <v:fill on="f" focussize="0,0"/>
            <v:stroke on="f"/>
            <v:imagedata r:id="rId11" o:title=""/>
            <o:lock v:ext="edit" aspectratio="t"/>
            <w10:wrap type="none"/>
            <w10:anchorlock/>
          </v:shape>
          <w:control r:id="rId12" w:name="CheckBox11962911" w:shapeid="_x0000_i1026"/>
        </w:object>
      </w:r>
      <w:r>
        <w:rPr>
          <w:rFonts w:hint="eastAsia" w:ascii="宋体" w:hAnsi="宋体"/>
          <w:color w:val="auto"/>
          <w:szCs w:val="23"/>
          <w:highlight w:val="none"/>
        </w:rPr>
        <w:t>按联合体单位分开进行评价，</w:t>
      </w:r>
      <w:r>
        <w:rPr>
          <w:rFonts w:hint="eastAsia" w:ascii="宋体" w:hAnsi="宋体"/>
          <w:color w:val="auto"/>
          <w:szCs w:val="23"/>
          <w:highlight w:val="none"/>
          <w:u w:val="single"/>
        </w:rPr>
        <w:t xml:space="preserve">                                                   </w:t>
      </w:r>
    </w:p>
    <w:p>
      <w:pPr>
        <w:adjustRightInd w:val="0"/>
        <w:snapToGrid w:val="0"/>
        <w:spacing w:before="468" w:beforeLines="150" w:line="480" w:lineRule="exact"/>
        <w:jc w:val="left"/>
        <w:rPr>
          <w:rFonts w:hint="eastAsia" w:ascii="宋体" w:hAnsi="宋体"/>
          <w:color w:val="auto"/>
          <w:szCs w:val="23"/>
          <w:highlight w:val="none"/>
          <w:u w:val="single"/>
        </w:rPr>
      </w:pPr>
      <w:r>
        <w:rPr>
          <w:rFonts w:hint="eastAsia" w:ascii="宋体" w:hAnsi="宋体"/>
          <w:color w:val="auto"/>
          <w:szCs w:val="23"/>
          <w:highlight w:val="none"/>
          <w:u w:val="single"/>
        </w:rPr>
        <w:t xml:space="preserve">                                                                              。</w:t>
      </w:r>
    </w:p>
    <w:p>
      <w:pPr>
        <w:spacing w:line="360" w:lineRule="auto"/>
        <w:ind w:firstLine="420" w:firstLineChars="200"/>
        <w:rPr>
          <w:rFonts w:hint="eastAsia" w:ascii="宋体" w:hAnsi="宋体" w:cs="宋体"/>
          <w:color w:val="auto"/>
          <w:szCs w:val="21"/>
          <w:highlight w:val="none"/>
        </w:rPr>
      </w:pP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5889" w:name="_Toc11512"/>
      <w:bookmarkStart w:id="5890" w:name="_Toc1157"/>
      <w:bookmarkStart w:id="5891" w:name="_Toc20835"/>
      <w:bookmarkStart w:id="5892" w:name="_Toc517532252"/>
      <w:bookmarkStart w:id="5893" w:name="_Toc3211"/>
      <w:bookmarkStart w:id="5894" w:name="_Toc15568"/>
      <w:bookmarkStart w:id="5895" w:name="_Toc517530976"/>
      <w:bookmarkStart w:id="5896" w:name="_Toc14753"/>
      <w:bookmarkStart w:id="5897" w:name="_Toc17215"/>
      <w:bookmarkStart w:id="5898" w:name="_Toc517528776"/>
      <w:r>
        <w:rPr>
          <w:rFonts w:hint="eastAsia" w:ascii="宋体" w:hAnsi="宋体" w:cs="宋体"/>
          <w:b/>
          <w:bCs/>
          <w:color w:val="auto"/>
          <w:sz w:val="28"/>
          <w:szCs w:val="28"/>
          <w:highlight w:val="none"/>
        </w:rPr>
        <w:t>2.6支付担保的提交与退还</w:t>
      </w:r>
      <w:bookmarkEnd w:id="5889"/>
      <w:bookmarkEnd w:id="5890"/>
      <w:bookmarkEnd w:id="5891"/>
      <w:bookmarkEnd w:id="5892"/>
      <w:bookmarkEnd w:id="5893"/>
      <w:bookmarkEnd w:id="5894"/>
      <w:bookmarkEnd w:id="5895"/>
      <w:bookmarkEnd w:id="5896"/>
      <w:bookmarkEnd w:id="5897"/>
      <w:bookmarkEnd w:id="5898"/>
    </w:p>
    <w:p>
      <w:pPr>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027" o:spt="201" type="#_x0000_t201" style="height:18pt;width:12.75pt;" o:ole="t" filled="f" o:preferrelative="t" stroked="f" coordsize="21600,21600">
            <v:path/>
            <v:fill on="f" focussize="0,0"/>
            <v:stroke on="f"/>
            <v:imagedata r:id="rId14" o:title=""/>
            <o:lock v:ext="edit" aspectratio="t"/>
            <w10:wrap type="none"/>
            <w10:anchorlock/>
          </v:shape>
          <w:control r:id="rId13" w:name="CheckBox1318" w:shapeid="_x0000_i1027"/>
        </w:object>
      </w:r>
      <w:r>
        <w:rPr>
          <w:rFonts w:hint="eastAsia" w:ascii="宋体" w:hAnsi="宋体" w:cs="宋体"/>
          <w:color w:val="auto"/>
          <w:szCs w:val="21"/>
          <w:highlight w:val="none"/>
        </w:rPr>
        <w:t>本工程不需要提交支付担保。</w:t>
      </w:r>
    </w:p>
    <w:p>
      <w:pPr>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028" o:spt="201" type="#_x0000_t201" style="height:18pt;width:12.6pt;" o:ole="t" filled="f" o:preferrelative="t" stroked="f" coordsize="21600,21600">
            <v:path/>
            <v:fill on="f" focussize="0,0"/>
            <v:stroke on="f"/>
            <v:imagedata r:id="rId16" o:title=""/>
            <o:lock v:ext="edit" aspectratio="t"/>
            <w10:wrap type="none"/>
            <w10:anchorlock/>
          </v:shape>
          <w:control r:id="rId15" w:name="CheckBox1284" w:shapeid="_x0000_i1028"/>
        </w:object>
      </w:r>
      <w:r>
        <w:rPr>
          <w:rFonts w:hint="eastAsia" w:ascii="宋体" w:hAnsi="宋体" w:cs="宋体"/>
          <w:color w:val="auto"/>
          <w:szCs w:val="21"/>
          <w:highlight w:val="none"/>
        </w:rPr>
        <w:t>本工程需要提交支付担保。</w:t>
      </w:r>
      <w:r>
        <w:rPr>
          <w:rFonts w:hint="eastAsia" w:ascii="宋体" w:hAnsi="宋体" w:cs="宋体"/>
          <w:b/>
          <w:bCs/>
          <w:i/>
          <w:iCs/>
          <w:color w:val="auto"/>
          <w:szCs w:val="21"/>
          <w:highlight w:val="none"/>
        </w:rPr>
        <w:t>（提示：根据项目需要勾选）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发包人在承包人提交履约担保的同时，向承包人提供本工程支付担保。支付担保的金额为合同价的10%。</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支付担保在履约担保有效期满前14天保持有效并可执行。</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支付担保到期后14天内，承包人应退还支付担保。支付担保退还后14天，发包人将按约定时间退还履约担保。支付担保延迟退还时将被视为严重违约，承包人应承担发包人由此引起的任何损失，并承担相应的责任。</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5899" w:name="_Toc465237246"/>
      <w:bookmarkStart w:id="5900" w:name="_Toc27126"/>
      <w:bookmarkStart w:id="5901" w:name="_Toc12492"/>
      <w:bookmarkStart w:id="5902" w:name="_Toc16835"/>
      <w:bookmarkStart w:id="5903" w:name="_Toc517529758"/>
      <w:bookmarkStart w:id="5904" w:name="_Toc29054"/>
      <w:bookmarkStart w:id="5905" w:name="_Toc21813"/>
      <w:bookmarkStart w:id="5906" w:name="_Toc3112"/>
      <w:bookmarkStart w:id="5907" w:name="_Toc9386"/>
      <w:bookmarkStart w:id="5908" w:name="_Toc9281"/>
      <w:bookmarkStart w:id="5909" w:name="_Toc12598"/>
      <w:bookmarkStart w:id="5910" w:name="_Toc1948"/>
      <w:bookmarkStart w:id="5911" w:name="_Toc9373"/>
      <w:bookmarkStart w:id="5912" w:name="_Toc351203635"/>
      <w:bookmarkStart w:id="5913" w:name="_Toc1361"/>
      <w:bookmarkStart w:id="5914" w:name="_Toc517528777"/>
      <w:bookmarkStart w:id="5915" w:name="_Toc517530977"/>
      <w:bookmarkStart w:id="5916" w:name="_Toc465237144"/>
      <w:bookmarkStart w:id="5917" w:name="_Toc25967"/>
      <w:bookmarkStart w:id="5918" w:name="_Toc22152"/>
      <w:bookmarkStart w:id="5919" w:name="_Toc4895"/>
      <w:bookmarkStart w:id="5920" w:name="_Toc16285"/>
      <w:bookmarkStart w:id="5921" w:name="_Toc7767"/>
      <w:bookmarkStart w:id="5922" w:name="_Toc517532253"/>
      <w:bookmarkStart w:id="5923" w:name="_Toc2769"/>
      <w:r>
        <w:rPr>
          <w:rFonts w:hint="eastAsia" w:ascii="宋体" w:hAnsi="宋体" w:cs="宋体"/>
          <w:b/>
          <w:bCs/>
          <w:color w:val="auto"/>
          <w:sz w:val="30"/>
          <w:szCs w:val="30"/>
          <w:highlight w:val="none"/>
        </w:rPr>
        <w:t>3</w:t>
      </w:r>
      <w:bookmarkStart w:id="5924" w:name="_Toc296347157"/>
      <w:bookmarkStart w:id="5925" w:name="_Toc292559363"/>
      <w:bookmarkStart w:id="5926" w:name="_Toc296891198"/>
      <w:bookmarkStart w:id="5927" w:name="_Toc292559868"/>
      <w:bookmarkStart w:id="5928" w:name="_Toc296346659"/>
      <w:bookmarkStart w:id="5929" w:name="_Toc297048344"/>
      <w:bookmarkStart w:id="5930" w:name="_Toc296503158"/>
      <w:bookmarkStart w:id="5931" w:name="_Toc297120458"/>
      <w:bookmarkStart w:id="5932" w:name="_Toc296944497"/>
      <w:bookmarkStart w:id="5933" w:name="_Toc296890986"/>
      <w:r>
        <w:rPr>
          <w:rFonts w:hint="eastAsia" w:ascii="宋体" w:hAnsi="宋体" w:cs="宋体"/>
          <w:b/>
          <w:bCs/>
          <w:color w:val="auto"/>
          <w:sz w:val="30"/>
          <w:szCs w:val="30"/>
          <w:highlight w:val="none"/>
        </w:rPr>
        <w:t>. 承包人</w:t>
      </w:r>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5934" w:name="_Toc517528778"/>
      <w:bookmarkStart w:id="5935" w:name="_Toc31487"/>
      <w:bookmarkStart w:id="5936" w:name="_Toc517530978"/>
      <w:bookmarkStart w:id="5937" w:name="_Toc11776"/>
      <w:bookmarkStart w:id="5938" w:name="_Toc24402"/>
      <w:bookmarkStart w:id="5939" w:name="_Toc7306"/>
      <w:bookmarkStart w:id="5940" w:name="_Toc517532254"/>
      <w:bookmarkStart w:id="5941" w:name="_Toc18036"/>
      <w:bookmarkStart w:id="5942" w:name="_Toc24112"/>
      <w:bookmarkStart w:id="5943" w:name="_Toc1974"/>
      <w:bookmarkStart w:id="5944" w:name="_Toc27859"/>
      <w:bookmarkStart w:id="5945" w:name="_Toc19692"/>
      <w:bookmarkStart w:id="5946" w:name="_Toc5610"/>
      <w:bookmarkStart w:id="5947" w:name="_Toc2570"/>
      <w:bookmarkStart w:id="5948" w:name="_Toc1013"/>
      <w:bookmarkStart w:id="5949" w:name="_Toc8313"/>
      <w:bookmarkStart w:id="5950" w:name="_Toc388"/>
      <w:bookmarkStart w:id="5951" w:name="_Toc32620"/>
      <w:bookmarkStart w:id="5952" w:name="_Toc24891"/>
      <w:bookmarkStart w:id="5953" w:name="_Toc22046"/>
      <w:bookmarkStart w:id="5954" w:name="_Toc18113"/>
      <w:r>
        <w:rPr>
          <w:rFonts w:hint="eastAsia" w:ascii="宋体" w:hAnsi="宋体" w:cs="宋体"/>
          <w:b/>
          <w:bCs/>
          <w:color w:val="auto"/>
          <w:sz w:val="28"/>
          <w:szCs w:val="28"/>
          <w:highlight w:val="none"/>
        </w:rPr>
        <w:t>3.1 承包人的一般义务</w:t>
      </w:r>
      <w:bookmarkEnd w:id="5934"/>
      <w:bookmarkEnd w:id="5935"/>
      <w:bookmarkEnd w:id="5936"/>
      <w:bookmarkEnd w:id="5937"/>
      <w:bookmarkEnd w:id="5938"/>
      <w:bookmarkEnd w:id="5939"/>
      <w:bookmarkEnd w:id="5940"/>
      <w:bookmarkEnd w:id="5941"/>
      <w:bookmarkEnd w:id="5942"/>
      <w:bookmarkEnd w:id="5943"/>
      <w:bookmarkEnd w:id="5944"/>
      <w:bookmarkEnd w:id="5945"/>
    </w:p>
    <w:p>
      <w:pPr>
        <w:keepNext/>
        <w:keepLines/>
        <w:spacing w:before="156" w:beforeLines="50" w:after="156" w:afterLines="50" w:line="360" w:lineRule="auto"/>
        <w:ind w:left="728"/>
        <w:outlineLvl w:val="3"/>
        <w:rPr>
          <w:rFonts w:hint="eastAsia" w:ascii="宋体" w:hAnsi="宋体" w:cs="宋体"/>
          <w:b/>
          <w:bCs/>
          <w:color w:val="auto"/>
          <w:sz w:val="24"/>
          <w:szCs w:val="24"/>
          <w:highlight w:val="none"/>
        </w:rPr>
      </w:pPr>
      <w:bookmarkStart w:id="5955" w:name="_Toc517532255"/>
      <w:bookmarkStart w:id="5956" w:name="_Toc24769"/>
      <w:bookmarkStart w:id="5957" w:name="_Toc25912"/>
      <w:bookmarkStart w:id="5958" w:name="_Toc517530979"/>
      <w:bookmarkStart w:id="5959" w:name="_Toc1836"/>
      <w:bookmarkStart w:id="5960" w:name="_Toc23763"/>
      <w:bookmarkStart w:id="5961" w:name="_Toc7810"/>
      <w:bookmarkStart w:id="5962" w:name="_Toc26019"/>
      <w:bookmarkStart w:id="5963" w:name="_Toc15746"/>
      <w:bookmarkStart w:id="5964" w:name="_Toc27095"/>
      <w:bookmarkStart w:id="5965" w:name="_Toc13054"/>
      <w:r>
        <w:rPr>
          <w:rFonts w:hint="eastAsia" w:ascii="宋体" w:hAnsi="宋体" w:cs="宋体"/>
          <w:b/>
          <w:bCs/>
          <w:color w:val="auto"/>
          <w:sz w:val="24"/>
          <w:szCs w:val="24"/>
          <w:highlight w:val="none"/>
        </w:rPr>
        <w:t>3.1.6职业健康</w:t>
      </w:r>
      <w:bookmarkEnd w:id="5946"/>
      <w:bookmarkEnd w:id="5947"/>
      <w:bookmarkEnd w:id="5948"/>
      <w:bookmarkEnd w:id="5949"/>
      <w:bookmarkEnd w:id="5950"/>
      <w:bookmarkEnd w:id="5951"/>
      <w:bookmarkEnd w:id="5952"/>
      <w:bookmarkEnd w:id="5955"/>
      <w:bookmarkEnd w:id="5956"/>
      <w:bookmarkEnd w:id="5957"/>
      <w:bookmarkEnd w:id="5958"/>
      <w:bookmarkEnd w:id="5959"/>
      <w:bookmarkEnd w:id="5960"/>
      <w:bookmarkEnd w:id="5961"/>
      <w:bookmarkEnd w:id="5962"/>
      <w:bookmarkEnd w:id="5963"/>
      <w:bookmarkEnd w:id="5964"/>
      <w:bookmarkEnd w:id="5965"/>
    </w:p>
    <w:p>
      <w:pPr>
        <w:spacing w:line="360" w:lineRule="auto"/>
        <w:ind w:firstLine="422" w:firstLineChars="200"/>
        <w:rPr>
          <w:rFonts w:hint="eastAsia" w:ascii="宋体" w:hAnsi="宋体" w:cs="宋体"/>
          <w:b/>
          <w:bCs/>
          <w:color w:val="auto"/>
          <w:szCs w:val="21"/>
          <w:highlight w:val="none"/>
        </w:rPr>
      </w:pPr>
      <w:bookmarkStart w:id="5966" w:name="_Toc7982"/>
      <w:bookmarkStart w:id="5967" w:name="_Toc24927"/>
      <w:bookmarkStart w:id="5968" w:name="_Toc28020"/>
      <w:bookmarkStart w:id="5969" w:name="_Toc19211"/>
      <w:bookmarkStart w:id="5970" w:name="_Toc24325"/>
      <w:bookmarkStart w:id="5971" w:name="_Toc3399"/>
      <w:bookmarkStart w:id="5972" w:name="_Toc29602"/>
      <w:r>
        <w:rPr>
          <w:rFonts w:hint="eastAsia" w:ascii="宋体" w:hAnsi="宋体" w:cs="宋体"/>
          <w:b/>
          <w:bCs/>
          <w:color w:val="auto"/>
          <w:szCs w:val="21"/>
          <w:highlight w:val="none"/>
        </w:rPr>
        <w:t>（1） 生活条件</w:t>
      </w:r>
      <w:bookmarkEnd w:id="5953"/>
      <w:bookmarkEnd w:id="5954"/>
      <w:bookmarkEnd w:id="5966"/>
      <w:bookmarkEnd w:id="5967"/>
      <w:bookmarkEnd w:id="5968"/>
      <w:bookmarkEnd w:id="5969"/>
      <w:bookmarkEnd w:id="5970"/>
      <w:bookmarkEnd w:id="5971"/>
      <w:bookmarkEnd w:id="5972"/>
    </w:p>
    <w:p>
      <w:pPr>
        <w:autoSpaceDE w:val="0"/>
        <w:autoSpaceDN w:val="0"/>
        <w:adjustRightInd w:val="0"/>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承包人应当保证工人宿舍区临建设施符合以下要求：</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（a）承包人工人宿舍区生活用电须采用36V低压直流供电，宿舍设置USB手机等集中充电插座；</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（b）配备空调，空调供电设专线，穿线使用薄壁钢管，插座设置于板房外面；</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（c）生活区分区24小时集中供应热水。</w:t>
      </w:r>
    </w:p>
    <w:bookmarkEnd w:id="5924"/>
    <w:bookmarkEnd w:id="5925"/>
    <w:bookmarkEnd w:id="5926"/>
    <w:bookmarkEnd w:id="5927"/>
    <w:bookmarkEnd w:id="5928"/>
    <w:bookmarkEnd w:id="5929"/>
    <w:bookmarkEnd w:id="5930"/>
    <w:bookmarkEnd w:id="5931"/>
    <w:bookmarkEnd w:id="5932"/>
    <w:bookmarkEnd w:id="5933"/>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5973" w:name="_Toc6668"/>
      <w:bookmarkStart w:id="5974" w:name="_Toc8075"/>
      <w:bookmarkStart w:id="5975" w:name="_Toc8413"/>
      <w:bookmarkStart w:id="5976" w:name="_Toc24490"/>
      <w:bookmarkStart w:id="5977" w:name="_Toc722"/>
      <w:bookmarkStart w:id="5978" w:name="_Toc31774"/>
      <w:bookmarkStart w:id="5979" w:name="_Toc465237247"/>
      <w:bookmarkStart w:id="5980" w:name="_Toc9757"/>
      <w:bookmarkStart w:id="5981" w:name="_Toc30200"/>
      <w:bookmarkStart w:id="5982" w:name="_Toc465237145"/>
      <w:bookmarkStart w:id="5983" w:name="_Toc2790"/>
      <w:bookmarkStart w:id="5984" w:name="_Toc22187"/>
      <w:bookmarkStart w:id="5985" w:name="_Toc20254"/>
      <w:bookmarkStart w:id="5986" w:name="_Toc517532256"/>
      <w:bookmarkStart w:id="5987" w:name="_Toc11039"/>
      <w:bookmarkStart w:id="5988" w:name="_Toc8434"/>
      <w:bookmarkStart w:id="5989" w:name="_Toc517528779"/>
      <w:bookmarkStart w:id="5990" w:name="_Toc5541"/>
      <w:bookmarkStart w:id="5991" w:name="_Toc517530980"/>
      <w:bookmarkStart w:id="5992" w:name="_Toc7696"/>
      <w:bookmarkStart w:id="5993" w:name="_Toc3057"/>
      <w:bookmarkStart w:id="5994" w:name="_Toc5920"/>
      <w:bookmarkStart w:id="5995" w:name="_Toc19509"/>
      <w:r>
        <w:rPr>
          <w:rFonts w:hint="eastAsia" w:ascii="宋体" w:hAnsi="宋体" w:cs="宋体"/>
          <w:b/>
          <w:bCs/>
          <w:color w:val="auto"/>
          <w:sz w:val="28"/>
          <w:szCs w:val="28"/>
          <w:highlight w:val="none"/>
        </w:rPr>
        <w:t xml:space="preserve">3.2 </w:t>
      </w:r>
      <w:bookmarkEnd w:id="5973"/>
      <w:bookmarkEnd w:id="5974"/>
      <w:bookmarkEnd w:id="5975"/>
      <w:bookmarkEnd w:id="5976"/>
      <w:bookmarkEnd w:id="5977"/>
      <w:bookmarkEnd w:id="5978"/>
      <w:bookmarkEnd w:id="5979"/>
      <w:bookmarkEnd w:id="5980"/>
      <w:bookmarkEnd w:id="5981"/>
      <w:bookmarkEnd w:id="5982"/>
      <w:bookmarkEnd w:id="5983"/>
      <w:r>
        <w:rPr>
          <w:rFonts w:hint="eastAsia" w:ascii="宋体" w:hAnsi="宋体" w:cs="宋体"/>
          <w:b/>
          <w:bCs/>
          <w:color w:val="auto"/>
          <w:sz w:val="28"/>
          <w:szCs w:val="28"/>
          <w:highlight w:val="none"/>
        </w:rPr>
        <w:t>项目经理</w:t>
      </w:r>
      <w:bookmarkEnd w:id="5984"/>
      <w:bookmarkEnd w:id="5985"/>
      <w:bookmarkEnd w:id="5986"/>
      <w:bookmarkEnd w:id="5987"/>
      <w:bookmarkEnd w:id="5988"/>
      <w:bookmarkEnd w:id="5989"/>
      <w:bookmarkEnd w:id="5990"/>
      <w:bookmarkEnd w:id="5991"/>
      <w:bookmarkEnd w:id="5992"/>
      <w:bookmarkEnd w:id="5993"/>
      <w:bookmarkEnd w:id="5994"/>
      <w:bookmarkEnd w:id="5995"/>
    </w:p>
    <w:p>
      <w:pPr>
        <w:keepNext/>
        <w:keepLines/>
        <w:spacing w:before="156" w:beforeLines="50" w:after="156" w:afterLines="50" w:line="360" w:lineRule="auto"/>
        <w:ind w:firstLine="241" w:firstLineChars="100"/>
        <w:outlineLvl w:val="3"/>
        <w:rPr>
          <w:rFonts w:hint="eastAsia" w:ascii="宋体" w:hAnsi="宋体" w:cs="宋体"/>
          <w:b/>
          <w:bCs/>
          <w:color w:val="auto"/>
          <w:sz w:val="24"/>
          <w:szCs w:val="24"/>
          <w:highlight w:val="none"/>
        </w:rPr>
      </w:pPr>
      <w:bookmarkStart w:id="5996" w:name="_Toc517530981"/>
      <w:bookmarkStart w:id="5997" w:name="_Toc31192"/>
      <w:bookmarkStart w:id="5998" w:name="_Toc4420"/>
      <w:bookmarkStart w:id="5999" w:name="_Toc32085"/>
      <w:bookmarkStart w:id="6000" w:name="_Toc27381"/>
      <w:bookmarkStart w:id="6001" w:name="_Toc14835"/>
      <w:bookmarkStart w:id="6002" w:name="_Toc26039"/>
      <w:bookmarkStart w:id="6003" w:name="_Toc13095"/>
      <w:bookmarkStart w:id="6004" w:name="_Toc10483"/>
      <w:bookmarkStart w:id="6005" w:name="_Toc8803"/>
      <w:bookmarkStart w:id="6006" w:name="_Toc6016"/>
      <w:bookmarkStart w:id="6007" w:name="_Toc23244"/>
      <w:bookmarkStart w:id="6008" w:name="_Toc9276"/>
      <w:bookmarkStart w:id="6009" w:name="_Toc12573"/>
      <w:bookmarkStart w:id="6010" w:name="_Toc517532257"/>
      <w:bookmarkStart w:id="6011" w:name="_Toc4725"/>
      <w:bookmarkStart w:id="6012" w:name="_Toc7111"/>
      <w:bookmarkStart w:id="6013" w:name="_Toc4746"/>
      <w:bookmarkStart w:id="6014" w:name="_Toc4967"/>
      <w:bookmarkStart w:id="6015" w:name="_Toc11679"/>
      <w:r>
        <w:rPr>
          <w:rFonts w:hint="eastAsia" w:ascii="宋体" w:hAnsi="宋体" w:cs="宋体"/>
          <w:b/>
          <w:bCs/>
          <w:color w:val="auto"/>
          <w:sz w:val="24"/>
          <w:szCs w:val="24"/>
          <w:highlight w:val="none"/>
        </w:rPr>
        <w:t>3.2.1项目经理</w:t>
      </w:r>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身份证号：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建造师执业资格等级：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建造师注册证书号：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建造师执业印章号：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安全生产考核合格证书号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本项目中：</w:t>
      </w:r>
    </w:p>
    <w:p>
      <w:pPr>
        <w:spacing w:line="360" w:lineRule="auto"/>
        <w:ind w:firstLine="400" w:firstLineChars="200"/>
        <w:rPr>
          <w:rFonts w:hint="eastAsia" w:ascii="宋体" w:hAnsi="宋体" w:cs="宋体"/>
          <w:color w:val="auto"/>
          <w:szCs w:val="21"/>
          <w:highlight w:val="none"/>
        </w:rPr>
      </w:pPr>
      <w:r>
        <w:rPr>
          <w:rFonts w:ascii="宋体" w:hAnsi="宋体"/>
          <w:bCs/>
          <w:color w:val="auto"/>
          <w:sz w:val="20"/>
          <w:szCs w:val="20"/>
          <w:highlight w:val="none"/>
        </w:rPr>
        <w:object>
          <v:shape id="_x0000_i1029" o:spt="201" type="#_x0000_t201" style="height:18pt;width:12.75pt;" o:ole="t" filled="f" o:preferrelative="t" stroked="f" coordsize="21600,21600">
            <v:path/>
            <v:fill on="f" focussize="0,0"/>
            <v:stroke on="f"/>
            <v:imagedata r:id="rId14" o:title=""/>
            <o:lock v:ext="edit" aspectratio="t"/>
            <w10:wrap type="none"/>
            <w10:anchorlock/>
          </v:shape>
          <w:control r:id="rId17" w:name="CheckBox1318" w:shapeid="_x0000_i1029"/>
        </w:object>
      </w:r>
      <w:r>
        <w:rPr>
          <w:rFonts w:hint="eastAsia" w:ascii="宋体" w:hAnsi="宋体" w:cs="宋体"/>
          <w:color w:val="auto"/>
          <w:szCs w:val="21"/>
          <w:highlight w:val="none"/>
        </w:rPr>
        <w:t>项目经理不得同时担任其他项目的项目经理。</w:t>
      </w:r>
    </w:p>
    <w:p>
      <w:pPr>
        <w:spacing w:line="360" w:lineRule="auto"/>
        <w:ind w:firstLine="400" w:firstLineChars="200"/>
        <w:rPr>
          <w:rFonts w:hint="eastAsia" w:ascii="宋体" w:hAnsi="宋体" w:cs="宋体"/>
          <w:color w:val="auto"/>
          <w:szCs w:val="21"/>
          <w:highlight w:val="none"/>
        </w:rPr>
      </w:pPr>
      <w:r>
        <w:rPr>
          <w:rFonts w:ascii="宋体" w:hAnsi="宋体"/>
          <w:bCs/>
          <w:color w:val="auto"/>
          <w:sz w:val="20"/>
          <w:szCs w:val="20"/>
          <w:highlight w:val="none"/>
        </w:rPr>
        <w:object>
          <v:shape id="_x0000_i1030" o:spt="201" type="#_x0000_t201" style="height:18pt;width:12.6pt;" o:ole="t" filled="f" o:preferrelative="t" stroked="f" coordsize="21600,21600">
            <v:path/>
            <v:fill on="f" focussize="0,0"/>
            <v:stroke on="f"/>
            <v:imagedata r:id="rId19" o:title=""/>
            <o:lock v:ext="edit" aspectratio="t"/>
            <w10:wrap type="none"/>
            <w10:anchorlock/>
          </v:shape>
          <w:control r:id="rId18" w:name="CheckBox1286" w:shapeid="_x0000_i1030"/>
        </w:object>
      </w:r>
      <w:r>
        <w:rPr>
          <w:rFonts w:hint="eastAsia" w:ascii="宋体" w:hAnsi="宋体" w:cs="宋体"/>
          <w:color w:val="auto"/>
          <w:szCs w:val="21"/>
          <w:highlight w:val="none"/>
        </w:rPr>
        <w:t>项目经理可以同时担任其他项目的项目经理。</w:t>
      </w:r>
    </w:p>
    <w:p>
      <w:pPr>
        <w:adjustRightInd w:val="0"/>
        <w:snapToGrid w:val="0"/>
        <w:spacing w:before="156" w:beforeLines="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项目经理、项目技术负责人在工程施工期间，需暂时离开工地现场 1 至 3 天，除应事先征得总监理工程师的同意外，还应征得项目主任的同意，并指定适合的项目经理代表、项目技术负责人代行其职责，书面通知总监理工程师。项目经理未经同意离开工地现场连续 3 天及以上时，对承包人处下述额度的违约金：累计所有此类情况的总天数（不计未经同意离开工地现场连续不足 3 天的时间），再以每天 1 万元的额度处违约金。当项目经理未经同意离开工地每年（起始月份为施工许可证颁发之月）累计达到 20 天的，视为承包人重大违约，发包人可予以记录不良行为，并提请行政主管部门对承包人是否存在转包挂靠情况进行调查。</w:t>
      </w:r>
    </w:p>
    <w:p>
      <w:pPr>
        <w:keepNext/>
        <w:keepLines/>
        <w:spacing w:before="156" w:beforeLines="50" w:after="156" w:afterLines="50" w:line="360" w:lineRule="auto"/>
        <w:ind w:firstLine="482" w:firstLineChars="200"/>
        <w:outlineLvl w:val="3"/>
        <w:rPr>
          <w:rFonts w:hint="eastAsia" w:ascii="宋体" w:hAnsi="宋体" w:cs="宋体"/>
          <w:b/>
          <w:bCs/>
          <w:color w:val="auto"/>
          <w:sz w:val="24"/>
          <w:szCs w:val="24"/>
          <w:highlight w:val="none"/>
        </w:rPr>
      </w:pPr>
      <w:bookmarkStart w:id="6016" w:name="_Toc5348"/>
      <w:bookmarkStart w:id="6017" w:name="_Toc25927"/>
      <w:bookmarkStart w:id="6018" w:name="_Toc24431"/>
      <w:bookmarkStart w:id="6019" w:name="_Toc517532258"/>
      <w:bookmarkStart w:id="6020" w:name="_Toc18666"/>
      <w:bookmarkStart w:id="6021" w:name="_Toc517530982"/>
      <w:bookmarkStart w:id="6022" w:name="_Toc118"/>
      <w:bookmarkStart w:id="6023" w:name="_Toc28785"/>
      <w:bookmarkStart w:id="6024" w:name="_Toc17986"/>
      <w:bookmarkStart w:id="6025" w:name="_Toc30891"/>
      <w:bookmarkStart w:id="6026" w:name="_Toc27133"/>
      <w:bookmarkStart w:id="6027" w:name="_Toc13995"/>
      <w:bookmarkStart w:id="6028" w:name="_Toc16107"/>
      <w:bookmarkStart w:id="6029" w:name="_Toc31844"/>
      <w:bookmarkStart w:id="6030" w:name="_Toc20713"/>
      <w:bookmarkStart w:id="6031" w:name="_Toc27323"/>
      <w:bookmarkStart w:id="6032" w:name="_Toc25960"/>
      <w:bookmarkStart w:id="6033" w:name="_Toc10170"/>
      <w:bookmarkStart w:id="6034" w:name="_Toc126"/>
      <w:bookmarkStart w:id="6035" w:name="_Toc25717"/>
      <w:r>
        <w:rPr>
          <w:rFonts w:hint="eastAsia" w:ascii="宋体" w:hAnsi="宋体" w:cs="宋体"/>
          <w:b/>
          <w:bCs/>
          <w:color w:val="auto"/>
          <w:sz w:val="24"/>
          <w:szCs w:val="24"/>
          <w:highlight w:val="none"/>
        </w:rPr>
        <w:t>3.2.3项目经理、技术负责人的更换</w:t>
      </w:r>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p>
    <w:p>
      <w:pPr>
        <w:spacing w:line="360" w:lineRule="auto"/>
        <w:jc w:val="left"/>
        <w:rPr>
          <w:rFonts w:ascii="宋体" w:hAnsi="宋体"/>
          <w:bCs/>
          <w:color w:val="auto"/>
          <w:szCs w:val="21"/>
          <w:highlight w:val="none"/>
          <w:u w:val="single"/>
        </w:rPr>
      </w:pPr>
      <w:r>
        <w:rPr>
          <w:rFonts w:ascii="宋体" w:hAnsi="宋体"/>
          <w:bCs/>
          <w:color w:val="auto"/>
          <w:sz w:val="20"/>
          <w:szCs w:val="20"/>
          <w:highlight w:val="none"/>
        </w:rPr>
        <w:object>
          <v:shape id="_x0000_i1031" o:spt="201" type="#_x0000_t201" style="height:18pt;width:12.75pt;" o:ole="t" filled="f" o:preferrelative="t" stroked="f" coordsize="21600,21600">
            <v:path/>
            <v:fill on="f" focussize="0,0"/>
            <v:stroke on="f"/>
            <v:imagedata r:id="rId14" o:title=""/>
            <o:lock v:ext="edit" aspectratio="t"/>
            <w10:wrap type="none"/>
            <w10:anchorlock/>
          </v:shape>
          <w:control r:id="rId20" w:name="CheckBox1318" w:shapeid="_x0000_i1031"/>
        </w:object>
      </w:r>
      <w:r>
        <w:rPr>
          <w:rFonts w:hint="eastAsia" w:ascii="宋体" w:hAnsi="宋体" w:cs="宋体"/>
          <w:b/>
          <w:bCs/>
          <w:color w:val="auto"/>
          <w:sz w:val="32"/>
          <w:szCs w:val="32"/>
          <w:highlight w:val="none"/>
        </w:rPr>
        <w:t xml:space="preserve"> </w:t>
      </w:r>
      <w:r>
        <w:rPr>
          <w:rFonts w:hint="eastAsia" w:ascii="宋体" w:hAnsi="宋体" w:cs="宋体"/>
          <w:b/>
          <w:bCs/>
          <w:color w:val="auto"/>
          <w:szCs w:val="21"/>
          <w:highlight w:val="none"/>
        </w:rPr>
        <w:t>(1)本项目</w:t>
      </w:r>
      <w:r>
        <w:rPr>
          <w:rFonts w:hint="eastAsia" w:ascii="宋体" w:hAnsi="宋体"/>
          <w:b/>
          <w:bCs/>
          <w:color w:val="auto"/>
          <w:szCs w:val="21"/>
          <w:highlight w:val="none"/>
        </w:rPr>
        <w:t>未将项目经理资历、能力、信誉等情况纳入定标因素，</w:t>
      </w:r>
      <w:r>
        <w:rPr>
          <w:rFonts w:hint="eastAsia" w:ascii="宋体" w:hAnsi="宋体" w:cs="宋体"/>
          <w:b/>
          <w:bCs/>
          <w:color w:val="auto"/>
          <w:szCs w:val="21"/>
          <w:highlight w:val="none"/>
        </w:rPr>
        <w:t>项目经理允许更换。</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承包人应当按照投标承诺履行项目管理班子配备义务，承包人更换项目经理、项目技术负责人应取得发包人的书面同意，所更换的人员必须为承包人的职工，其从业资格不得低于中标承诺条件。经发包人书面同意（含发包人要求更换）后更换有关人员的，不予以处罚。未经发包人同意，承包人擅自更换项目经理，每人每次处合同价 0.2%的违约金且累计不超过 100 万元。</w:t>
      </w:r>
    </w:p>
    <w:p>
      <w:pPr>
        <w:adjustRightInd w:val="0"/>
        <w:snapToGrid w:val="0"/>
        <w:spacing w:line="360" w:lineRule="auto"/>
        <w:jc w:val="left"/>
        <w:rPr>
          <w:rFonts w:ascii="宋体" w:hAnsi="宋体" w:cs="宋体"/>
          <w:b/>
          <w:bCs/>
          <w:color w:val="auto"/>
          <w:szCs w:val="21"/>
          <w:highlight w:val="none"/>
        </w:rPr>
      </w:pPr>
      <w:bookmarkStart w:id="6036" w:name="_1630823722"/>
      <w:bookmarkEnd w:id="6036"/>
      <w:r>
        <w:rPr>
          <w:rFonts w:ascii="宋体" w:hAnsi="宋体"/>
          <w:bCs/>
          <w:color w:val="auto"/>
          <w:sz w:val="20"/>
          <w:szCs w:val="20"/>
          <w:highlight w:val="none"/>
        </w:rPr>
        <w:object>
          <v:shape id="_x0000_i1032" o:spt="201" type="#_x0000_t201" style="height:18pt;width:12.6pt;" o:ole="t" filled="f" o:preferrelative="t" stroked="f" coordsize="21600,21600">
            <v:path/>
            <v:fill on="f" focussize="0,0"/>
            <v:stroke on="f"/>
            <v:imagedata r:id="rId22" o:title=""/>
            <o:lock v:ext="edit" aspectratio="t"/>
            <w10:wrap type="none"/>
            <w10:anchorlock/>
          </v:shape>
          <w:control r:id="rId21" w:name="CheckBox1288" w:shapeid="_x0000_i1032"/>
        </w:object>
      </w:r>
      <w:r>
        <w:rPr>
          <w:rFonts w:hint="eastAsia" w:ascii="宋体" w:hAnsi="宋体" w:cs="宋体"/>
          <w:b/>
          <w:bCs/>
          <w:color w:val="auto"/>
          <w:szCs w:val="21"/>
          <w:highlight w:val="none"/>
        </w:rPr>
        <w:t xml:space="preserve"> (2) 本项目</w:t>
      </w:r>
      <w:r>
        <w:rPr>
          <w:rFonts w:hint="eastAsia" w:ascii="宋体" w:hAnsi="宋体"/>
          <w:b/>
          <w:bCs/>
          <w:color w:val="auto"/>
          <w:szCs w:val="21"/>
          <w:highlight w:val="none"/>
        </w:rPr>
        <w:t>将项目经理资历、能力、信誉等情况纳入定标因素，</w:t>
      </w:r>
      <w:r>
        <w:rPr>
          <w:rFonts w:hint="eastAsia" w:ascii="宋体" w:hAnsi="宋体" w:cs="宋体"/>
          <w:b/>
          <w:bCs/>
          <w:color w:val="auto"/>
          <w:szCs w:val="21"/>
          <w:highlight w:val="none"/>
        </w:rPr>
        <w:t>项目经理不允许更换。</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A.承包人更换项目经理的（含发包人要求更换），对被更换的项目经理记录不良行为，并处“2年内拒绝其承建我署（含直属单位）项目”的处理，且对承包人处每人每次合同价</w:t>
      </w:r>
      <w:r>
        <w:rPr>
          <w:rFonts w:hint="eastAsia" w:ascii="宋体" w:hAnsi="宋体"/>
          <w:color w:val="auto"/>
          <w:szCs w:val="21"/>
          <w:highlight w:val="none"/>
          <w:u w:val="single"/>
        </w:rPr>
        <w:t xml:space="preserve">    </w:t>
      </w:r>
      <w:r>
        <w:rPr>
          <w:rFonts w:hint="eastAsia" w:ascii="宋体" w:hAnsi="宋体"/>
          <w:color w:val="auto"/>
          <w:szCs w:val="21"/>
          <w:highlight w:val="none"/>
        </w:rPr>
        <w:t>% （</w:t>
      </w:r>
      <w:r>
        <w:rPr>
          <w:rFonts w:hint="eastAsia" w:ascii="宋体" w:hAnsi="宋体"/>
          <w:color w:val="auto"/>
          <w:szCs w:val="21"/>
          <w:highlight w:val="none"/>
          <w:u w:val="single"/>
        </w:rPr>
        <w:t xml:space="preserve">      </w:t>
      </w:r>
      <w:r>
        <w:rPr>
          <w:rFonts w:hint="eastAsia" w:ascii="宋体" w:hAnsi="宋体"/>
          <w:color w:val="auto"/>
          <w:szCs w:val="21"/>
          <w:highlight w:val="none"/>
        </w:rPr>
        <w:t>万元）的违约金且累计不超过</w:t>
      </w:r>
      <w:r>
        <w:rPr>
          <w:rFonts w:hint="eastAsia" w:ascii="宋体" w:hAnsi="宋体"/>
          <w:color w:val="auto"/>
          <w:szCs w:val="21"/>
          <w:highlight w:val="none"/>
          <w:u w:val="single"/>
        </w:rPr>
        <w:t xml:space="preserve">    </w:t>
      </w:r>
      <w:r>
        <w:rPr>
          <w:rFonts w:hint="eastAsia" w:ascii="宋体" w:hAnsi="宋体"/>
          <w:color w:val="auto"/>
          <w:szCs w:val="21"/>
          <w:highlight w:val="none"/>
        </w:rPr>
        <w:t>万元。同时发包人可单方解除承包合同。</w:t>
      </w:r>
    </w:p>
    <w:p>
      <w:pPr>
        <w:adjustRightInd w:val="0"/>
        <w:snapToGrid w:val="0"/>
        <w:spacing w:line="360" w:lineRule="auto"/>
        <w:ind w:firstLine="420" w:firstLineChars="200"/>
        <w:jc w:val="left"/>
        <w:rPr>
          <w:rFonts w:ascii="宋体" w:hAnsi="宋体"/>
          <w:color w:val="auto"/>
          <w:szCs w:val="21"/>
          <w:highlight w:val="none"/>
        </w:rPr>
      </w:pPr>
      <w:bookmarkStart w:id="6037" w:name="_Hlk20217586"/>
      <w:r>
        <w:rPr>
          <w:rFonts w:hint="eastAsia" w:ascii="宋体" w:hAnsi="宋体"/>
          <w:color w:val="auto"/>
          <w:szCs w:val="21"/>
          <w:highlight w:val="none"/>
        </w:rPr>
        <w:t>B.项目经理因重大疾病或者重伤（持有县、区以上医院证明）丧失劳动能力，导致3个月以上不能完全履行职责的，经发包人同意，项目经理允许更换，且发包人有权对承包人处每人每次合同价</w:t>
      </w:r>
      <w:r>
        <w:rPr>
          <w:rFonts w:hint="eastAsia" w:ascii="宋体" w:hAnsi="宋体"/>
          <w:color w:val="auto"/>
          <w:szCs w:val="21"/>
          <w:highlight w:val="none"/>
          <w:u w:val="single"/>
        </w:rPr>
        <w:t xml:space="preserve">    </w:t>
      </w:r>
      <w:r>
        <w:rPr>
          <w:rFonts w:hint="eastAsia" w:ascii="宋体" w:hAnsi="宋体"/>
          <w:color w:val="auto"/>
          <w:szCs w:val="21"/>
          <w:highlight w:val="none"/>
        </w:rPr>
        <w:t>% （</w:t>
      </w:r>
      <w:r>
        <w:rPr>
          <w:rFonts w:hint="eastAsia" w:ascii="宋体" w:hAnsi="宋体"/>
          <w:color w:val="auto"/>
          <w:szCs w:val="21"/>
          <w:highlight w:val="none"/>
          <w:u w:val="single"/>
        </w:rPr>
        <w:t xml:space="preserve">      </w:t>
      </w:r>
      <w:r>
        <w:rPr>
          <w:rFonts w:hint="eastAsia" w:ascii="宋体" w:hAnsi="宋体"/>
          <w:color w:val="auto"/>
          <w:szCs w:val="21"/>
          <w:highlight w:val="none"/>
        </w:rPr>
        <w:t>万元）的违约金且累计不超过</w:t>
      </w:r>
      <w:r>
        <w:rPr>
          <w:rFonts w:hint="eastAsia" w:ascii="宋体" w:hAnsi="宋体"/>
          <w:color w:val="auto"/>
          <w:szCs w:val="21"/>
          <w:highlight w:val="none"/>
          <w:u w:val="single"/>
        </w:rPr>
        <w:t xml:space="preserve">    </w:t>
      </w:r>
      <w:r>
        <w:rPr>
          <w:rFonts w:hint="eastAsia" w:ascii="宋体" w:hAnsi="宋体"/>
          <w:color w:val="auto"/>
          <w:szCs w:val="21"/>
          <w:highlight w:val="none"/>
        </w:rPr>
        <w:t>万元。同时发包人可单方解除承包合同。</w:t>
      </w:r>
    </w:p>
    <w:bookmarkEnd w:id="6037"/>
    <w:p>
      <w:pPr>
        <w:adjustRightInd w:val="0"/>
        <w:snapToGrid w:val="0"/>
        <w:spacing w:line="360" w:lineRule="auto"/>
        <w:ind w:firstLine="420" w:firstLineChars="200"/>
        <w:jc w:val="left"/>
        <w:rPr>
          <w:rFonts w:ascii="宋体" w:hAnsi="宋体" w:cs="宋体"/>
          <w:color w:val="auto"/>
          <w:szCs w:val="21"/>
          <w:highlight w:val="none"/>
        </w:rPr>
      </w:pPr>
      <w:r>
        <w:rPr>
          <w:rFonts w:ascii="宋体" w:hAnsi="宋体" w:cs="宋体"/>
          <w:bCs/>
          <w:color w:val="auto"/>
          <w:szCs w:val="21"/>
          <w:highlight w:val="none"/>
        </w:rPr>
        <w:t>C</w:t>
      </w:r>
      <w:r>
        <w:rPr>
          <w:rFonts w:hint="eastAsia" w:ascii="宋体" w:hAnsi="宋体" w:cs="宋体"/>
          <w:bCs/>
          <w:color w:val="auto"/>
          <w:szCs w:val="21"/>
          <w:highlight w:val="none"/>
        </w:rPr>
        <w:t>.</w:t>
      </w:r>
      <w:r>
        <w:rPr>
          <w:rFonts w:hint="eastAsia" w:ascii="宋体" w:hAnsi="宋体" w:cs="宋体"/>
          <w:b/>
          <w:bCs/>
          <w:color w:val="auto"/>
          <w:szCs w:val="21"/>
          <w:highlight w:val="none"/>
        </w:rPr>
        <w:t>项目经理有下列情形之一不能继续履行职责确需更换的，经发包人同意，项目经理允许更换，不予以处罚。</w:t>
      </w:r>
      <w:r>
        <w:rPr>
          <w:rFonts w:hint="eastAsia" w:ascii="宋体" w:hAnsi="宋体" w:cs="宋体"/>
          <w:bCs/>
          <w:color w:val="auto"/>
          <w:szCs w:val="21"/>
          <w:highlight w:val="none"/>
        </w:rPr>
        <w:t>所更换的人员必须为承包人的职工，其从业资格不得低于中标承诺条件：</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（a）因涉嫌犯罪被羁押或者被判处刑罚的。</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（b）死亡的。</w:t>
      </w:r>
    </w:p>
    <w:p>
      <w:pPr>
        <w:adjustRightInd w:val="0"/>
        <w:snapToGrid w:val="0"/>
        <w:spacing w:line="360" w:lineRule="auto"/>
        <w:jc w:val="left"/>
        <w:rPr>
          <w:rFonts w:ascii="宋体" w:hAnsi="宋体" w:cs="宋体"/>
          <w:b/>
          <w:bCs/>
          <w:color w:val="auto"/>
          <w:szCs w:val="21"/>
          <w:highlight w:val="none"/>
        </w:rPr>
      </w:pPr>
      <w:r>
        <w:rPr>
          <w:rFonts w:ascii="宋体" w:hAnsi="宋体"/>
          <w:bCs/>
          <w:color w:val="auto"/>
          <w:sz w:val="20"/>
          <w:szCs w:val="20"/>
          <w:highlight w:val="none"/>
        </w:rPr>
        <w:object>
          <v:shape id="_x0000_i1033" o:spt="201" type="#_x0000_t201" style="height:18pt;width:12.6pt;" o:ole="t" filled="f" o:preferrelative="t" stroked="f" coordsize="21600,21600">
            <v:path/>
            <v:fill on="f" focussize="0,0"/>
            <v:stroke on="f"/>
            <v:imagedata r:id="rId24" o:title=""/>
            <o:lock v:ext="edit" aspectratio="t"/>
            <w10:wrap type="none"/>
            <w10:anchorlock/>
          </v:shape>
          <w:control r:id="rId23" w:name="CheckBox12881" w:shapeid="_x0000_i1033"/>
        </w:object>
      </w:r>
      <w:r>
        <w:rPr>
          <w:rFonts w:hint="eastAsia" w:ascii="宋体" w:hAnsi="宋体" w:cs="宋体"/>
          <w:b/>
          <w:bCs/>
          <w:color w:val="auto"/>
          <w:szCs w:val="21"/>
          <w:highlight w:val="none"/>
        </w:rPr>
        <w:t xml:space="preserve"> (3) 本项目</w:t>
      </w:r>
      <w:r>
        <w:rPr>
          <w:rFonts w:hint="eastAsia" w:ascii="宋体" w:hAnsi="宋体"/>
          <w:b/>
          <w:bCs/>
          <w:color w:val="auto"/>
          <w:szCs w:val="21"/>
          <w:highlight w:val="none"/>
        </w:rPr>
        <w:t>将项目经理和技术负责人资历、能力、信誉等情况纳入定标因素，</w:t>
      </w:r>
      <w:r>
        <w:rPr>
          <w:rFonts w:hint="eastAsia" w:ascii="宋体" w:hAnsi="宋体" w:cs="宋体"/>
          <w:b/>
          <w:bCs/>
          <w:color w:val="auto"/>
          <w:szCs w:val="21"/>
          <w:highlight w:val="none"/>
        </w:rPr>
        <w:t>项目经理和技术负责人均不允许更换。</w:t>
      </w:r>
    </w:p>
    <w:p>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A.承包人更换项目经理或技术负责人的（含发包人要求更换），对被更换的项目经理、技术负责人记录不良行为，并处“2年内拒绝其承建我署（含直属单位）项目”的处理，且对承包人处每人每次合同价</w:t>
      </w:r>
      <w:r>
        <w:rPr>
          <w:rFonts w:hint="eastAsia" w:ascii="宋体" w:hAnsi="宋体"/>
          <w:color w:val="auto"/>
          <w:szCs w:val="21"/>
          <w:highlight w:val="none"/>
          <w:u w:val="single"/>
        </w:rPr>
        <w:t xml:space="preserve">    </w:t>
      </w:r>
      <w:r>
        <w:rPr>
          <w:rFonts w:hint="eastAsia" w:ascii="宋体" w:hAnsi="宋体"/>
          <w:color w:val="auto"/>
          <w:szCs w:val="21"/>
          <w:highlight w:val="none"/>
        </w:rPr>
        <w:t>% （</w:t>
      </w:r>
      <w:r>
        <w:rPr>
          <w:rFonts w:hint="eastAsia" w:ascii="宋体" w:hAnsi="宋体"/>
          <w:color w:val="auto"/>
          <w:szCs w:val="21"/>
          <w:highlight w:val="none"/>
          <w:u w:val="single"/>
        </w:rPr>
        <w:t xml:space="preserve">      </w:t>
      </w:r>
      <w:r>
        <w:rPr>
          <w:rFonts w:hint="eastAsia" w:ascii="宋体" w:hAnsi="宋体"/>
          <w:color w:val="auto"/>
          <w:szCs w:val="21"/>
          <w:highlight w:val="none"/>
        </w:rPr>
        <w:t>万元）的违约金且累计不超过</w:t>
      </w:r>
      <w:r>
        <w:rPr>
          <w:rFonts w:hint="eastAsia" w:ascii="宋体" w:hAnsi="宋体"/>
          <w:color w:val="auto"/>
          <w:szCs w:val="21"/>
          <w:highlight w:val="none"/>
          <w:u w:val="single"/>
        </w:rPr>
        <w:t xml:space="preserve">    </w:t>
      </w:r>
      <w:r>
        <w:rPr>
          <w:rFonts w:hint="eastAsia" w:ascii="宋体" w:hAnsi="宋体"/>
          <w:color w:val="auto"/>
          <w:szCs w:val="21"/>
          <w:highlight w:val="none"/>
        </w:rPr>
        <w:t>万元。同时发包人可单方解除承包合同。</w:t>
      </w:r>
    </w:p>
    <w:p>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B. 项目经理或技术负责人因重大疾病或者重伤（持有县、区以上医院证明）丧失劳动能力，导致3个月以上不能完全履行职责的，经发包人同意，项目经理或技术负责人允许更换，且发包人有权对承包人处每人每次合同价</w:t>
      </w:r>
      <w:r>
        <w:rPr>
          <w:rFonts w:hint="eastAsia" w:ascii="宋体" w:hAnsi="宋体"/>
          <w:color w:val="auto"/>
          <w:szCs w:val="21"/>
          <w:highlight w:val="none"/>
          <w:u w:val="single"/>
        </w:rPr>
        <w:t xml:space="preserve">    </w:t>
      </w:r>
      <w:r>
        <w:rPr>
          <w:rFonts w:hint="eastAsia" w:ascii="宋体" w:hAnsi="宋体"/>
          <w:color w:val="auto"/>
          <w:szCs w:val="21"/>
          <w:highlight w:val="none"/>
        </w:rPr>
        <w:t>% （</w:t>
      </w:r>
      <w:r>
        <w:rPr>
          <w:rFonts w:hint="eastAsia" w:ascii="宋体" w:hAnsi="宋体"/>
          <w:color w:val="auto"/>
          <w:szCs w:val="21"/>
          <w:highlight w:val="none"/>
          <w:u w:val="single"/>
        </w:rPr>
        <w:t xml:space="preserve">      </w:t>
      </w:r>
      <w:r>
        <w:rPr>
          <w:rFonts w:hint="eastAsia" w:ascii="宋体" w:hAnsi="宋体"/>
          <w:color w:val="auto"/>
          <w:szCs w:val="21"/>
          <w:highlight w:val="none"/>
        </w:rPr>
        <w:t>万元）的违约金且累计不超过</w:t>
      </w:r>
      <w:r>
        <w:rPr>
          <w:rFonts w:hint="eastAsia" w:ascii="宋体" w:hAnsi="宋体"/>
          <w:color w:val="auto"/>
          <w:szCs w:val="21"/>
          <w:highlight w:val="none"/>
          <w:u w:val="single"/>
        </w:rPr>
        <w:t xml:space="preserve">    </w:t>
      </w:r>
      <w:r>
        <w:rPr>
          <w:rFonts w:hint="eastAsia" w:ascii="宋体" w:hAnsi="宋体"/>
          <w:color w:val="auto"/>
          <w:szCs w:val="21"/>
          <w:highlight w:val="none"/>
        </w:rPr>
        <w:t>万元。同时发包人可单方解除承包合同。</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bCs/>
          <w:color w:val="auto"/>
          <w:szCs w:val="21"/>
          <w:highlight w:val="none"/>
        </w:rPr>
        <w:t>C.</w:t>
      </w:r>
      <w:r>
        <w:rPr>
          <w:color w:val="auto"/>
          <w:highlight w:val="none"/>
        </w:rPr>
        <w:t xml:space="preserve"> </w:t>
      </w:r>
      <w:r>
        <w:rPr>
          <w:rFonts w:hint="eastAsia" w:ascii="宋体" w:hAnsi="宋体" w:cs="宋体"/>
          <w:b/>
          <w:bCs/>
          <w:color w:val="auto"/>
          <w:szCs w:val="21"/>
          <w:highlight w:val="none"/>
        </w:rPr>
        <w:t>项目经理或技术负责人有下列情形之一不能继续履行职责确需更换的，经发包人同意，项目经理或技术负责人允许更换，不予以处罚。</w:t>
      </w:r>
      <w:r>
        <w:rPr>
          <w:rFonts w:hint="eastAsia" w:ascii="宋体" w:hAnsi="宋体" w:cs="宋体"/>
          <w:bCs/>
          <w:color w:val="auto"/>
          <w:szCs w:val="21"/>
          <w:highlight w:val="none"/>
        </w:rPr>
        <w:t>所更换的人员必须为承包人的职工，其从业资格不得低于中标承诺条件：</w:t>
      </w:r>
    </w:p>
    <w:p>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（a）因涉嫌犯罪被羁押或者被判处刑罚的。</w:t>
      </w:r>
    </w:p>
    <w:p>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（b）死亡的。</w:t>
      </w:r>
    </w:p>
    <w:p>
      <w:pPr>
        <w:adjustRightInd w:val="0"/>
        <w:snapToGrid w:val="0"/>
        <w:spacing w:line="360" w:lineRule="auto"/>
        <w:ind w:firstLine="420" w:firstLineChars="200"/>
        <w:jc w:val="left"/>
        <w:rPr>
          <w:rFonts w:hint="eastAsia" w:ascii="宋体" w:hAnsi="宋体"/>
          <w:color w:val="auto"/>
          <w:szCs w:val="21"/>
          <w:highlight w:val="none"/>
        </w:rPr>
      </w:pP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038" w:name="_Toc20215"/>
      <w:bookmarkStart w:id="6039" w:name="_Toc517532259"/>
      <w:bookmarkStart w:id="6040" w:name="_Toc24547"/>
      <w:bookmarkStart w:id="6041" w:name="_Toc2001"/>
      <w:bookmarkStart w:id="6042" w:name="_Toc517530983"/>
      <w:bookmarkStart w:id="6043" w:name="_Toc5715"/>
      <w:bookmarkStart w:id="6044" w:name="_Toc28844"/>
      <w:bookmarkStart w:id="6045" w:name="_Toc6036"/>
      <w:bookmarkStart w:id="6046" w:name="_Toc28463"/>
      <w:bookmarkStart w:id="6047" w:name="_Toc517528780"/>
      <w:bookmarkStart w:id="6048" w:name="_Toc2069"/>
      <w:bookmarkStart w:id="6049" w:name="_Toc24720"/>
      <w:r>
        <w:rPr>
          <w:rFonts w:hint="eastAsia" w:ascii="宋体" w:hAnsi="宋体" w:cs="宋体"/>
          <w:b/>
          <w:bCs/>
          <w:color w:val="auto"/>
          <w:sz w:val="28"/>
          <w:szCs w:val="28"/>
          <w:highlight w:val="none"/>
        </w:rPr>
        <w:t>3.3 承包人人员</w:t>
      </w:r>
      <w:bookmarkEnd w:id="6038"/>
      <w:bookmarkEnd w:id="6039"/>
      <w:bookmarkEnd w:id="6040"/>
      <w:bookmarkEnd w:id="6041"/>
      <w:bookmarkEnd w:id="6042"/>
      <w:bookmarkEnd w:id="6043"/>
      <w:bookmarkEnd w:id="6044"/>
      <w:bookmarkEnd w:id="6045"/>
      <w:bookmarkEnd w:id="6046"/>
      <w:bookmarkEnd w:id="6047"/>
      <w:bookmarkEnd w:id="6048"/>
      <w:bookmarkEnd w:id="6049"/>
    </w:p>
    <w:p>
      <w:pPr>
        <w:keepNext/>
        <w:keepLines/>
        <w:spacing w:before="156" w:beforeLines="50" w:after="156" w:afterLines="50" w:line="360" w:lineRule="auto"/>
        <w:ind w:left="634" w:leftChars="302"/>
        <w:outlineLvl w:val="3"/>
        <w:rPr>
          <w:rFonts w:hint="eastAsia" w:ascii="宋体" w:hAnsi="宋体" w:cs="宋体"/>
          <w:b/>
          <w:bCs/>
          <w:color w:val="auto"/>
          <w:sz w:val="24"/>
          <w:szCs w:val="24"/>
          <w:highlight w:val="none"/>
        </w:rPr>
      </w:pPr>
      <w:bookmarkStart w:id="6050" w:name="_Toc10664"/>
      <w:bookmarkStart w:id="6051" w:name="_Toc15601"/>
      <w:bookmarkStart w:id="6052" w:name="_Toc24843"/>
      <w:bookmarkStart w:id="6053" w:name="_Toc19603"/>
      <w:bookmarkStart w:id="6054" w:name="_Toc14143"/>
      <w:bookmarkStart w:id="6055" w:name="_Toc31484"/>
      <w:bookmarkStart w:id="6056" w:name="_Toc16246"/>
      <w:bookmarkStart w:id="6057" w:name="_Toc15259"/>
      <w:bookmarkStart w:id="6058" w:name="_Toc5462"/>
      <w:bookmarkStart w:id="6059" w:name="_Toc10405"/>
      <w:bookmarkStart w:id="6060" w:name="_Toc4125"/>
      <w:bookmarkStart w:id="6061" w:name="_Toc31442"/>
      <w:bookmarkStart w:id="6062" w:name="_Toc16709"/>
      <w:bookmarkStart w:id="6063" w:name="_Toc6112"/>
      <w:bookmarkStart w:id="6064" w:name="_Toc517532260"/>
      <w:bookmarkStart w:id="6065" w:name="_Toc1470"/>
      <w:bookmarkStart w:id="6066" w:name="_Toc10323"/>
      <w:bookmarkStart w:id="6067" w:name="_Toc12571"/>
      <w:bookmarkStart w:id="6068" w:name="_Toc517530984"/>
      <w:r>
        <w:rPr>
          <w:rFonts w:hint="eastAsia" w:ascii="宋体" w:hAnsi="宋体" w:cs="宋体"/>
          <w:b/>
          <w:bCs/>
          <w:color w:val="auto"/>
          <w:sz w:val="24"/>
          <w:szCs w:val="24"/>
          <w:highlight w:val="none"/>
        </w:rPr>
        <w:t>3.3.5劳务工工资</w:t>
      </w:r>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p>
    <w:p>
      <w:pPr>
        <w:adjustRightInd w:val="0"/>
        <w:snapToGrid w:val="0"/>
        <w:spacing w:line="360" w:lineRule="auto"/>
        <w:ind w:firstLine="562"/>
        <w:jc w:val="left"/>
        <w:rPr>
          <w:rFonts w:hint="eastAsia" w:ascii="宋体" w:hAnsi="宋体" w:cs="宋体"/>
          <w:b/>
          <w:bCs/>
          <w:color w:val="auto"/>
          <w:szCs w:val="21"/>
          <w:highlight w:val="none"/>
        </w:rPr>
      </w:pPr>
      <w:r>
        <w:rPr>
          <w:rFonts w:hint="eastAsia" w:ascii="宋体" w:hAnsi="宋体" w:cs="宋体"/>
          <w:b/>
          <w:bCs/>
          <w:color w:val="auto"/>
          <w:szCs w:val="21"/>
          <w:highlight w:val="none"/>
        </w:rPr>
        <w:t>（a）劳务工工资的支付</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承包人必须严格按照《保障农民工工资支付条例》以及国家、省、市等有关规定支付劳务工工资，不得拖欠或克扣。</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承包人应按照《国务院办公厅关于全面治理拖欠农民工工资问题的意见》（国办发〔2016〕1号）、《广东省建设工程领域用工实名管理暂行办法》《广东省人力资源和社会保障厅 广东省住房和城乡建设厅 广东省交通运输厅 广东省水利厅关于建设工程领域农民工工资支付保证金管理办法》《深圳市住房和建设局关于进一步全面规范工程建设领域开展劳务工实名制和分账制管理工作的通知》（深建设〔2018〕18号）等文件的要求实行劳务用工实名制、工资分账管理制度及工资保证金制度等。</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具体要求：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（一）承包人应当以项目为单位及时在“两制”管理系统（即“深圳市建筑业实名制与分账制管理平台”）上传数据。</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（二）承包人应当按照有关规定开设农民工工资专用账户，专项用于支付该工程建设项目农民工工资。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（三）承包人应当按照有关规定存储工资保证金，专项用于支付为所承包工程提供劳动的农民工被拖欠的工资。</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（四）承包人应当在工程项目部配备劳资专管员，对分包单位劳动用工实施监督管理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（五）承包人应当在施工现场醒目位置设立维权信息告示牌。</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（六）承包人应当建立用工管理台账，并保存至工程完工且工资全部结清后至少3年。</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（七）承包人对分包单位劳动用工和工资发放等情况进行监督。分包单位拖欠农民工工资的，由承包人先行清偿，再依法进行追偿。</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如上述援引的法规、政策等发生变化，应以最新公布的为准。</w:t>
      </w:r>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（b）劳务分包工作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建筑劳务分包工作按建设行政主管部门有关规定执行。</w:t>
      </w:r>
    </w:p>
    <w:p>
      <w:pPr>
        <w:keepNext/>
        <w:keepLines/>
        <w:spacing w:before="156" w:beforeLines="50" w:after="156" w:afterLines="50" w:line="360" w:lineRule="auto"/>
        <w:ind w:left="634" w:leftChars="302"/>
        <w:outlineLvl w:val="3"/>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w:t>
      </w:r>
      <w:r>
        <w:rPr>
          <w:rFonts w:ascii="宋体" w:hAnsi="宋体" w:cs="宋体"/>
          <w:b/>
          <w:bCs/>
          <w:color w:val="auto"/>
          <w:sz w:val="24"/>
          <w:szCs w:val="24"/>
          <w:highlight w:val="none"/>
        </w:rPr>
        <w:t>.3.7</w:t>
      </w:r>
      <w:r>
        <w:rPr>
          <w:rFonts w:hint="eastAsia" w:ascii="宋体" w:hAnsi="宋体" w:cs="宋体"/>
          <w:b/>
          <w:bCs/>
          <w:color w:val="auto"/>
          <w:sz w:val="24"/>
          <w:szCs w:val="24"/>
          <w:highlight w:val="none"/>
        </w:rPr>
        <w:t>实名制管理</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发包人《项目参建单位管理人员实名制管理暂行办法》的有关规定，在本工程履约过程中，发包人将对承包人管理人员实行实名制管理，承包人管理人员实名登记、实名认证、电子签到与考勤情况将作为项目履约评价的重要指标。</w:t>
      </w:r>
    </w:p>
    <w:p>
      <w:pPr>
        <w:keepNext/>
        <w:keepLines/>
        <w:numPr>
          <w:ilvl w:val="1"/>
          <w:numId w:val="9"/>
        </w:numPr>
        <w:spacing w:before="156" w:beforeLines="50" w:after="156" w:afterLines="50" w:line="360" w:lineRule="auto"/>
        <w:outlineLvl w:val="2"/>
        <w:rPr>
          <w:rFonts w:hint="eastAsia" w:ascii="宋体" w:hAnsi="宋体" w:cs="宋体"/>
          <w:b/>
          <w:bCs/>
          <w:color w:val="auto"/>
          <w:sz w:val="28"/>
          <w:szCs w:val="28"/>
          <w:highlight w:val="none"/>
        </w:rPr>
      </w:pPr>
      <w:bookmarkStart w:id="6069" w:name="_Toc517532261"/>
      <w:bookmarkStart w:id="6070" w:name="_Toc8213"/>
      <w:bookmarkStart w:id="6071" w:name="_Toc14840"/>
      <w:bookmarkStart w:id="6072" w:name="_Toc1164"/>
      <w:bookmarkStart w:id="6073" w:name="_Toc26456"/>
      <w:bookmarkStart w:id="6074" w:name="_Toc23017"/>
      <w:bookmarkStart w:id="6075" w:name="_Toc15044"/>
      <w:bookmarkStart w:id="6076" w:name="_Toc27846"/>
      <w:bookmarkStart w:id="6077" w:name="_Toc26388"/>
      <w:bookmarkStart w:id="6078" w:name="_Toc11209"/>
      <w:bookmarkStart w:id="6079" w:name="_Toc25102"/>
      <w:bookmarkStart w:id="6080" w:name="_Toc517530985"/>
      <w:bookmarkStart w:id="6081" w:name="_Toc14238"/>
      <w:bookmarkStart w:id="6082" w:name="_Toc517528781"/>
      <w:bookmarkStart w:id="6083" w:name="_Toc230"/>
      <w:bookmarkStart w:id="6084" w:name="_Toc465237146"/>
      <w:bookmarkStart w:id="6085" w:name="_Toc465237248"/>
      <w:bookmarkStart w:id="6086" w:name="_Toc13737"/>
      <w:bookmarkStart w:id="6087" w:name="_Toc13179"/>
      <w:bookmarkStart w:id="6088" w:name="_Toc27856"/>
      <w:bookmarkStart w:id="6089" w:name="_Toc21396"/>
      <w:bookmarkStart w:id="6090" w:name="_Toc15886"/>
      <w:bookmarkStart w:id="6091" w:name="_Toc30704"/>
      <w:bookmarkStart w:id="6092" w:name="_Toc296347158"/>
      <w:bookmarkStart w:id="6093" w:name="_Toc296890987"/>
      <w:bookmarkStart w:id="6094" w:name="_Toc296944498"/>
      <w:bookmarkStart w:id="6095" w:name="_Toc296891199"/>
      <w:bookmarkStart w:id="6096" w:name="_Toc297123492"/>
      <w:bookmarkStart w:id="6097" w:name="_Toc297216151"/>
      <w:bookmarkStart w:id="6098" w:name="_Toc292559869"/>
      <w:bookmarkStart w:id="6099" w:name="_Toc312677988"/>
      <w:bookmarkStart w:id="6100" w:name="_Toc296503159"/>
      <w:bookmarkStart w:id="6101" w:name="_Toc303539102"/>
      <w:bookmarkStart w:id="6102" w:name="_Toc296346660"/>
      <w:bookmarkStart w:id="6103" w:name="_Toc304295523"/>
      <w:bookmarkStart w:id="6104" w:name="_Toc292559364"/>
      <w:bookmarkStart w:id="6105" w:name="_Toc297120459"/>
      <w:bookmarkStart w:id="6106" w:name="_Toc300934945"/>
      <w:bookmarkStart w:id="6107" w:name="_Toc297048345"/>
      <w:r>
        <w:rPr>
          <w:rFonts w:hint="eastAsia" w:ascii="宋体" w:hAnsi="宋体" w:cs="宋体"/>
          <w:b/>
          <w:bCs/>
          <w:color w:val="auto"/>
          <w:sz w:val="28"/>
          <w:szCs w:val="28"/>
          <w:highlight w:val="none"/>
        </w:rPr>
        <w:t>分包</w:t>
      </w:r>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p>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p>
      <w:pPr>
        <w:keepNext/>
        <w:keepLines/>
        <w:spacing w:before="156" w:beforeLines="50" w:after="156" w:afterLines="50" w:line="360" w:lineRule="auto"/>
        <w:ind w:firstLine="482" w:firstLineChars="200"/>
        <w:outlineLvl w:val="3"/>
        <w:rPr>
          <w:rFonts w:hint="eastAsia" w:ascii="宋体" w:hAnsi="宋体" w:cs="宋体"/>
          <w:b/>
          <w:bCs/>
          <w:color w:val="auto"/>
          <w:sz w:val="24"/>
          <w:szCs w:val="24"/>
          <w:highlight w:val="none"/>
        </w:rPr>
      </w:pPr>
      <w:bookmarkStart w:id="6108" w:name="_Toc3124"/>
      <w:bookmarkStart w:id="6109" w:name="_Toc26421"/>
      <w:bookmarkStart w:id="6110" w:name="_Toc26688"/>
      <w:bookmarkStart w:id="6111" w:name="_Toc13044"/>
      <w:bookmarkStart w:id="6112" w:name="_Toc13577"/>
      <w:bookmarkStart w:id="6113" w:name="_Toc7528"/>
      <w:bookmarkStart w:id="6114" w:name="_Toc26218"/>
      <w:bookmarkStart w:id="6115" w:name="_Toc17292"/>
      <w:bookmarkStart w:id="6116" w:name="_Toc6448"/>
      <w:bookmarkStart w:id="6117" w:name="_Toc14319"/>
      <w:bookmarkStart w:id="6118" w:name="_Toc17631"/>
      <w:bookmarkStart w:id="6119" w:name="_Toc517530986"/>
      <w:bookmarkStart w:id="6120" w:name="_Toc517532262"/>
      <w:bookmarkStart w:id="6121" w:name="_Toc25648"/>
      <w:bookmarkStart w:id="6122" w:name="_Toc25236"/>
      <w:bookmarkStart w:id="6123" w:name="_Toc31289"/>
      <w:bookmarkStart w:id="6124" w:name="_Toc5203"/>
      <w:bookmarkStart w:id="6125" w:name="_Toc12747"/>
      <w:bookmarkStart w:id="6126" w:name="_Toc29777"/>
      <w:bookmarkStart w:id="6127" w:name="_Toc318581159"/>
      <w:bookmarkStart w:id="6128" w:name="_Toc312677990"/>
      <w:r>
        <w:rPr>
          <w:rFonts w:hint="eastAsia" w:ascii="宋体" w:hAnsi="宋体" w:cs="宋体"/>
          <w:b/>
          <w:bCs/>
          <w:color w:val="auto"/>
          <w:sz w:val="24"/>
          <w:szCs w:val="24"/>
          <w:highlight w:val="none"/>
        </w:rPr>
        <w:t>3.5.1禁止挂靠、转包或违法分包</w:t>
      </w:r>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允许分包的专业工程包括：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其他关于分包的约定：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keepLines/>
        <w:numPr>
          <w:ilvl w:val="1"/>
          <w:numId w:val="10"/>
        </w:numPr>
        <w:spacing w:before="156" w:beforeLines="50" w:after="156" w:afterLines="50" w:line="360" w:lineRule="auto"/>
        <w:outlineLvl w:val="2"/>
        <w:rPr>
          <w:rFonts w:hint="eastAsia" w:ascii="宋体" w:hAnsi="宋体" w:cs="宋体"/>
          <w:b/>
          <w:bCs/>
          <w:color w:val="auto"/>
          <w:sz w:val="28"/>
          <w:szCs w:val="28"/>
          <w:highlight w:val="none"/>
        </w:rPr>
      </w:pPr>
      <w:bookmarkStart w:id="6129" w:name="_Toc517532263"/>
      <w:bookmarkStart w:id="6130" w:name="_Toc9912"/>
      <w:bookmarkStart w:id="6131" w:name="_Toc517530987"/>
      <w:bookmarkStart w:id="6132" w:name="_Toc11135"/>
      <w:bookmarkStart w:id="6133" w:name="_Toc517528782"/>
      <w:bookmarkStart w:id="6134" w:name="_Toc23725"/>
      <w:bookmarkStart w:id="6135" w:name="_Toc22166"/>
      <w:bookmarkStart w:id="6136" w:name="_Toc5444"/>
      <w:bookmarkStart w:id="6137" w:name="_Toc13894"/>
      <w:bookmarkStart w:id="6138" w:name="_Toc30680"/>
      <w:bookmarkStart w:id="6139" w:name="_Toc12501"/>
      <w:r>
        <w:rPr>
          <w:rFonts w:hint="eastAsia" w:ascii="宋体" w:hAnsi="宋体" w:cs="宋体"/>
          <w:b/>
          <w:bCs/>
          <w:color w:val="auto"/>
          <w:sz w:val="28"/>
          <w:szCs w:val="28"/>
          <w:highlight w:val="none"/>
        </w:rPr>
        <w:t>履约担保</w:t>
      </w:r>
      <w:bookmarkEnd w:id="6129"/>
      <w:bookmarkEnd w:id="6130"/>
      <w:bookmarkEnd w:id="6131"/>
      <w:bookmarkEnd w:id="6132"/>
      <w:bookmarkEnd w:id="6133"/>
      <w:bookmarkEnd w:id="6134"/>
      <w:bookmarkEnd w:id="6135"/>
      <w:bookmarkEnd w:id="6136"/>
      <w:bookmarkEnd w:id="6137"/>
      <w:bookmarkEnd w:id="6138"/>
      <w:bookmarkEnd w:id="6139"/>
      <w:bookmarkStart w:id="6140" w:name="_Toc28444"/>
      <w:bookmarkStart w:id="6141" w:name="_Toc4400"/>
      <w:bookmarkStart w:id="6142" w:name="_Toc24858"/>
      <w:bookmarkStart w:id="6143" w:name="_Toc8171"/>
      <w:bookmarkStart w:id="6144" w:name="_Toc14883"/>
      <w:bookmarkStart w:id="6145" w:name="_Toc517532264"/>
      <w:bookmarkStart w:id="6146" w:name="_Toc11459"/>
      <w:bookmarkStart w:id="6147" w:name="_Toc517530988"/>
      <w:bookmarkStart w:id="6148" w:name="_Toc28775"/>
      <w:bookmarkStart w:id="6149" w:name="_Toc27013"/>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r>
        <w:rPr>
          <w:rFonts w:hint="eastAsia" w:ascii="宋体" w:hAnsi="宋体" w:cs="宋体"/>
          <w:b/>
          <w:bCs/>
          <w:color w:val="auto"/>
          <w:sz w:val="24"/>
          <w:szCs w:val="24"/>
          <w:highlight w:val="none"/>
        </w:rPr>
        <w:t>3.7.1履约担保金额</w:t>
      </w:r>
      <w:bookmarkEnd w:id="6140"/>
      <w:bookmarkEnd w:id="6141"/>
      <w:bookmarkEnd w:id="6142"/>
      <w:bookmarkEnd w:id="6143"/>
      <w:bookmarkEnd w:id="6144"/>
      <w:bookmarkEnd w:id="6145"/>
      <w:bookmarkEnd w:id="6146"/>
      <w:bookmarkEnd w:id="6147"/>
      <w:bookmarkEnd w:id="614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本合同项下的履约担保金额为中标合同金额的10%。</w:t>
      </w:r>
    </w:p>
    <w:p>
      <w:pPr>
        <w:spacing w:line="360" w:lineRule="auto"/>
        <w:ind w:firstLine="422" w:firstLineChars="200"/>
        <w:rPr>
          <w:rFonts w:ascii="宋体" w:hAnsi="宋体" w:cs="宋体"/>
          <w:b/>
          <w:bCs/>
          <w:i/>
          <w:iCs/>
          <w:color w:val="auto"/>
          <w:szCs w:val="21"/>
          <w:highlight w:val="none"/>
        </w:rPr>
      </w:pPr>
      <w:r>
        <w:rPr>
          <w:rFonts w:hint="eastAsia" w:ascii="宋体" w:hAnsi="宋体" w:cs="宋体"/>
          <w:b/>
          <w:bCs/>
          <w:i/>
          <w:iCs/>
          <w:color w:val="auto"/>
          <w:szCs w:val="21"/>
          <w:highlight w:val="none"/>
        </w:rPr>
        <w:t>（提示：履约担保的金额一般不超过中标价的10%）</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r>
        <w:rPr>
          <w:rFonts w:hint="eastAsia" w:ascii="宋体" w:hAnsi="宋体" w:cs="宋体"/>
          <w:b/>
          <w:bCs/>
          <w:color w:val="auto"/>
          <w:sz w:val="24"/>
          <w:szCs w:val="24"/>
          <w:highlight w:val="none"/>
        </w:rPr>
        <w:t>3.7.</w:t>
      </w:r>
      <w:r>
        <w:rPr>
          <w:rFonts w:ascii="宋体" w:hAnsi="宋体" w:cs="宋体"/>
          <w:b/>
          <w:bCs/>
          <w:color w:val="auto"/>
          <w:sz w:val="24"/>
          <w:szCs w:val="24"/>
          <w:highlight w:val="none"/>
        </w:rPr>
        <w:t>2</w:t>
      </w:r>
      <w:r>
        <w:rPr>
          <w:rFonts w:hint="eastAsia" w:ascii="宋体" w:hAnsi="宋体" w:cs="宋体"/>
          <w:b/>
          <w:bCs/>
          <w:color w:val="auto"/>
          <w:sz w:val="24"/>
          <w:szCs w:val="24"/>
          <w:highlight w:val="none"/>
        </w:rPr>
        <w:t>履约担保金额</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关于履约担保的有效期的特别约定：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6149"/>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150" w:name="_Toc517528783"/>
      <w:bookmarkStart w:id="6151" w:name="_Toc18372"/>
      <w:bookmarkStart w:id="6152" w:name="_Toc517530989"/>
      <w:bookmarkStart w:id="6153" w:name="_Toc517532265"/>
      <w:bookmarkStart w:id="6154" w:name="_Toc11789"/>
      <w:bookmarkStart w:id="6155" w:name="_Toc17329"/>
      <w:bookmarkStart w:id="6156" w:name="_Toc18486"/>
      <w:bookmarkStart w:id="6157" w:name="_Toc21172"/>
      <w:bookmarkStart w:id="6158" w:name="_Toc5937"/>
      <w:bookmarkStart w:id="6159" w:name="_Toc29504"/>
      <w:bookmarkStart w:id="6160" w:name="_Toc20592"/>
      <w:r>
        <w:rPr>
          <w:rFonts w:hint="eastAsia" w:ascii="宋体" w:hAnsi="宋体" w:cs="宋体"/>
          <w:b/>
          <w:bCs/>
          <w:color w:val="auto"/>
          <w:sz w:val="28"/>
          <w:szCs w:val="28"/>
          <w:highlight w:val="none"/>
        </w:rPr>
        <w:t>3.8 联合体</w:t>
      </w:r>
      <w:bookmarkEnd w:id="6150"/>
      <w:bookmarkEnd w:id="6151"/>
      <w:bookmarkEnd w:id="6152"/>
      <w:bookmarkEnd w:id="6153"/>
      <w:bookmarkEnd w:id="6154"/>
      <w:bookmarkEnd w:id="6155"/>
      <w:bookmarkEnd w:id="6156"/>
      <w:bookmarkEnd w:id="6157"/>
      <w:bookmarkEnd w:id="6158"/>
      <w:bookmarkEnd w:id="6159"/>
      <w:bookmarkEnd w:id="6160"/>
    </w:p>
    <w:p>
      <w:pPr>
        <w:keepNext/>
        <w:keepLines/>
        <w:spacing w:before="156" w:beforeLines="50" w:after="156" w:afterLines="50" w:line="360" w:lineRule="auto"/>
        <w:ind w:left="634" w:leftChars="302"/>
        <w:outlineLvl w:val="3"/>
        <w:rPr>
          <w:rFonts w:hint="eastAsia" w:ascii="宋体" w:hAnsi="宋体" w:cs="宋体"/>
          <w:b/>
          <w:bCs/>
          <w:color w:val="auto"/>
          <w:sz w:val="24"/>
          <w:szCs w:val="24"/>
          <w:highlight w:val="none"/>
        </w:rPr>
      </w:pPr>
      <w:bookmarkStart w:id="6161" w:name="_Toc27418"/>
      <w:bookmarkStart w:id="6162" w:name="_Toc13316"/>
      <w:bookmarkStart w:id="6163" w:name="_Toc24351"/>
      <w:bookmarkStart w:id="6164" w:name="_Toc17984"/>
      <w:bookmarkStart w:id="6165" w:name="_Toc517532266"/>
      <w:bookmarkStart w:id="6166" w:name="_Toc517530990"/>
      <w:bookmarkStart w:id="6167" w:name="_Toc11234"/>
      <w:bookmarkStart w:id="6168" w:name="_Toc21674"/>
      <w:bookmarkStart w:id="6169" w:name="_Toc24263"/>
      <w:bookmarkStart w:id="6170" w:name="_Toc3927"/>
      <w:r>
        <w:rPr>
          <w:rFonts w:hint="eastAsia" w:ascii="宋体" w:hAnsi="宋体" w:cs="宋体"/>
          <w:b/>
          <w:bCs/>
          <w:color w:val="auto"/>
          <w:sz w:val="24"/>
          <w:szCs w:val="24"/>
          <w:highlight w:val="none"/>
        </w:rPr>
        <w:t>3.8.3 联合体的支付</w:t>
      </w:r>
      <w:bookmarkEnd w:id="6161"/>
      <w:bookmarkEnd w:id="6162"/>
      <w:bookmarkEnd w:id="6163"/>
      <w:bookmarkEnd w:id="6164"/>
      <w:bookmarkEnd w:id="6165"/>
      <w:bookmarkEnd w:id="6166"/>
      <w:bookmarkEnd w:id="6167"/>
      <w:bookmarkEnd w:id="6168"/>
      <w:bookmarkEnd w:id="6169"/>
      <w:bookmarkEnd w:id="6170"/>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关于联合体付款的特别约定：</w:t>
      </w:r>
      <w:r>
        <w:rPr>
          <w:rFonts w:hint="eastAsia" w:ascii="宋体" w:hAnsi="宋体" w:cs="宋体"/>
          <w:color w:val="auto"/>
          <w:szCs w:val="21"/>
          <w:highlight w:val="none"/>
          <w:u w:val="single"/>
        </w:rPr>
        <w:t xml:space="preserve">                                                。</w:t>
      </w:r>
    </w:p>
    <w:bookmarkEnd w:id="6127"/>
    <w:bookmarkEnd w:id="6128"/>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6171" w:name="_Toc7800"/>
      <w:bookmarkStart w:id="6172" w:name="_Toc12140"/>
      <w:bookmarkStart w:id="6173" w:name="_Toc517530991"/>
      <w:bookmarkStart w:id="6174" w:name="_Toc24995"/>
      <w:bookmarkStart w:id="6175" w:name="_Toc465237249"/>
      <w:bookmarkStart w:id="6176" w:name="_Toc465237147"/>
      <w:bookmarkStart w:id="6177" w:name="_Toc3878"/>
      <w:bookmarkStart w:id="6178" w:name="_Toc4956"/>
      <w:bookmarkStart w:id="6179" w:name="_Toc4539"/>
      <w:bookmarkStart w:id="6180" w:name="_Toc17692"/>
      <w:bookmarkStart w:id="6181" w:name="_Toc351203636"/>
      <w:bookmarkStart w:id="6182" w:name="_Toc20329"/>
      <w:bookmarkStart w:id="6183" w:name="_Toc31576"/>
      <w:bookmarkStart w:id="6184" w:name="_Toc14839"/>
      <w:bookmarkStart w:id="6185" w:name="_Toc517528784"/>
      <w:bookmarkStart w:id="6186" w:name="_Toc15486"/>
      <w:bookmarkStart w:id="6187" w:name="_Toc517529759"/>
      <w:bookmarkStart w:id="6188" w:name="_Toc6027"/>
      <w:bookmarkStart w:id="6189" w:name="_Toc29974"/>
      <w:bookmarkStart w:id="6190" w:name="_Toc11153"/>
      <w:bookmarkStart w:id="6191" w:name="_Toc517532267"/>
      <w:bookmarkStart w:id="6192" w:name="_Toc29498"/>
      <w:bookmarkStart w:id="6193" w:name="_Toc8757"/>
      <w:bookmarkStart w:id="6194" w:name="_Toc15243"/>
      <w:bookmarkStart w:id="6195" w:name="_Toc14169"/>
      <w:r>
        <w:rPr>
          <w:rFonts w:hint="eastAsia" w:ascii="宋体" w:hAnsi="宋体" w:cs="宋体"/>
          <w:b/>
          <w:bCs/>
          <w:color w:val="auto"/>
          <w:sz w:val="30"/>
          <w:szCs w:val="30"/>
          <w:highlight w:val="none"/>
        </w:rPr>
        <w:t>4</w:t>
      </w:r>
      <w:bookmarkStart w:id="6196" w:name="_Toc297048348"/>
      <w:bookmarkStart w:id="6197" w:name="_Toc296890990"/>
      <w:bookmarkStart w:id="6198" w:name="_Toc292559871"/>
      <w:bookmarkStart w:id="6199" w:name="_Toc296891202"/>
      <w:bookmarkStart w:id="6200" w:name="_Toc296503162"/>
      <w:bookmarkStart w:id="6201" w:name="_Toc267251413"/>
      <w:bookmarkStart w:id="6202" w:name="_Toc296347161"/>
      <w:bookmarkStart w:id="6203" w:name="_Toc297120462"/>
      <w:bookmarkStart w:id="6204" w:name="_Toc296944501"/>
      <w:bookmarkStart w:id="6205" w:name="_Toc296346663"/>
      <w:bookmarkStart w:id="6206" w:name="_Toc292559366"/>
      <w:r>
        <w:rPr>
          <w:rFonts w:hint="eastAsia" w:ascii="宋体" w:hAnsi="宋体" w:cs="宋体"/>
          <w:b/>
          <w:bCs/>
          <w:color w:val="auto"/>
          <w:sz w:val="30"/>
          <w:szCs w:val="30"/>
          <w:highlight w:val="none"/>
        </w:rPr>
        <w:t>. 监</w:t>
      </w:r>
      <w:bookmarkEnd w:id="6196"/>
      <w:bookmarkEnd w:id="6197"/>
      <w:bookmarkEnd w:id="6198"/>
      <w:bookmarkEnd w:id="6199"/>
      <w:bookmarkEnd w:id="6200"/>
      <w:bookmarkEnd w:id="6201"/>
      <w:bookmarkEnd w:id="6202"/>
      <w:bookmarkEnd w:id="6203"/>
      <w:bookmarkEnd w:id="6204"/>
      <w:bookmarkEnd w:id="6205"/>
      <w:bookmarkEnd w:id="6206"/>
      <w:r>
        <w:rPr>
          <w:rFonts w:hint="eastAsia" w:ascii="宋体" w:hAnsi="宋体" w:cs="宋体"/>
          <w:b/>
          <w:bCs/>
          <w:color w:val="auto"/>
          <w:sz w:val="30"/>
          <w:szCs w:val="30"/>
          <w:highlight w:val="none"/>
        </w:rPr>
        <w:t>理人</w:t>
      </w:r>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207" w:name="_Toc4097"/>
      <w:bookmarkStart w:id="6208" w:name="_Toc517530992"/>
      <w:bookmarkStart w:id="6209" w:name="_Toc17368"/>
      <w:bookmarkStart w:id="6210" w:name="_Toc29578"/>
      <w:bookmarkStart w:id="6211" w:name="_Toc32499"/>
      <w:bookmarkStart w:id="6212" w:name="_Toc17947"/>
      <w:bookmarkStart w:id="6213" w:name="_Toc24863"/>
      <w:bookmarkStart w:id="6214" w:name="_Toc7964"/>
      <w:bookmarkStart w:id="6215" w:name="_Toc32762"/>
      <w:bookmarkStart w:id="6216" w:name="_Toc517532268"/>
      <w:bookmarkStart w:id="6217" w:name="_Toc517528785"/>
      <w:bookmarkStart w:id="6218" w:name="_Toc31303"/>
      <w:bookmarkStart w:id="6219" w:name="_Toc26035"/>
      <w:bookmarkStart w:id="6220" w:name="_Toc16103"/>
      <w:bookmarkStart w:id="6221" w:name="_Toc23943"/>
      <w:bookmarkStart w:id="6222" w:name="_Toc30552"/>
      <w:bookmarkStart w:id="6223" w:name="_Toc31789"/>
      <w:bookmarkStart w:id="6224" w:name="_Toc30733"/>
      <w:r>
        <w:rPr>
          <w:rFonts w:hint="eastAsia" w:ascii="宋体" w:hAnsi="宋体" w:cs="宋体"/>
          <w:b/>
          <w:bCs/>
          <w:color w:val="auto"/>
          <w:sz w:val="28"/>
          <w:szCs w:val="28"/>
          <w:highlight w:val="none"/>
        </w:rPr>
        <w:t>4.1 监理人的一般规定</w:t>
      </w:r>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名    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资质类别和等级：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225" w:name="_Toc10014"/>
      <w:bookmarkStart w:id="6226" w:name="_Toc24516"/>
      <w:bookmarkStart w:id="6227" w:name="_Toc15873"/>
      <w:bookmarkStart w:id="6228" w:name="_Toc12882"/>
      <w:bookmarkStart w:id="6229" w:name="_Toc2047"/>
      <w:bookmarkStart w:id="6230" w:name="_Toc13122"/>
      <w:bookmarkStart w:id="6231" w:name="_Toc23897"/>
      <w:bookmarkStart w:id="6232" w:name="_Toc21084"/>
      <w:bookmarkStart w:id="6233" w:name="_Toc11199"/>
      <w:bookmarkStart w:id="6234" w:name="_Toc517530993"/>
      <w:bookmarkStart w:id="6235" w:name="_Toc10572"/>
      <w:bookmarkStart w:id="6236" w:name="_Toc517532269"/>
      <w:bookmarkStart w:id="6237" w:name="_Toc29815"/>
      <w:bookmarkStart w:id="6238" w:name="_Toc311"/>
      <w:bookmarkStart w:id="6239" w:name="_Toc517528786"/>
      <w:bookmarkStart w:id="6240" w:name="_Toc7589"/>
      <w:bookmarkStart w:id="6241" w:name="_Toc12008"/>
      <w:bookmarkStart w:id="6242" w:name="_Toc3812"/>
      <w:r>
        <w:rPr>
          <w:rFonts w:hint="eastAsia" w:ascii="宋体" w:hAnsi="宋体" w:cs="宋体"/>
          <w:b/>
          <w:bCs/>
          <w:color w:val="auto"/>
          <w:sz w:val="28"/>
          <w:szCs w:val="28"/>
          <w:highlight w:val="none"/>
        </w:rPr>
        <w:t>4.2 监理人员</w:t>
      </w:r>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总监理工程师：</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监理人执业资格证书号：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电子邮箱：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通信地址：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6243" w:name="_Toc29922"/>
      <w:bookmarkStart w:id="6244" w:name="_Toc14740"/>
      <w:bookmarkStart w:id="6245" w:name="_Toc9620"/>
      <w:bookmarkStart w:id="6246" w:name="_Toc517528787"/>
      <w:bookmarkStart w:id="6247" w:name="_Toc517530994"/>
      <w:bookmarkStart w:id="6248" w:name="_Toc17306"/>
      <w:bookmarkStart w:id="6249" w:name="_Toc517532270"/>
      <w:bookmarkStart w:id="6250" w:name="_Toc8448"/>
      <w:bookmarkStart w:id="6251" w:name="_Toc4455"/>
      <w:bookmarkStart w:id="6252" w:name="_Toc17849"/>
      <w:bookmarkStart w:id="6253" w:name="_Toc10349"/>
      <w:bookmarkStart w:id="6254" w:name="_Toc31868"/>
      <w:bookmarkStart w:id="6255" w:name="_Toc25311"/>
      <w:bookmarkStart w:id="6256" w:name="_Toc32205"/>
      <w:bookmarkStart w:id="6257" w:name="_Toc2295"/>
      <w:bookmarkStart w:id="6258" w:name="_Toc27076"/>
      <w:bookmarkStart w:id="6259" w:name="_Toc12301"/>
      <w:bookmarkStart w:id="6260" w:name="_Toc517529760"/>
      <w:bookmarkStart w:id="6261" w:name="_Toc31971"/>
      <w:bookmarkStart w:id="6262" w:name="_Toc8659"/>
      <w:bookmarkStart w:id="6263" w:name="_Toc10983"/>
      <w:bookmarkStart w:id="6264" w:name="_Toc21799"/>
      <w:bookmarkStart w:id="6265" w:name="_Toc17470"/>
      <w:bookmarkStart w:id="6266" w:name="_Toc6311"/>
      <w:bookmarkStart w:id="6267" w:name="_Toc22023"/>
      <w:bookmarkStart w:id="6268" w:name="_Toc22682"/>
      <w:bookmarkStart w:id="6269" w:name="_Toc29874"/>
      <w:bookmarkStart w:id="6270" w:name="_Toc17271"/>
      <w:bookmarkStart w:id="6271" w:name="_Toc517529761"/>
      <w:bookmarkStart w:id="6272" w:name="_Toc30465"/>
      <w:bookmarkStart w:id="6273" w:name="_Toc22913"/>
      <w:bookmarkStart w:id="6274" w:name="_Toc517528789"/>
      <w:bookmarkStart w:id="6275" w:name="_Toc16445"/>
      <w:bookmarkStart w:id="6276" w:name="_Toc2918"/>
      <w:bookmarkStart w:id="6277" w:name="_Toc25642"/>
      <w:bookmarkStart w:id="6278" w:name="_Toc31618"/>
      <w:bookmarkStart w:id="6279" w:name="_Toc517532272"/>
      <w:bookmarkStart w:id="6280" w:name="_Toc517530996"/>
      <w:bookmarkStart w:id="6281" w:name="_Toc465237148"/>
      <w:bookmarkStart w:id="6282" w:name="_Toc465237250"/>
      <w:bookmarkStart w:id="6283" w:name="_Toc351203638"/>
      <w:bookmarkStart w:id="6284" w:name="_Toc12746"/>
      <w:bookmarkStart w:id="6285" w:name="_Toc9570"/>
      <w:bookmarkStart w:id="6286" w:name="_Toc26099"/>
      <w:bookmarkStart w:id="6287" w:name="_Toc297048349"/>
      <w:bookmarkStart w:id="6288" w:name="_Toc296503163"/>
      <w:bookmarkStart w:id="6289" w:name="_Toc297120463"/>
      <w:bookmarkStart w:id="6290" w:name="_Toc296890991"/>
      <w:bookmarkStart w:id="6291" w:name="_Toc296346664"/>
      <w:bookmarkStart w:id="6292" w:name="_Toc292559872"/>
      <w:bookmarkStart w:id="6293" w:name="_Toc296944502"/>
      <w:bookmarkStart w:id="6294" w:name="_Toc296891203"/>
      <w:bookmarkStart w:id="6295" w:name="_Toc296347162"/>
      <w:bookmarkStart w:id="6296" w:name="_Toc292559367"/>
      <w:r>
        <w:rPr>
          <w:rFonts w:hint="eastAsia" w:ascii="宋体" w:hAnsi="宋体" w:cs="宋体"/>
          <w:b/>
          <w:bCs/>
          <w:color w:val="auto"/>
          <w:sz w:val="30"/>
          <w:szCs w:val="30"/>
          <w:highlight w:val="none"/>
        </w:rPr>
        <w:t>5. 工程质量</w:t>
      </w:r>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297" w:name="_Toc9449"/>
      <w:bookmarkStart w:id="6298" w:name="_Toc13616"/>
      <w:bookmarkStart w:id="6299" w:name="_Toc28632"/>
      <w:bookmarkStart w:id="6300" w:name="_Toc9920"/>
      <w:bookmarkStart w:id="6301" w:name="_Toc22862"/>
      <w:bookmarkStart w:id="6302" w:name="_Toc32586"/>
      <w:bookmarkStart w:id="6303" w:name="_Toc21834"/>
      <w:bookmarkStart w:id="6304" w:name="_Toc25955"/>
      <w:bookmarkStart w:id="6305" w:name="_Toc12800"/>
      <w:bookmarkStart w:id="6306" w:name="_Toc517528788"/>
      <w:bookmarkStart w:id="6307" w:name="_Toc517530995"/>
      <w:bookmarkStart w:id="6308" w:name="_Toc11696"/>
      <w:bookmarkStart w:id="6309" w:name="_Toc26085"/>
      <w:bookmarkStart w:id="6310" w:name="_Toc13440"/>
      <w:bookmarkStart w:id="6311" w:name="_Toc29774"/>
      <w:bookmarkStart w:id="6312" w:name="_Toc29709"/>
      <w:bookmarkStart w:id="6313" w:name="_Toc517532271"/>
      <w:bookmarkStart w:id="6314" w:name="_Toc30581"/>
      <w:r>
        <w:rPr>
          <w:rFonts w:ascii="宋体" w:hAnsi="宋体"/>
          <w:bCs/>
          <w:color w:val="auto"/>
          <w:sz w:val="20"/>
          <w:szCs w:val="20"/>
          <w:highlight w:val="none"/>
        </w:rPr>
        <w:object>
          <v:shape id="_x0000_i1034" o:spt="201" type="#_x0000_t201" style="height:18pt;width:12.6pt;" o:ole="t" filled="f" o:preferrelative="t" stroked="f" coordsize="21600,21600">
            <v:path/>
            <v:fill on="f" focussize="0,0"/>
            <v:stroke on="f"/>
            <v:imagedata r:id="rId26" o:title=""/>
            <o:lock v:ext="edit" aspectratio="t"/>
            <w10:wrap type="none"/>
            <w10:anchorlock/>
          </v:shape>
          <w:control r:id="rId25" w:name="CheckBox1289" w:shapeid="_x0000_i1034"/>
        </w:object>
      </w:r>
      <w:r>
        <w:rPr>
          <w:rFonts w:hint="eastAsia" w:ascii="宋体" w:hAnsi="宋体" w:cs="宋体"/>
          <w:b/>
          <w:bCs/>
          <w:color w:val="auto"/>
          <w:sz w:val="28"/>
          <w:szCs w:val="28"/>
          <w:highlight w:val="none"/>
        </w:rPr>
        <w:t>5.4质量、安全检查</w:t>
      </w:r>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r>
        <w:rPr>
          <w:rFonts w:hint="eastAsia" w:ascii="宋体" w:hAnsi="宋体" w:cs="宋体"/>
          <w:b/>
          <w:bCs/>
          <w:color w:val="auto"/>
          <w:sz w:val="28"/>
          <w:szCs w:val="28"/>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工务署对年度质量安全排名靠前的承包人给予奖励，对年度质量安全排名靠后的承包人给予处罚。年度质量安全排名靠前是指工务署汇总的年度排行榜中，年度质量安全排名在前15%且得分大于</w:t>
      </w:r>
      <w:r>
        <w:rPr>
          <w:rFonts w:hint="eastAsia" w:ascii="宋体" w:hAnsi="宋体" w:cs="宋体"/>
          <w:color w:val="auto"/>
          <w:szCs w:val="21"/>
          <w:highlight w:val="none"/>
          <w:lang w:val="en-US" w:eastAsia="zh-CN"/>
        </w:rPr>
        <w:t>90</w:t>
      </w:r>
      <w:r>
        <w:rPr>
          <w:rFonts w:hint="eastAsia" w:ascii="宋体" w:hAnsi="宋体" w:cs="宋体"/>
          <w:color w:val="auto"/>
          <w:szCs w:val="21"/>
          <w:highlight w:val="none"/>
        </w:rPr>
        <w:t>分的（按参与排名承包人数量计算，四舍五入，且不超过3名）；年度质量安全排名靠后是指工务署汇总的年度排行榜中，排名在后15%且得分低于80分的（按参与排名承包人数量计算，四舍五入，且不超过3名）。奖罚标准如下：</w:t>
      </w:r>
    </w:p>
    <w:p>
      <w:pPr>
        <w:spacing w:line="360" w:lineRule="auto"/>
        <w:rPr>
          <w:rFonts w:hint="eastAsia" w:ascii="宋体" w:hAnsi="宋体" w:cs="宋体"/>
          <w:color w:val="auto"/>
          <w:szCs w:val="21"/>
          <w:highlight w:val="none"/>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19"/>
        <w:gridCol w:w="6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jc w:val="center"/>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排行榜类别</w:t>
            </w:r>
          </w:p>
        </w:tc>
        <w:tc>
          <w:tcPr>
            <w:tcW w:w="67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奖励或处罚标准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7" w:hRule="atLeast"/>
          <w:jc w:val="center"/>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质量</w:t>
            </w:r>
          </w:p>
        </w:tc>
        <w:tc>
          <w:tcPr>
            <w:tcW w:w="67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签约合同金额≤5000万元，奖励或处罚10万元；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5000万元＜签约合同金额≤20000万元，奖励或处罚20万元；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20000万元＜签约合同金额≤50000万元，奖励或处罚30万元；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50000万元＜签约合同金额，奖励或处罚50万元。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4" w:hRule="atLeast"/>
          <w:jc w:val="center"/>
        </w:trPr>
        <w:tc>
          <w:tcPr>
            <w:tcW w:w="161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安全文明</w:t>
            </w:r>
          </w:p>
        </w:tc>
        <w:tc>
          <w:tcPr>
            <w:tcW w:w="679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签约合同金额≤5000万元，奖励或处罚10万元；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5000万元＜签约合同金额≤20000万元，奖励或处罚20万元；</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20000万元＜签约合同金额≤50000万元，奖励或处罚30万元；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50000万元＜签约合同金额，奖励或处罚50万元。</w:t>
            </w:r>
          </w:p>
        </w:tc>
      </w:tr>
    </w:tbl>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6.安全文明施工与环境保护</w:t>
      </w:r>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p>
    <w:bookmarkEnd w:id="6281"/>
    <w:bookmarkEnd w:id="6282"/>
    <w:bookmarkEnd w:id="6283"/>
    <w:bookmarkEnd w:id="6284"/>
    <w:bookmarkEnd w:id="6285"/>
    <w:bookmarkEnd w:id="6286"/>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315" w:name="_Toc5496"/>
      <w:bookmarkStart w:id="6316" w:name="_Toc13299"/>
      <w:bookmarkStart w:id="6317" w:name="_Toc32705"/>
      <w:bookmarkStart w:id="6318" w:name="_Toc16742"/>
      <w:bookmarkStart w:id="6319" w:name="_Toc13405"/>
      <w:bookmarkStart w:id="6320" w:name="_Toc517530997"/>
      <w:bookmarkStart w:id="6321" w:name="_Toc517528790"/>
      <w:bookmarkStart w:id="6322" w:name="_Toc7243"/>
      <w:bookmarkStart w:id="6323" w:name="_Toc30491"/>
      <w:bookmarkStart w:id="6324" w:name="_Toc517532273"/>
      <w:bookmarkStart w:id="6325" w:name="_Toc25366"/>
      <w:bookmarkStart w:id="6326" w:name="_Toc21225"/>
      <w:bookmarkStart w:id="6327" w:name="_Toc12369"/>
      <w:bookmarkStart w:id="6328" w:name="_Toc1214"/>
      <w:bookmarkStart w:id="6329" w:name="_Toc15670"/>
      <w:bookmarkStart w:id="6330" w:name="_Toc21045"/>
      <w:bookmarkStart w:id="6331" w:name="_Toc12243"/>
      <w:bookmarkStart w:id="6332" w:name="_Toc9752"/>
      <w:bookmarkStart w:id="6333" w:name="_Toc27056"/>
      <w:bookmarkStart w:id="6334" w:name="_Toc29625"/>
      <w:bookmarkStart w:id="6335" w:name="_Toc9235"/>
      <w:bookmarkStart w:id="6336" w:name="_Toc10448"/>
      <w:r>
        <w:rPr>
          <w:rFonts w:hint="eastAsia" w:ascii="宋体" w:hAnsi="宋体" w:cs="宋体"/>
          <w:b/>
          <w:bCs/>
          <w:color w:val="auto"/>
          <w:sz w:val="28"/>
          <w:szCs w:val="28"/>
          <w:highlight w:val="none"/>
        </w:rPr>
        <w:t>6.1安全文明施工</w:t>
      </w:r>
      <w:bookmarkEnd w:id="6315"/>
      <w:bookmarkEnd w:id="6316"/>
      <w:bookmarkEnd w:id="6317"/>
      <w:bookmarkEnd w:id="6318"/>
      <w:bookmarkEnd w:id="6319"/>
      <w:bookmarkEnd w:id="6320"/>
      <w:bookmarkEnd w:id="6321"/>
      <w:bookmarkEnd w:id="6322"/>
      <w:bookmarkEnd w:id="6323"/>
      <w:bookmarkEnd w:id="6324"/>
      <w:bookmarkEnd w:id="6325"/>
      <w:bookmarkEnd w:id="6326"/>
    </w:p>
    <w:p>
      <w:pPr>
        <w:spacing w:line="360" w:lineRule="auto"/>
        <w:ind w:firstLine="482" w:firstLineChars="200"/>
        <w:jc w:val="left"/>
        <w:outlineLvl w:val="3"/>
        <w:rPr>
          <w:rFonts w:hint="eastAsia" w:ascii="宋体" w:hAnsi="宋体" w:cs="宋体"/>
          <w:b/>
          <w:bCs/>
          <w:color w:val="auto"/>
          <w:sz w:val="24"/>
          <w:szCs w:val="24"/>
          <w:highlight w:val="none"/>
        </w:rPr>
      </w:pPr>
      <w:bookmarkStart w:id="6337" w:name="_Toc517530998"/>
      <w:bookmarkStart w:id="6338" w:name="_Toc17896"/>
      <w:bookmarkStart w:id="6339" w:name="_Toc30659"/>
      <w:bookmarkStart w:id="6340" w:name="_Toc517532274"/>
      <w:bookmarkStart w:id="6341" w:name="_Toc3263"/>
      <w:bookmarkStart w:id="6342" w:name="_Toc24101"/>
      <w:r>
        <w:rPr>
          <w:rFonts w:hint="eastAsia" w:ascii="宋体" w:hAnsi="宋体" w:cs="宋体"/>
          <w:b/>
          <w:bCs/>
          <w:color w:val="auto"/>
          <w:sz w:val="24"/>
          <w:szCs w:val="24"/>
          <w:highlight w:val="none"/>
        </w:rPr>
        <w:t>6.1.1一般要求</w:t>
      </w:r>
      <w:bookmarkEnd w:id="6337"/>
      <w:bookmarkEnd w:id="6338"/>
      <w:bookmarkEnd w:id="6339"/>
      <w:bookmarkEnd w:id="6340"/>
    </w:p>
    <w:p>
      <w:pPr>
        <w:spacing w:line="360" w:lineRule="auto"/>
        <w:ind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增加：</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在实施和完成本合同工程及其缺陷修复的整个过程中，承包人应该遵守深圳市相关法律法规和标准规定：</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《深圳市建设工程安全文明施工十项标准（试行）》</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《深圳市建设工程安全文明施工十项禁令》</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《深圳市建设工程安全文明施工标准》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《深圳市建筑工务署安全文明标准化手册3.0》</w:t>
      </w:r>
    </w:p>
    <w:p>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p>
    <w:p>
      <w:pPr>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承包人应按照深圳市相关要求和根据工程性质规模，建立现场视频采集系统，开展实时监控。承包人应当按照建筑从业人员实名制管理的相关要求，利用人脸、虹膜等生物活体信息技术，在工地出入口设立实名闸机通道，实行联网运行。                         </w:t>
      </w:r>
      <w:r>
        <w:rPr>
          <w:rFonts w:hint="eastAsia" w:ascii="宋体" w:hAnsi="宋体" w:cs="宋体"/>
          <w:color w:val="auto"/>
          <w:szCs w:val="21"/>
          <w:highlight w:val="none"/>
        </w:rPr>
        <w:t xml:space="preserve"> </w:t>
      </w:r>
      <w:bookmarkStart w:id="6343" w:name="_Toc8107"/>
      <w:bookmarkStart w:id="6344" w:name="_Toc12392"/>
      <w:bookmarkStart w:id="6345" w:name="_Toc517530999"/>
      <w:bookmarkStart w:id="6346" w:name="_Toc21991"/>
      <w:bookmarkStart w:id="6347" w:name="_Toc16477"/>
      <w:bookmarkStart w:id="6348" w:name="_Toc6884"/>
      <w:bookmarkStart w:id="6349" w:name="_Toc517532275"/>
      <w:bookmarkStart w:id="6350" w:name="_Toc2019"/>
      <w:bookmarkStart w:id="6351" w:name="_Toc23838"/>
    </w:p>
    <w:p>
      <w:pPr>
        <w:spacing w:line="360" w:lineRule="auto"/>
        <w:jc w:val="left"/>
        <w:rPr>
          <w:rFonts w:hint="eastAsia" w:ascii="宋体" w:hAnsi="宋体" w:cs="宋体"/>
          <w:b/>
          <w:bCs/>
          <w:color w:val="auto"/>
          <w:sz w:val="24"/>
          <w:szCs w:val="24"/>
          <w:highlight w:val="none"/>
        </w:rPr>
      </w:pPr>
      <w:r>
        <w:rPr>
          <w:rFonts w:ascii="宋体" w:hAnsi="宋体"/>
          <w:bCs/>
          <w:color w:val="auto"/>
          <w:sz w:val="20"/>
          <w:szCs w:val="20"/>
          <w:highlight w:val="none"/>
        </w:rPr>
        <w:object>
          <v:shape id="_x0000_i1035" o:spt="201" type="#_x0000_t201" style="height:18pt;width:12.6pt;" o:ole="t" filled="f" o:preferrelative="t" stroked="f" coordsize="21600,21600">
            <v:path/>
            <v:fill on="f" focussize="0,0"/>
            <v:stroke on="f"/>
            <v:imagedata r:id="rId28" o:title=""/>
            <o:lock v:ext="edit" aspectratio="t"/>
            <w10:wrap type="none"/>
            <w10:anchorlock/>
          </v:shape>
          <w:control r:id="rId27" w:name="CheckBox1290" w:shapeid="_x0000_i1035"/>
        </w:object>
      </w:r>
      <w:r>
        <w:rPr>
          <w:rFonts w:hint="eastAsia" w:ascii="宋体" w:hAnsi="宋体" w:cs="宋体"/>
          <w:b/>
          <w:bCs/>
          <w:color w:val="auto"/>
          <w:sz w:val="24"/>
          <w:szCs w:val="24"/>
          <w:highlight w:val="none"/>
        </w:rPr>
        <w:t>6.1.8安全体验馆建设</w:t>
      </w:r>
      <w:bookmarkEnd w:id="6327"/>
      <w:bookmarkEnd w:id="6328"/>
      <w:bookmarkEnd w:id="6329"/>
      <w:bookmarkEnd w:id="6330"/>
      <w:bookmarkEnd w:id="6331"/>
      <w:bookmarkEnd w:id="6332"/>
      <w:bookmarkEnd w:id="6333"/>
      <w:bookmarkEnd w:id="6334"/>
      <w:bookmarkEnd w:id="6335"/>
      <w:bookmarkEnd w:id="6341"/>
      <w:bookmarkEnd w:id="6342"/>
      <w:bookmarkEnd w:id="6343"/>
      <w:bookmarkEnd w:id="6344"/>
      <w:bookmarkEnd w:id="6345"/>
      <w:bookmarkEnd w:id="6346"/>
      <w:bookmarkEnd w:id="6347"/>
      <w:bookmarkEnd w:id="6348"/>
      <w:bookmarkEnd w:id="6349"/>
      <w:bookmarkEnd w:id="6350"/>
      <w:bookmarkEnd w:id="6351"/>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总承包单位应建设安全体验馆，安全体验馆的建设应满足相关质量安全标准，且必须包括以下内容（但不限于以下内容）:</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安全体验培训区、平衡木体验、移动式操作平台体验、灭火器演示体验、安全带使用体验、梯子体验、钢丝绳作业体验、安全栏杆推倒实验、综合用电体验区、开口部坠落体验、搬运重物体验、防护服培训、安全帽的撞击体验、安全提示标志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（注：招标部分的金额为人民币5亿元及以上的总承包工程可勾选；如项目分标段委托的，由发包人指定标段建设。) </w:t>
      </w:r>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352" w:name="_Toc465237251"/>
      <w:bookmarkStart w:id="6353" w:name="_Toc27618"/>
      <w:bookmarkStart w:id="6354" w:name="_Toc24266"/>
      <w:bookmarkStart w:id="6355" w:name="_Toc517532277"/>
      <w:bookmarkStart w:id="6356" w:name="_Toc465237149"/>
      <w:bookmarkStart w:id="6357" w:name="_Toc22219"/>
      <w:bookmarkStart w:id="6358" w:name="_Toc15822"/>
      <w:bookmarkStart w:id="6359" w:name="_Toc27563"/>
      <w:bookmarkStart w:id="6360" w:name="_Toc18014"/>
      <w:bookmarkStart w:id="6361" w:name="_Toc8492"/>
      <w:bookmarkStart w:id="6362" w:name="_Toc12391"/>
      <w:bookmarkStart w:id="6363" w:name="_Toc6218"/>
      <w:bookmarkStart w:id="6364" w:name="_Toc1014"/>
      <w:bookmarkStart w:id="6365" w:name="_Toc5797"/>
      <w:bookmarkStart w:id="6366" w:name="_Toc517531001"/>
      <w:bookmarkStart w:id="6367" w:name="_Toc4763"/>
      <w:bookmarkStart w:id="6368" w:name="_Toc16235"/>
      <w:bookmarkStart w:id="6369" w:name="_Toc27394"/>
      <w:bookmarkStart w:id="6370" w:name="_Toc31954"/>
      <w:bookmarkStart w:id="6371" w:name="_Toc3748"/>
      <w:bookmarkStart w:id="6372" w:name="_Toc1655"/>
      <w:bookmarkStart w:id="6373" w:name="_Toc23887"/>
      <w:r>
        <w:rPr>
          <w:rFonts w:ascii="宋体" w:hAnsi="宋体"/>
          <w:bCs/>
          <w:color w:val="auto"/>
          <w:sz w:val="20"/>
          <w:szCs w:val="20"/>
          <w:highlight w:val="none"/>
        </w:rPr>
        <w:object>
          <v:shape id="_x0000_i1036" o:spt="201" type="#_x0000_t201" style="height:18pt;width:12.75pt;" o:ole="t" filled="f" o:preferrelative="t" stroked="f" coordsize="21600,21600">
            <v:path/>
            <v:fill on="f" focussize="0,0"/>
            <v:stroke on="f"/>
            <v:imagedata r:id="rId14" o:title=""/>
            <o:lock v:ext="edit" aspectratio="t"/>
            <w10:wrap type="none"/>
            <w10:anchorlock/>
          </v:shape>
          <w:control r:id="rId29" w:name="CheckBox1318" w:shapeid="_x0000_i1036"/>
        </w:object>
      </w:r>
      <w:r>
        <w:rPr>
          <w:rFonts w:hint="eastAsia" w:ascii="宋体" w:hAnsi="宋体" w:cs="宋体"/>
          <w:b/>
          <w:bCs/>
          <w:color w:val="auto"/>
          <w:sz w:val="24"/>
          <w:szCs w:val="24"/>
          <w:highlight w:val="none"/>
        </w:rPr>
        <w:t>6.1.9安全事故应急预案</w:t>
      </w:r>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p>
    <w:p>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承包人应在合同签订后在发包人给定的时间内编制安全生产安全事故应急预案。</w:t>
      </w:r>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374" w:name="_Toc22094"/>
      <w:bookmarkStart w:id="6375" w:name="_Toc18503"/>
      <w:bookmarkStart w:id="6376" w:name="_Toc1868"/>
      <w:bookmarkStart w:id="6377" w:name="_Toc19469"/>
      <w:bookmarkStart w:id="6378" w:name="_Toc15518"/>
      <w:bookmarkStart w:id="6379" w:name="_Toc5700"/>
      <w:bookmarkStart w:id="6380" w:name="_Toc28963"/>
      <w:bookmarkStart w:id="6381" w:name="_Toc10907"/>
      <w:bookmarkStart w:id="6382" w:name="_Toc12920"/>
      <w:bookmarkStart w:id="6383" w:name="_Toc29492"/>
      <w:bookmarkStart w:id="6384" w:name="_Toc9590"/>
      <w:bookmarkStart w:id="6385" w:name="_Toc18045"/>
      <w:bookmarkStart w:id="6386" w:name="_Toc25893"/>
      <w:bookmarkStart w:id="6387" w:name="_Toc15633"/>
      <w:bookmarkStart w:id="6388" w:name="_Toc517531002"/>
      <w:bookmarkStart w:id="6389" w:name="_Toc517532278"/>
      <w:bookmarkStart w:id="6390" w:name="_Toc23829"/>
      <w:bookmarkStart w:id="6391" w:name="_Toc25309"/>
      <w:bookmarkStart w:id="6392" w:name="_Toc1403"/>
      <w:bookmarkStart w:id="6393" w:name="_Toc26270"/>
      <w:r>
        <w:rPr>
          <w:rFonts w:ascii="宋体" w:hAnsi="宋体"/>
          <w:bCs/>
          <w:color w:val="auto"/>
          <w:sz w:val="20"/>
          <w:szCs w:val="20"/>
          <w:highlight w:val="none"/>
        </w:rPr>
        <w:object>
          <v:shape id="_x0000_i1037" o:spt="201" type="#_x0000_t201" style="height:18pt;width:12.6pt;" o:ole="t" filled="f" o:preferrelative="t" stroked="f" coordsize="21600,21600">
            <v:path/>
            <v:fill on="f" focussize="0,0"/>
            <v:stroke on="f"/>
            <v:imagedata r:id="rId31" o:title=""/>
            <o:lock v:ext="edit" aspectratio="t"/>
            <w10:wrap type="none"/>
            <w10:anchorlock/>
          </v:shape>
          <w:control r:id="rId30" w:name="CheckBox1293" w:shapeid="_x0000_i1037"/>
        </w:object>
      </w:r>
      <w:r>
        <w:rPr>
          <w:rFonts w:hint="eastAsia" w:ascii="宋体" w:hAnsi="宋体" w:cs="宋体"/>
          <w:b/>
          <w:bCs/>
          <w:color w:val="auto"/>
          <w:sz w:val="24"/>
          <w:szCs w:val="24"/>
          <w:highlight w:val="none"/>
        </w:rPr>
        <w:t>6.1.10建设单位办公临建要求</w:t>
      </w:r>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承包人应为发包</w:t>
      </w:r>
      <w:r>
        <w:rPr>
          <w:rFonts w:hint="eastAsia" w:ascii="宋体" w:hAnsi="宋体" w:cs="宋体"/>
          <w:bCs/>
          <w:color w:val="auto"/>
          <w:szCs w:val="21"/>
          <w:highlight w:val="none"/>
        </w:rPr>
        <w:t>人</w:t>
      </w:r>
      <w:r>
        <w:rPr>
          <w:rFonts w:hint="eastAsia" w:ascii="宋体" w:hAnsi="宋体" w:cs="宋体"/>
          <w:color w:val="auto"/>
          <w:szCs w:val="21"/>
          <w:highlight w:val="none"/>
        </w:rPr>
        <w:t>提供临时办公用房，要求为（由发包人二选一）：</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sym w:font="Wingdings 2" w:char="00A3"/>
      </w:r>
      <w:r>
        <w:rPr>
          <w:color w:val="auto"/>
          <w:highlight w:val="none"/>
        </w:rPr>
        <w:drawing>
          <wp:anchor distT="0" distB="0" distL="114300" distR="114300" simplePos="0" relativeHeight="251659264" behindDoc="0" locked="1" layoutInCell="1" allowOverlap="1">
            <wp:simplePos x="0" y="0"/>
            <wp:positionH relativeFrom="page">
              <wp:posOffset>0</wp:posOffset>
            </wp:positionH>
            <wp:positionV relativeFrom="page">
              <wp:posOffset>0</wp:posOffset>
            </wp:positionV>
            <wp:extent cx="148590" cy="180975"/>
            <wp:effectExtent l="0" t="0" r="3810" b="9525"/>
            <wp:wrapNone/>
            <wp:docPr id="5"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1"/>
                    <pic:cNvPicPr>
                      <a:picLocks noChangeAspect="1"/>
                    </pic:cNvPicPr>
                  </pic:nvPicPr>
                  <pic:blipFill>
                    <a:blip r:embed="rId32"/>
                    <a:stretch>
                      <a:fillRect/>
                    </a:stretch>
                  </pic:blipFill>
                  <pic:spPr>
                    <a:xfrm>
                      <a:off x="0" y="0"/>
                      <a:ext cx="148590" cy="180975"/>
                    </a:xfrm>
                    <a:prstGeom prst="rect">
                      <a:avLst/>
                    </a:prstGeom>
                    <a:noFill/>
                    <a:ln>
                      <a:noFill/>
                    </a:ln>
                  </pic:spPr>
                </pic:pic>
              </a:graphicData>
            </a:graphic>
          </wp:anchor>
        </w:drawing>
      </w:r>
      <w:r>
        <w:rPr>
          <w:rFonts w:hint="eastAsia" w:ascii="宋体" w:hAnsi="宋体" w:cs="宋体"/>
          <w:color w:val="auto"/>
          <w:szCs w:val="21"/>
          <w:highlight w:val="none"/>
        </w:rPr>
        <w:t>箱式房模块化设计，以集装箱体为基本单元，组合搭设办公及会议用房（参考图例1、2、3）。具体配备数量、</w:t>
      </w:r>
      <w:r>
        <w:rPr>
          <w:rFonts w:hint="eastAsia" w:ascii="宋体" w:hAnsi="宋体" w:cs="宋体"/>
          <w:bCs/>
          <w:color w:val="auto"/>
          <w:szCs w:val="21"/>
          <w:highlight w:val="none"/>
        </w:rPr>
        <w:t>面积</w:t>
      </w:r>
      <w:r>
        <w:rPr>
          <w:rFonts w:hint="eastAsia" w:ascii="宋体" w:hAnsi="宋体" w:cs="宋体"/>
          <w:color w:val="auto"/>
          <w:szCs w:val="21"/>
          <w:highlight w:val="none"/>
        </w:rPr>
        <w:t>等详见招标文件；</w:t>
      </w:r>
    </w:p>
    <w:p>
      <w:pPr>
        <w:spacing w:line="360" w:lineRule="auto"/>
        <w:ind w:firstLine="420" w:firstLineChars="200"/>
        <w:rPr>
          <w:rFonts w:hint="eastAsia" w:ascii="宋体" w:hAnsi="宋体" w:cs="宋体"/>
          <w:color w:val="auto"/>
          <w:szCs w:val="21"/>
          <w:highlight w:val="none"/>
        </w:rPr>
      </w:pPr>
      <w:r>
        <w:rPr>
          <w:color w:val="auto"/>
          <w:highlight w:val="none"/>
        </w:rPr>
        <w:drawing>
          <wp:anchor distT="0" distB="0" distL="114300" distR="114300" simplePos="0" relativeHeight="251660288" behindDoc="0" locked="1" layoutInCell="1" allowOverlap="1">
            <wp:simplePos x="0" y="0"/>
            <wp:positionH relativeFrom="page">
              <wp:posOffset>0</wp:posOffset>
            </wp:positionH>
            <wp:positionV relativeFrom="page">
              <wp:posOffset>0</wp:posOffset>
            </wp:positionV>
            <wp:extent cx="148590" cy="180975"/>
            <wp:effectExtent l="0" t="0" r="3810" b="9525"/>
            <wp:wrapNone/>
            <wp:docPr id="3"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2"/>
                    <pic:cNvPicPr>
                      <a:picLocks noChangeAspect="1"/>
                    </pic:cNvPicPr>
                  </pic:nvPicPr>
                  <pic:blipFill>
                    <a:blip r:embed="rId32"/>
                    <a:stretch>
                      <a:fillRect/>
                    </a:stretch>
                  </pic:blipFill>
                  <pic:spPr>
                    <a:xfrm>
                      <a:off x="0" y="0"/>
                      <a:ext cx="148590" cy="180975"/>
                    </a:xfrm>
                    <a:prstGeom prst="rect">
                      <a:avLst/>
                    </a:prstGeom>
                    <a:noFill/>
                    <a:ln>
                      <a:noFill/>
                    </a:ln>
                  </pic:spPr>
                </pic:pic>
              </a:graphicData>
            </a:graphic>
          </wp:anchor>
        </w:drawing>
      </w:r>
      <w:r>
        <w:rPr>
          <w:color w:val="auto"/>
          <w:highlight w:val="none"/>
        </w:rPr>
        <w:sym w:font="Wingdings 2" w:char="00A3"/>
      </w:r>
      <w:r>
        <w:rPr>
          <w:rFonts w:hint="eastAsia" w:ascii="宋体" w:hAnsi="宋体" w:cs="宋体"/>
          <w:color w:val="auto"/>
          <w:szCs w:val="21"/>
          <w:highlight w:val="none"/>
        </w:rPr>
        <w:t>其他形式</w:t>
      </w:r>
      <w:r>
        <w:rPr>
          <w:rFonts w:hint="eastAsia" w:ascii="宋体" w:hAnsi="宋体" w:cs="宋体"/>
          <w:bCs/>
          <w:color w:val="auto"/>
          <w:szCs w:val="21"/>
          <w:highlight w:val="none"/>
        </w:rPr>
        <w:t>的</w:t>
      </w:r>
      <w:r>
        <w:rPr>
          <w:rFonts w:hint="eastAsia" w:ascii="宋体" w:hAnsi="宋体" w:cs="宋体"/>
          <w:color w:val="auto"/>
          <w:szCs w:val="21"/>
          <w:highlight w:val="none"/>
        </w:rPr>
        <w:t>临时办公用房。具体要求详见招标文件。</w:t>
      </w:r>
    </w:p>
    <w:p>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图例1：</w:t>
      </w:r>
    </w:p>
    <w:p>
      <w:pPr>
        <w:adjustRightInd w:val="0"/>
        <w:snapToGrid w:val="0"/>
        <w:spacing w:line="360" w:lineRule="auto"/>
        <w:rPr>
          <w:rFonts w:hint="eastAsia" w:ascii="宋体" w:hAnsi="宋体" w:cs="宋体"/>
          <w:color w:val="auto"/>
          <w:szCs w:val="21"/>
          <w:highlight w:val="none"/>
        </w:rPr>
      </w:pPr>
      <w:r>
        <w:rPr>
          <w:rFonts w:ascii="宋体" w:hAnsi="宋体" w:cs="宋体"/>
          <w:color w:val="auto"/>
          <w:szCs w:val="21"/>
          <w:highlight w:val="none"/>
        </w:rPr>
        <w:drawing>
          <wp:inline distT="0" distB="0" distL="114300" distR="114300">
            <wp:extent cx="5279390" cy="3507740"/>
            <wp:effectExtent l="0" t="0" r="16510" b="16510"/>
            <wp:docPr id="4" name="图片 14" descr="说明: IMG_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4" descr="说明: IMG_0292"/>
                    <pic:cNvPicPr>
                      <a:picLocks noChangeAspect="1"/>
                    </pic:cNvPicPr>
                  </pic:nvPicPr>
                  <pic:blipFill>
                    <a:blip r:embed="rId33"/>
                    <a:stretch>
                      <a:fillRect/>
                    </a:stretch>
                  </pic:blipFill>
                  <pic:spPr>
                    <a:xfrm>
                      <a:off x="0" y="0"/>
                      <a:ext cx="5279390" cy="3507740"/>
                    </a:xfrm>
                    <a:prstGeom prst="rect">
                      <a:avLst/>
                    </a:prstGeom>
                    <a:noFill/>
                    <a:ln>
                      <a:noFill/>
                    </a:ln>
                  </pic:spPr>
                </pic:pic>
              </a:graphicData>
            </a:graphic>
          </wp:inline>
        </w:drawing>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图例2：</w:t>
      </w:r>
    </w:p>
    <w:p>
      <w:pPr>
        <w:spacing w:line="360" w:lineRule="auto"/>
        <w:rPr>
          <w:rFonts w:hint="eastAsia" w:ascii="宋体" w:hAnsi="宋体" w:cs="宋体"/>
          <w:color w:val="auto"/>
          <w:szCs w:val="21"/>
          <w:highlight w:val="none"/>
        </w:rPr>
      </w:pPr>
      <w:r>
        <w:rPr>
          <w:rFonts w:ascii="宋体" w:hAnsi="宋体" w:cs="宋体"/>
          <w:color w:val="auto"/>
          <w:szCs w:val="21"/>
          <w:highlight w:val="none"/>
        </w:rPr>
        <w:drawing>
          <wp:inline distT="0" distB="0" distL="114300" distR="114300">
            <wp:extent cx="5266690" cy="2967355"/>
            <wp:effectExtent l="0" t="0" r="10160" b="4445"/>
            <wp:docPr id="2" name="图片 15" descr="说明: 73ED2EC93B55EA51D0FC090B1FFC7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说明: 73ED2EC93B55EA51D0FC090B1FFC7F27"/>
                    <pic:cNvPicPr>
                      <a:picLocks noChangeAspect="1"/>
                    </pic:cNvPicPr>
                  </pic:nvPicPr>
                  <pic:blipFill>
                    <a:blip r:embed="rId34"/>
                    <a:stretch>
                      <a:fillRect/>
                    </a:stretch>
                  </pic:blipFill>
                  <pic:spPr>
                    <a:xfrm>
                      <a:off x="0" y="0"/>
                      <a:ext cx="5266690" cy="2967355"/>
                    </a:xfrm>
                    <a:prstGeom prst="rect">
                      <a:avLst/>
                    </a:prstGeom>
                    <a:noFill/>
                    <a:ln>
                      <a:noFill/>
                    </a:ln>
                  </pic:spPr>
                </pic:pic>
              </a:graphicData>
            </a:graphic>
          </wp:inline>
        </w:drawing>
      </w:r>
    </w:p>
    <w:p>
      <w:pPr>
        <w:spacing w:line="360" w:lineRule="auto"/>
        <w:rPr>
          <w:rFonts w:hint="eastAsia" w:ascii="宋体" w:hAnsi="宋体" w:cs="宋体"/>
          <w:color w:val="auto"/>
          <w:szCs w:val="21"/>
          <w:highlight w:val="none"/>
        </w:rPr>
      </w:pPr>
    </w:p>
    <w:p>
      <w:pPr>
        <w:spacing w:line="360" w:lineRule="auto"/>
        <w:rPr>
          <w:rFonts w:hint="eastAsia" w:ascii="宋体" w:hAnsi="宋体" w:cs="宋体"/>
          <w:color w:val="auto"/>
          <w:szCs w:val="21"/>
          <w:highlight w:val="none"/>
        </w:rPr>
      </w:pPr>
      <w:r>
        <w:rPr>
          <w:rFonts w:ascii="宋体" w:hAnsi="宋体" w:cs="宋体"/>
          <w:color w:val="auto"/>
          <w:szCs w:val="21"/>
          <w:highlight w:val="none"/>
        </w:rPr>
        <w:br w:type="page"/>
      </w:r>
      <w:r>
        <w:rPr>
          <w:rFonts w:hint="eastAsia" w:ascii="宋体" w:hAnsi="宋体" w:cs="宋体"/>
          <w:color w:val="auto"/>
          <w:szCs w:val="21"/>
          <w:highlight w:val="none"/>
        </w:rPr>
        <w:t>图例3：</w:t>
      </w:r>
    </w:p>
    <w:p>
      <w:pPr>
        <w:adjustRightInd w:val="0"/>
        <w:snapToGrid w:val="0"/>
        <w:spacing w:line="360" w:lineRule="auto"/>
        <w:rPr>
          <w:rFonts w:hint="eastAsia" w:ascii="宋体" w:hAnsi="宋体" w:cs="宋体"/>
          <w:b/>
          <w:color w:val="auto"/>
          <w:szCs w:val="21"/>
          <w:highlight w:val="none"/>
        </w:rPr>
      </w:pPr>
      <w:r>
        <w:rPr>
          <w:rFonts w:ascii="宋体" w:hAnsi="宋体" w:cs="宋体"/>
          <w:b/>
          <w:color w:val="auto"/>
          <w:szCs w:val="21"/>
          <w:highlight w:val="none"/>
        </w:rPr>
        <w:drawing>
          <wp:inline distT="0" distB="0" distL="114300" distR="114300">
            <wp:extent cx="5266690" cy="2967355"/>
            <wp:effectExtent l="0" t="0" r="10160" b="4445"/>
            <wp:docPr id="6" name="图片 16" descr="说明: DCDC98C5109DBF1A830F191180F89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6" descr="说明: DCDC98C5109DBF1A830F191180F89612"/>
                    <pic:cNvPicPr>
                      <a:picLocks noChangeAspect="1"/>
                    </pic:cNvPicPr>
                  </pic:nvPicPr>
                  <pic:blipFill>
                    <a:blip r:embed="rId35"/>
                    <a:stretch>
                      <a:fillRect/>
                    </a:stretch>
                  </pic:blipFill>
                  <pic:spPr>
                    <a:xfrm>
                      <a:off x="0" y="0"/>
                      <a:ext cx="5266690" cy="2967355"/>
                    </a:xfrm>
                    <a:prstGeom prst="rect">
                      <a:avLst/>
                    </a:prstGeom>
                    <a:noFill/>
                    <a:ln>
                      <a:noFill/>
                    </a:ln>
                  </pic:spPr>
                </pic:pic>
              </a:graphicData>
            </a:graphic>
          </wp:inline>
        </w:drawing>
      </w:r>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394" w:name="_Toc15563"/>
      <w:bookmarkStart w:id="6395" w:name="_Toc11926"/>
      <w:bookmarkStart w:id="6396" w:name="_Toc465237252"/>
      <w:bookmarkStart w:id="6397" w:name="_Toc4909"/>
      <w:bookmarkStart w:id="6398" w:name="_Toc11375"/>
      <w:bookmarkStart w:id="6399" w:name="_Toc20880"/>
      <w:bookmarkStart w:id="6400" w:name="_Toc31313"/>
      <w:bookmarkStart w:id="6401" w:name="_Toc1355"/>
      <w:bookmarkStart w:id="6402" w:name="_Toc517532279"/>
      <w:bookmarkStart w:id="6403" w:name="_Toc18680"/>
      <w:bookmarkStart w:id="6404" w:name="_Toc22474"/>
      <w:bookmarkStart w:id="6405" w:name="_Toc27870"/>
      <w:bookmarkStart w:id="6406" w:name="_Toc21388"/>
      <w:bookmarkStart w:id="6407" w:name="_Toc465237150"/>
      <w:bookmarkStart w:id="6408" w:name="_Toc22630"/>
      <w:bookmarkStart w:id="6409" w:name="_Toc21077"/>
      <w:bookmarkStart w:id="6410" w:name="_Toc14751"/>
      <w:bookmarkStart w:id="6411" w:name="_Toc14803"/>
      <w:bookmarkStart w:id="6412" w:name="_Toc7346"/>
      <w:bookmarkStart w:id="6413" w:name="_Toc29455"/>
      <w:bookmarkStart w:id="6414" w:name="_Toc27739"/>
      <w:bookmarkStart w:id="6415" w:name="_Toc517531003"/>
      <w:r>
        <w:rPr>
          <w:rFonts w:ascii="宋体" w:hAnsi="宋体"/>
          <w:bCs/>
          <w:color w:val="auto"/>
          <w:sz w:val="20"/>
          <w:szCs w:val="20"/>
          <w:highlight w:val="none"/>
        </w:rPr>
        <w:object>
          <v:shape id="_x0000_i1038" o:spt="201" type="#_x0000_t201" style="height:18pt;width:12.6pt;" o:ole="t" filled="f" o:preferrelative="t" stroked="f" coordsize="21600,21600">
            <v:path/>
            <v:fill on="f" focussize="0,0"/>
            <v:stroke on="f"/>
            <v:imagedata r:id="rId37" o:title=""/>
            <o:lock v:ext="edit" aspectratio="t"/>
            <w10:wrap type="none"/>
            <w10:anchorlock/>
          </v:shape>
          <w:control r:id="rId36" w:name="CheckBox1294" w:shapeid="_x0000_i1038"/>
        </w:object>
      </w:r>
      <w:r>
        <w:rPr>
          <w:rFonts w:hint="eastAsia" w:ascii="宋体" w:hAnsi="宋体" w:cs="宋体"/>
          <w:b/>
          <w:bCs/>
          <w:color w:val="auto"/>
          <w:sz w:val="24"/>
          <w:szCs w:val="24"/>
          <w:highlight w:val="none"/>
        </w:rPr>
        <w:t>6.1.11发包人办公区后勤保障</w:t>
      </w:r>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要求承包人聘请正规保安公司的保安负责施工工地及发包人现场办公场所的保安管理工作，确保现场安全。发包人和承包人办公区分别独立设置，发包人办公区后勤保障工作（保安、清洁卫生、办公室花卉租赁）的相关要求如下，如承包人达不到以下要求，发包人有权自行签订合同，费用从结算款中扣除。</w:t>
      </w:r>
    </w:p>
    <w:p>
      <w:pPr>
        <w:keepNext/>
        <w:keepLines/>
        <w:spacing w:before="156" w:beforeLines="50" w:after="156" w:afterLines="50" w:line="360" w:lineRule="auto"/>
        <w:ind w:firstLine="604" w:firstLineChars="302"/>
        <w:outlineLvl w:val="4"/>
        <w:rPr>
          <w:rFonts w:hint="eastAsia" w:ascii="宋体" w:hAnsi="宋体" w:cs="宋体"/>
          <w:b/>
          <w:bCs/>
          <w:color w:val="auto"/>
          <w:sz w:val="24"/>
          <w:szCs w:val="24"/>
          <w:highlight w:val="none"/>
        </w:rPr>
      </w:pPr>
      <w:bookmarkStart w:id="6416" w:name="_Toc20360"/>
      <w:bookmarkStart w:id="6417" w:name="_Toc1958"/>
      <w:bookmarkStart w:id="6418" w:name="_Toc32040"/>
      <w:bookmarkStart w:id="6419" w:name="_Toc517532280"/>
      <w:bookmarkStart w:id="6420" w:name="_Toc22398"/>
      <w:bookmarkStart w:id="6421" w:name="_Toc8389"/>
      <w:bookmarkStart w:id="6422" w:name="_Toc7154"/>
      <w:bookmarkStart w:id="6423" w:name="_Toc517531004"/>
      <w:bookmarkStart w:id="6424" w:name="_Toc17062"/>
      <w:bookmarkStart w:id="6425" w:name="_Toc19957"/>
      <w:bookmarkStart w:id="6426" w:name="_Toc30930"/>
      <w:r>
        <w:rPr>
          <w:rFonts w:ascii="宋体" w:hAnsi="宋体"/>
          <w:bCs/>
          <w:color w:val="auto"/>
          <w:sz w:val="20"/>
          <w:szCs w:val="20"/>
          <w:highlight w:val="none"/>
        </w:rPr>
        <w:object>
          <v:shape id="_x0000_i1039" o:spt="201" type="#_x0000_t201" style="height:18pt;width:12.6pt;" o:ole="t" filled="f" o:preferrelative="t" stroked="f" coordsize="21600,21600">
            <v:path/>
            <v:fill on="f" focussize="0,0"/>
            <v:stroke on="f"/>
            <v:imagedata r:id="rId37" o:title=""/>
            <o:lock v:ext="edit" aspectratio="t"/>
            <w10:wrap type="none"/>
            <w10:anchorlock/>
          </v:shape>
          <w:control r:id="rId38" w:name="CheckBox1294" w:shapeid="_x0000_i1039"/>
        </w:object>
      </w:r>
      <w:r>
        <w:rPr>
          <w:rFonts w:hint="eastAsia" w:ascii="宋体" w:hAnsi="宋体" w:cs="宋体"/>
          <w:b/>
          <w:bCs/>
          <w:color w:val="auto"/>
          <w:sz w:val="24"/>
          <w:szCs w:val="24"/>
          <w:highlight w:val="none"/>
        </w:rPr>
        <w:t>（1）保安服务</w:t>
      </w:r>
      <w:bookmarkEnd w:id="6416"/>
      <w:bookmarkEnd w:id="6417"/>
      <w:bookmarkEnd w:id="6418"/>
      <w:bookmarkEnd w:id="6419"/>
      <w:bookmarkEnd w:id="6420"/>
      <w:bookmarkEnd w:id="6421"/>
      <w:bookmarkEnd w:id="6422"/>
      <w:bookmarkEnd w:id="6423"/>
      <w:bookmarkEnd w:id="6424"/>
      <w:bookmarkEnd w:id="6425"/>
      <w:bookmarkEnd w:id="6426"/>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采取相应保卫措施，防止出现相关设施、设备被盗行为，施工工地及发包人办公区须由专业保安公司24小时负责照看，费用已包括在报价中，发包人不再另行支付相关费用。若因承包人原因引起的财产损失，全部由承包人承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承包人派驻发包人办公区的保安员依照发包人的规章制度及要求，在不违反国家法律的前提下，维护发包人正常的工作、生产、生活秩序，保护护卫区域内的人员、财产的安全。承包人选派到发包人的保安员，必须具备以下条件：</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①遵纪守法，品行良好，无违法犯罪记录，经政审合格；</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②年龄在18周岁以上，45周岁以下，具有初中毕业以上文化程度；</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③经政审、培训、考核合格，取得深圳市公安局颁发的保安员资格证和上岗证，具备保安专业知识。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（b）保安员职责</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①保护发包人护卫区域的财产安全，维护护卫区域内的正常秩序；</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②保护好在护卫区域内发生的刑事、治安案件或灾害事故现场，维护现场秩序；</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③把现行违法犯罪嫌疑人扭送到公安机关处理；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④做好发包人护卫区域内的防火、防盗、防破坏、防治安灾害事故等安全防范工作；</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⑤遵纪守法、文明值勤、优质服务，严格执行发包人及保安公司的各项规章制度，接受发包人领导及主管人员的管理,服从发包人领导的工作安排，全力维护双方的合法权益和声誉。</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（c）发包人的权利和义务</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对违反发包人各项规章制度，不服从管理，工作不尽职责的保安员，发包人有权向承包人提出调换，承包人应在48小时内无条件调换，补充符合发包人要求的保安员。</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（d）承包人的权利和义务</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①负责保安员的招聘、培训、政审、办证、考核及人事档案的管理。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②负责保安员日常工作的安排与管理、岗位值勤、作风纪律、内务卫生、岗位训练、岗位轮训和保安业务的指导，监督检查和管理工作。</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③负责对保安员的奖励、处罚、请假、辞工、辞退等方面的工作。</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④负责保安员服装、帽子、帽徽、肩章、领带、腰带、胶警棍等装备的配备。因工作需要，保安员需配备的对讲机、雨衣、雨鞋、电筒、大衣等装备也由承包人负责。</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⑤督促教育保安员接受发包人领导及主管人员的工作检查和监督管理。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⑥协助发包人处理好与当地公安机关的正常工作关系，最大限度地避免发包人利益受到损害。</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⑦承包人负责提供保安员住宿场所及派驻现场保安员的工资、社会保险及其他福利待遇等，发包人不再另行负担任何费用。</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（e）违约责任</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①承包人当班保安员因失职造成发包人财物损失，数额较小的，承包人有责任返还给发包人，情节严重的，损失金额较大、达到立案标准的，送交司法机关追究其法律责任。</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②因发生不可抗拒事件（如地震、战争、灾害等），而给发包人造成损失，承包人不承担任何责任。</w:t>
      </w:r>
    </w:p>
    <w:p>
      <w:pPr>
        <w:keepNext/>
        <w:keepLines/>
        <w:spacing w:before="156" w:beforeLines="50" w:after="156" w:afterLines="50" w:line="360" w:lineRule="auto"/>
        <w:ind w:firstLine="604" w:firstLineChars="302"/>
        <w:outlineLvl w:val="4"/>
        <w:rPr>
          <w:rFonts w:hint="eastAsia" w:ascii="宋体" w:hAnsi="宋体" w:cs="宋体"/>
          <w:b/>
          <w:bCs/>
          <w:color w:val="auto"/>
          <w:sz w:val="24"/>
          <w:szCs w:val="24"/>
          <w:highlight w:val="none"/>
        </w:rPr>
      </w:pPr>
      <w:bookmarkStart w:id="6427" w:name="_Toc8931"/>
      <w:bookmarkStart w:id="6428" w:name="_Toc28771"/>
      <w:bookmarkStart w:id="6429" w:name="_Toc29513"/>
      <w:bookmarkStart w:id="6430" w:name="_Toc3280"/>
      <w:bookmarkStart w:id="6431" w:name="_Toc517532281"/>
      <w:bookmarkStart w:id="6432" w:name="_Toc7568"/>
      <w:bookmarkStart w:id="6433" w:name="_Toc517531005"/>
      <w:bookmarkStart w:id="6434" w:name="_Toc19012"/>
      <w:bookmarkStart w:id="6435" w:name="_Toc7812"/>
      <w:bookmarkStart w:id="6436" w:name="_Toc27101"/>
      <w:bookmarkStart w:id="6437" w:name="_Toc3574"/>
      <w:r>
        <w:rPr>
          <w:rFonts w:ascii="宋体" w:hAnsi="宋体"/>
          <w:bCs/>
          <w:color w:val="auto"/>
          <w:sz w:val="20"/>
          <w:szCs w:val="20"/>
          <w:highlight w:val="none"/>
        </w:rPr>
        <w:object>
          <v:shape id="_x0000_i1040" o:spt="201" type="#_x0000_t201" style="height:18pt;width:12.6pt;" o:ole="t" filled="f" o:preferrelative="t" stroked="f" coordsize="21600,21600">
            <v:path/>
            <v:fill on="f" focussize="0,0"/>
            <v:stroke on="f"/>
            <v:imagedata r:id="rId37" o:title=""/>
            <o:lock v:ext="edit" aspectratio="t"/>
            <w10:wrap type="none"/>
            <w10:anchorlock/>
          </v:shape>
          <w:control r:id="rId39" w:name="CheckBox1294" w:shapeid="_x0000_i1040"/>
        </w:object>
      </w:r>
      <w:r>
        <w:rPr>
          <w:rFonts w:hint="eastAsia" w:ascii="宋体" w:hAnsi="宋体" w:cs="宋体"/>
          <w:b/>
          <w:bCs/>
          <w:color w:val="auto"/>
          <w:sz w:val="24"/>
          <w:szCs w:val="24"/>
          <w:highlight w:val="none"/>
        </w:rPr>
        <w:t>（2）清洁卫生</w:t>
      </w:r>
      <w:bookmarkEnd w:id="6427"/>
      <w:bookmarkEnd w:id="6428"/>
      <w:bookmarkEnd w:id="6429"/>
      <w:bookmarkEnd w:id="6430"/>
      <w:bookmarkEnd w:id="6431"/>
      <w:bookmarkEnd w:id="6432"/>
      <w:bookmarkEnd w:id="6433"/>
      <w:bookmarkEnd w:id="6434"/>
      <w:bookmarkEnd w:id="6435"/>
      <w:bookmarkEnd w:id="6436"/>
      <w:bookmarkEnd w:id="6437"/>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（a）清洁服务范围：</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①现场办公区内所有办公室、会议室及其办公设备、公共通道、院内地坪及其他公共区域及设施的清洁保养；</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②所有卫生间、茶水间的清洁保养；</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③清倒日常生活垃圾，清洁垃圾桶；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④负责对每天的报纸、杂志的分发，更换饮水机直饮水，管理开水设备杂活。</w:t>
      </w:r>
    </w:p>
    <w:p>
      <w:pPr>
        <w:adjustRightInd w:val="0"/>
        <w:snapToGrid w:val="0"/>
        <w:spacing w:line="360" w:lineRule="auto"/>
        <w:ind w:firstLine="420" w:firstLineChars="200"/>
        <w:jc w:val="center"/>
        <w:rPr>
          <w:rFonts w:hint="eastAsia" w:ascii="宋体" w:hAnsi="宋体" w:cs="宋体"/>
          <w:bCs/>
          <w:color w:val="auto"/>
          <w:szCs w:val="21"/>
          <w:highlight w:val="none"/>
        </w:rPr>
      </w:pPr>
      <w:r>
        <w:rPr>
          <w:rFonts w:hint="eastAsia" w:ascii="宋体" w:hAnsi="宋体" w:cs="宋体"/>
          <w:bCs/>
          <w:color w:val="auto"/>
          <w:szCs w:val="21"/>
          <w:highlight w:val="none"/>
        </w:rPr>
        <w:t>清洁服务范围表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741"/>
        <w:gridCol w:w="1772"/>
        <w:gridCol w:w="684"/>
        <w:gridCol w:w="1776"/>
        <w:gridCol w:w="117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 w:hRule="atLeast"/>
          <w:jc w:val="center"/>
        </w:trPr>
        <w:tc>
          <w:tcPr>
            <w:tcW w:w="266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清洁项目</w:t>
            </w:r>
          </w:p>
        </w:tc>
        <w:tc>
          <w:tcPr>
            <w:tcW w:w="245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日常作业</w:t>
            </w:r>
          </w:p>
        </w:tc>
        <w:tc>
          <w:tcPr>
            <w:tcW w:w="295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定期作业</w:t>
            </w:r>
          </w:p>
        </w:tc>
        <w:tc>
          <w:tcPr>
            <w:tcW w:w="117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266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每天</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次数</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每月</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每季</w:t>
            </w:r>
          </w:p>
        </w:tc>
        <w:tc>
          <w:tcPr>
            <w:tcW w:w="117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办</w:t>
            </w:r>
          </w:p>
          <w:p>
            <w:pPr>
              <w:adjustRightInd w:val="0"/>
              <w:snapToGrid w:val="0"/>
              <w:spacing w:after="120"/>
              <w:ind w:left="420" w:leftChars="200"/>
              <w:jc w:val="center"/>
              <w:rPr>
                <w:rFonts w:hint="eastAsia" w:ascii="宋体" w:hAnsi="宋体" w:cs="宋体"/>
                <w:bCs/>
                <w:color w:val="auto"/>
                <w:szCs w:val="21"/>
                <w:highlight w:val="none"/>
              </w:rPr>
            </w:pPr>
          </w:p>
          <w:p>
            <w:pPr>
              <w:adjustRightInd w:val="0"/>
              <w:snapToGrid w:val="0"/>
              <w:spacing w:after="120"/>
              <w:ind w:left="420" w:leftChars="200"/>
              <w:jc w:val="center"/>
              <w:rPr>
                <w:rFonts w:hint="eastAsia" w:ascii="宋体" w:hAnsi="宋体" w:cs="宋体"/>
                <w:bCs/>
                <w:color w:val="auto"/>
                <w:szCs w:val="21"/>
                <w:highlight w:val="none"/>
              </w:rPr>
            </w:pPr>
          </w:p>
          <w:p>
            <w:pPr>
              <w:adjustRightInd w:val="0"/>
              <w:snapToGrid w:val="0"/>
              <w:jc w:val="center"/>
              <w:rPr>
                <w:rFonts w:hint="eastAsia" w:ascii="宋体" w:hAnsi="宋体" w:cs="宋体"/>
                <w:bCs/>
                <w:color w:val="auto"/>
                <w:szCs w:val="21"/>
                <w:highlight w:val="none"/>
              </w:rPr>
            </w:pPr>
            <w:r>
              <w:rPr>
                <w:rFonts w:hint="eastAsia" w:ascii="宋体" w:hAnsi="宋体" w:cs="宋体"/>
                <w:bCs/>
                <w:color w:val="auto"/>
                <w:szCs w:val="21"/>
                <w:highlight w:val="none"/>
              </w:rPr>
              <w:t>公</w:t>
            </w:r>
          </w:p>
          <w:p>
            <w:pPr>
              <w:adjustRightInd w:val="0"/>
              <w:snapToGrid w:val="0"/>
              <w:spacing w:after="120"/>
              <w:ind w:left="420" w:leftChars="200"/>
              <w:jc w:val="center"/>
              <w:rPr>
                <w:rFonts w:hint="eastAsia" w:ascii="宋体" w:hAnsi="宋体" w:cs="宋体"/>
                <w:bCs/>
                <w:color w:val="auto"/>
                <w:szCs w:val="21"/>
                <w:highlight w:val="none"/>
              </w:rPr>
            </w:pPr>
          </w:p>
          <w:p>
            <w:pPr>
              <w:adjustRightInd w:val="0"/>
              <w:snapToGrid w:val="0"/>
              <w:spacing w:after="120"/>
              <w:ind w:left="420" w:leftChars="200"/>
              <w:jc w:val="center"/>
              <w:rPr>
                <w:rFonts w:hint="eastAsia" w:ascii="宋体" w:hAnsi="宋体" w:cs="宋体"/>
                <w:bCs/>
                <w:color w:val="auto"/>
                <w:szCs w:val="21"/>
                <w:highlight w:val="none"/>
              </w:rPr>
            </w:pPr>
          </w:p>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室</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办公室桌椅</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清抹</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隔板</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顶面清抹</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无尘无污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废纸篓</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清倒垃圾</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门窗</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保洁</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无污浊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玻璃</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保持清洁</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清洁剂清洁1次</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光洁明亮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空调机面/百叶</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清抹</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清洁剂清洁1次</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无污浊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灯管盘</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清洁1次</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无污浊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室内地面及走廊</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清拖</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清洁1次</w:t>
            </w: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打蜡1次</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无污浊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2"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公共</w:t>
            </w:r>
          </w:p>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区域</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院内地坪</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保持清洁</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卫生间、茶水间</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保持清洁</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Cs/>
                <w:color w:val="auto"/>
                <w:szCs w:val="21"/>
                <w:highlight w:val="none"/>
              </w:rPr>
            </w:pPr>
          </w:p>
        </w:tc>
        <w:tc>
          <w:tcPr>
            <w:tcW w:w="17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垃圾桶</w:t>
            </w:r>
          </w:p>
        </w:tc>
        <w:tc>
          <w:tcPr>
            <w:tcW w:w="17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清倒垃圾</w:t>
            </w:r>
          </w:p>
        </w:tc>
        <w:tc>
          <w:tcPr>
            <w:tcW w:w="6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r>
              <w:rPr>
                <w:rFonts w:hint="eastAsia" w:ascii="宋体" w:hAnsi="宋体" w:cs="宋体"/>
                <w:bCs/>
                <w:color w:val="auto"/>
                <w:szCs w:val="21"/>
                <w:highlight w:val="none"/>
              </w:rPr>
              <w:t>1</w:t>
            </w:r>
          </w:p>
        </w:tc>
        <w:tc>
          <w:tcPr>
            <w:tcW w:w="1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p>
        </w:tc>
        <w:tc>
          <w:tcPr>
            <w:tcW w:w="117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保持干净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宋体" w:hAnsi="宋体" w:cs="宋体"/>
                <w:bCs/>
                <w:color w:val="auto"/>
                <w:szCs w:val="21"/>
                <w:highlight w:val="none"/>
              </w:rPr>
            </w:pPr>
            <w:r>
              <w:rPr>
                <w:rFonts w:hint="eastAsia" w:ascii="宋体" w:hAnsi="宋体" w:cs="宋体"/>
                <w:bCs/>
                <w:color w:val="auto"/>
                <w:szCs w:val="21"/>
                <w:highlight w:val="none"/>
              </w:rPr>
              <w:t>其他</w:t>
            </w:r>
          </w:p>
        </w:tc>
        <w:tc>
          <w:tcPr>
            <w:tcW w:w="8318" w:type="dxa"/>
            <w:gridSpan w:val="6"/>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after="120"/>
              <w:ind w:left="420" w:leftChars="200"/>
              <w:jc w:val="center"/>
              <w:rPr>
                <w:rFonts w:ascii="宋体" w:hAnsi="宋体" w:cs="宋体"/>
                <w:bCs/>
                <w:color w:val="auto"/>
                <w:szCs w:val="21"/>
                <w:highlight w:val="none"/>
              </w:rPr>
            </w:pPr>
            <w:r>
              <w:rPr>
                <w:rFonts w:hint="eastAsia" w:ascii="宋体" w:hAnsi="宋体" w:cs="宋体"/>
                <w:bCs/>
                <w:color w:val="auto"/>
                <w:szCs w:val="21"/>
                <w:highlight w:val="none"/>
              </w:rPr>
              <w:t>发包人临时安排的清洁服务区内的清洁任务</w:t>
            </w:r>
          </w:p>
        </w:tc>
      </w:tr>
    </w:tbl>
    <w:p>
      <w:pPr>
        <w:adjustRightInd w:val="0"/>
        <w:snapToGrid w:val="0"/>
        <w:spacing w:line="360" w:lineRule="auto"/>
        <w:ind w:firstLine="420" w:firstLineChars="200"/>
        <w:jc w:val="center"/>
        <w:rPr>
          <w:rFonts w:hint="eastAsia" w:ascii="宋体" w:hAnsi="宋体" w:cs="宋体"/>
          <w:bCs/>
          <w:color w:val="auto"/>
          <w:szCs w:val="21"/>
          <w:highlight w:val="none"/>
        </w:rPr>
      </w:pP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（b）清洁服务方式：承包人包工包料、包设备、包安全，发包人负责协助承包人开展有关清洁工作，提供清洁作业的水、电及作为存放清洁工具、机械、物料的存放场所。</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（c）约定事项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①受条件限制，发包人不负担承包人派驻清洁现场清洁工的食宿及其费用；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②承包人负责派驻清洁现场清洁工的工资、社会保险及其他福利待遇等，发包人不再另行负担任何费用；</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③清洁不合格的，发包人有权要求承包人及时进行整改；</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④对不服从管理的清洁工，发包人有权要求承包人及时更换，承包人在接到发包人更换清洁工的通知后应在24小时内予以响应。</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（d）发包人的权利及义务：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①负责清洁工日常工作的管理；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②发包人为清洁工提供工作所必需的用水、用电，并保证其正常供应；</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③对规定范围内的清洁工作进行验收。</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（e）承包人的权利及义务：</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①按规定全面履行上述清洁职责；</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②采取安全可靠的方式进行清洁卫生作业，接受发包人的监督管理；</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③对清洁作业包工、包料，并自行解决作业所需物料、工具、机械设备等；</w:t>
      </w:r>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④除保证清洁质量达到要求外，还应保证发包人之财产完整不受损。否则，除发包人认为可以接受的理由外，承包人应无条件就其清洁作业所造成的损失给予照价赔偿或修复。</w:t>
      </w:r>
    </w:p>
    <w:p>
      <w:pPr>
        <w:keepNext/>
        <w:keepLines/>
        <w:spacing w:before="156" w:beforeLines="50" w:after="156" w:afterLines="50" w:line="360" w:lineRule="auto"/>
        <w:ind w:firstLine="604" w:firstLineChars="302"/>
        <w:outlineLvl w:val="4"/>
        <w:rPr>
          <w:rFonts w:hint="eastAsia" w:ascii="宋体" w:hAnsi="宋体" w:cs="宋体"/>
          <w:b/>
          <w:bCs/>
          <w:color w:val="auto"/>
          <w:sz w:val="24"/>
          <w:szCs w:val="24"/>
          <w:highlight w:val="none"/>
        </w:rPr>
      </w:pPr>
      <w:bookmarkStart w:id="6438" w:name="_Toc6063"/>
      <w:bookmarkStart w:id="6439" w:name="_Toc10607"/>
      <w:bookmarkStart w:id="6440" w:name="_Toc19486"/>
      <w:bookmarkStart w:id="6441" w:name="_Toc11291"/>
      <w:bookmarkStart w:id="6442" w:name="_Toc22056"/>
      <w:bookmarkStart w:id="6443" w:name="_Toc517531006"/>
      <w:bookmarkStart w:id="6444" w:name="_Toc517532282"/>
      <w:bookmarkStart w:id="6445" w:name="_Toc26805"/>
      <w:bookmarkStart w:id="6446" w:name="_Toc26903"/>
      <w:bookmarkStart w:id="6447" w:name="_Toc16563"/>
      <w:bookmarkStart w:id="6448" w:name="_Toc6435"/>
      <w:r>
        <w:rPr>
          <w:rFonts w:ascii="宋体" w:hAnsi="宋体"/>
          <w:bCs/>
          <w:color w:val="auto"/>
          <w:sz w:val="20"/>
          <w:szCs w:val="20"/>
          <w:highlight w:val="none"/>
        </w:rPr>
        <w:object>
          <v:shape id="_x0000_i1041" o:spt="201" type="#_x0000_t201" style="height:18pt;width:12.6pt;" o:ole="t" filled="f" o:preferrelative="t" stroked="f" coordsize="21600,21600">
            <v:path/>
            <v:fill on="f" focussize="0,0"/>
            <v:stroke on="f"/>
            <v:imagedata r:id="rId41" o:title=""/>
            <o:lock v:ext="edit" aspectratio="t"/>
            <w10:wrap type="none"/>
            <w10:anchorlock/>
          </v:shape>
          <w:control r:id="rId40" w:name="CheckBox1297" w:shapeid="_x0000_i1041"/>
        </w:object>
      </w:r>
      <w:r>
        <w:rPr>
          <w:rFonts w:hint="eastAsia" w:ascii="宋体" w:hAnsi="宋体" w:cs="宋体"/>
          <w:b/>
          <w:bCs/>
          <w:color w:val="auto"/>
          <w:sz w:val="24"/>
          <w:szCs w:val="24"/>
          <w:highlight w:val="none"/>
        </w:rPr>
        <w:t>（3）办公室花卉租赁</w:t>
      </w:r>
      <w:bookmarkEnd w:id="6438"/>
      <w:bookmarkEnd w:id="6439"/>
      <w:bookmarkEnd w:id="6440"/>
      <w:bookmarkEnd w:id="6441"/>
      <w:bookmarkEnd w:id="6442"/>
      <w:bookmarkEnd w:id="6443"/>
      <w:bookmarkEnd w:id="6444"/>
      <w:bookmarkEnd w:id="6445"/>
      <w:bookmarkEnd w:id="6446"/>
      <w:bookmarkEnd w:id="6447"/>
      <w:bookmarkEnd w:id="6448"/>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（a）项目组办公区室内绿化标准：</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042" o:spt="201" type="#_x0000_t201" style="height:18pt;width:12.6pt;" o:ole="t" filled="f" o:preferrelative="t" stroked="f" coordsize="21600,21600">
            <v:path/>
            <v:fill on="f" focussize="0,0"/>
            <v:stroke on="f"/>
            <v:imagedata r:id="rId43" o:title=""/>
            <o:lock v:ext="edit" aspectratio="t"/>
            <w10:wrap type="none"/>
            <w10:anchorlock/>
          </v:shape>
          <w:control r:id="rId42" w:name="CheckBox1298" w:shapeid="_x0000_i1042"/>
        </w:object>
      </w:r>
      <w:r>
        <w:rPr>
          <w:rFonts w:hint="eastAsia" w:ascii="宋体" w:hAnsi="宋体" w:cs="宋体"/>
          <w:color w:val="auto"/>
          <w:szCs w:val="21"/>
          <w:highlight w:val="none"/>
        </w:rPr>
        <w:t>①每间会议室内至少摆放4盆绿色植物，会议桌中间摆一排时花；</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043" o:spt="201" type="#_x0000_t201" style="height:18pt;width:12.6pt;" o:ole="t" filled="f" o:preferrelative="t" stroked="f" coordsize="21600,21600">
            <v:path/>
            <v:fill on="f" focussize="0,0"/>
            <v:stroke on="f"/>
            <v:imagedata r:id="rId45" o:title=""/>
            <o:lock v:ext="edit" aspectratio="t"/>
            <w10:wrap type="none"/>
            <w10:anchorlock/>
          </v:shape>
          <w:control r:id="rId44" w:name="CheckBox1299" w:shapeid="_x0000_i1043"/>
        </w:object>
      </w:r>
      <w:r>
        <w:rPr>
          <w:rFonts w:hint="eastAsia" w:ascii="宋体" w:hAnsi="宋体" w:cs="宋体"/>
          <w:color w:val="auto"/>
          <w:szCs w:val="21"/>
          <w:highlight w:val="none"/>
        </w:rPr>
        <w:t>②每间办公室至少摆放2盆绿色植物；</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044" o:spt="201" type="#_x0000_t201" style="height:18pt;width:12.6pt;" o:ole="t" filled="f" o:preferrelative="t" stroked="f" coordsize="21600,21600">
            <v:path/>
            <v:fill on="f" focussize="0,0"/>
            <v:stroke on="f"/>
            <v:imagedata r:id="rId47" o:title=""/>
            <o:lock v:ext="edit" aspectratio="t"/>
            <w10:wrap type="none"/>
            <w10:anchorlock/>
          </v:shape>
          <w:control r:id="rId46" w:name="CheckBox1300" w:shapeid="_x0000_i1044"/>
        </w:object>
      </w:r>
      <w:r>
        <w:rPr>
          <w:rFonts w:hint="eastAsia" w:ascii="宋体" w:hAnsi="宋体" w:cs="宋体"/>
          <w:color w:val="auto"/>
          <w:szCs w:val="21"/>
          <w:highlight w:val="none"/>
        </w:rPr>
        <w:t>③绿色植物含绿萝、发财树、金钱树、巴西铁树等。</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（b）约定事项：</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045" o:spt="201" type="#_x0000_t201" style="height:18pt;width:12.6pt;" o:ole="t" filled="f" o:preferrelative="t" stroked="f" coordsize="21600,21600">
            <v:path/>
            <v:fill on="f" focussize="0,0"/>
            <v:stroke on="f"/>
            <v:imagedata r:id="rId49" o:title=""/>
            <o:lock v:ext="edit" aspectratio="t"/>
            <w10:wrap type="none"/>
            <w10:anchorlock/>
          </v:shape>
          <w:control r:id="rId48" w:name="CheckBox1301" w:shapeid="_x0000_i1045"/>
        </w:object>
      </w:r>
      <w:r>
        <w:rPr>
          <w:rFonts w:hint="eastAsia" w:ascii="宋体" w:hAnsi="宋体" w:cs="宋体"/>
          <w:color w:val="auto"/>
          <w:szCs w:val="21"/>
          <w:highlight w:val="none"/>
        </w:rPr>
        <w:t>①承包人向发包人所提供的花卉，由承包人负责浇水、施肥、修剪等日常管理工作，并根据不同品种及花卉情况随时进行更换，保持所供花卉的新鲜和美观；</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046" o:spt="201" type="#_x0000_t201" style="height:18pt;width:12.6pt;" o:ole="t" filled="f" o:preferrelative="t" stroked="f" coordsize="21600,21600">
            <v:path/>
            <v:fill on="f" focussize="0,0"/>
            <v:stroke on="f"/>
            <v:imagedata r:id="rId51" o:title=""/>
            <o:lock v:ext="edit" aspectratio="t"/>
            <w10:wrap type="none"/>
            <w10:anchorlock/>
          </v:shape>
          <w:control r:id="rId50" w:name="CheckBox1302" w:shapeid="_x0000_i1046"/>
        </w:object>
      </w:r>
      <w:r>
        <w:rPr>
          <w:rFonts w:hint="eastAsia" w:ascii="宋体" w:hAnsi="宋体" w:cs="宋体"/>
          <w:color w:val="auto"/>
          <w:szCs w:val="21"/>
          <w:highlight w:val="none"/>
        </w:rPr>
        <w:t>②发包人应为承包人提供管理上的方便。</w:t>
      </w:r>
      <w:bookmarkStart w:id="6449" w:name="_Toc300934949"/>
      <w:bookmarkStart w:id="6450" w:name="_Toc318581164"/>
      <w:bookmarkStart w:id="6451" w:name="_Toc297123496"/>
      <w:bookmarkStart w:id="6452" w:name="_Toc304295527"/>
      <w:bookmarkStart w:id="6453" w:name="_Toc303539106"/>
      <w:bookmarkStart w:id="6454" w:name="_Toc312677997"/>
      <w:bookmarkStart w:id="6455" w:name="_Toc297216155"/>
    </w:p>
    <w:p>
      <w:pPr>
        <w:keepNext/>
        <w:keepLines/>
        <w:spacing w:before="156" w:beforeLines="50" w:after="156" w:afterLines="50" w:line="360" w:lineRule="auto"/>
        <w:outlineLvl w:val="3"/>
        <w:rPr>
          <w:rFonts w:hint="eastAsia" w:ascii="宋体" w:hAnsi="宋体" w:cs="宋体"/>
          <w:b/>
          <w:bCs/>
          <w:color w:val="auto"/>
          <w:sz w:val="24"/>
          <w:szCs w:val="24"/>
          <w:highlight w:val="none"/>
        </w:rPr>
      </w:pPr>
      <w:r>
        <w:rPr>
          <w:rFonts w:ascii="宋体" w:hAnsi="宋体" w:cs="宋体"/>
          <w:b/>
          <w:bCs/>
          <w:color w:val="auto"/>
          <w:sz w:val="24"/>
          <w:szCs w:val="24"/>
          <w:highlight w:val="none"/>
        </w:rPr>
        <w:t>6.1.1</w:t>
      </w:r>
      <w:r>
        <w:rPr>
          <w:rFonts w:hint="eastAsia" w:ascii="宋体" w:hAnsi="宋体" w:cs="宋体"/>
          <w:b/>
          <w:bCs/>
          <w:color w:val="auto"/>
          <w:sz w:val="24"/>
          <w:szCs w:val="24"/>
          <w:highlight w:val="none"/>
        </w:rPr>
        <w:t>2</w:t>
      </w:r>
      <w:r>
        <w:rPr>
          <w:rFonts w:ascii="宋体" w:hAnsi="宋体" w:cs="宋体"/>
          <w:b/>
          <w:bCs/>
          <w:color w:val="auto"/>
          <w:sz w:val="24"/>
          <w:szCs w:val="24"/>
          <w:highlight w:val="none"/>
        </w:rPr>
        <w:t xml:space="preserve">  深圳市建筑工务署质量安全第三方评价管理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为进一步规范深圳市建筑工务署建设工程管理工作，落实廉洁、高效、专业、精品的管理目标，提升深圳市建筑工务署工程项目质量安全管理水平，引入第三方单位对署内在建项目进行工程质量安全进行评价。</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（b）署内所有在建项目原则上均需评价，包含房建项目、市政项目。具体规则如下：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（一）保密工程不巡查不评价。</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（二）代建项目与勘察项目只巡查不评价。</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（三）评价对象为施工单位和监理单位，施工单位评价包含施工总承包单位评价以及专业承包工程评价。</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（c）引入第三方评价单位对在建项目的工程质量安全进行第三方评价是对项目质量安全实施监督管理，不免除施工单位、监理单位和代建单位应负的主体责任。</w:t>
      </w:r>
    </w:p>
    <w:p>
      <w:pPr>
        <w:keepNext/>
        <w:keepLines/>
        <w:spacing w:before="156" w:beforeLines="50" w:after="156" w:afterLines="50" w:line="360" w:lineRule="auto"/>
        <w:outlineLvl w:val="3"/>
        <w:rPr>
          <w:rFonts w:ascii="宋体" w:hAnsi="宋体" w:cs="宋体"/>
          <w:b/>
          <w:bCs/>
          <w:color w:val="auto"/>
          <w:sz w:val="24"/>
          <w:szCs w:val="24"/>
          <w:highlight w:val="none"/>
        </w:rPr>
      </w:pPr>
      <w:r>
        <w:rPr>
          <w:rFonts w:ascii="宋体" w:hAnsi="宋体" w:cs="宋体"/>
          <w:b/>
          <w:bCs/>
          <w:color w:val="auto"/>
          <w:sz w:val="24"/>
          <w:szCs w:val="24"/>
          <w:highlight w:val="none"/>
        </w:rPr>
        <w:t>6.1.1</w:t>
      </w:r>
      <w:r>
        <w:rPr>
          <w:rFonts w:hint="eastAsia" w:ascii="宋体" w:hAnsi="宋体" w:cs="宋体"/>
          <w:b/>
          <w:bCs/>
          <w:color w:val="auto"/>
          <w:sz w:val="24"/>
          <w:szCs w:val="24"/>
          <w:highlight w:val="none"/>
        </w:rPr>
        <w:t>3</w:t>
      </w:r>
      <w:r>
        <w:rPr>
          <w:rFonts w:ascii="宋体" w:hAnsi="宋体" w:cs="宋体"/>
          <w:b/>
          <w:bCs/>
          <w:color w:val="auto"/>
          <w:sz w:val="24"/>
          <w:szCs w:val="24"/>
          <w:highlight w:val="none"/>
        </w:rPr>
        <w:t xml:space="preserve"> 深圳市建筑工务署建设工程重大安全隐患判定导则</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（a）为遏制重特大事故为中心,控制较大事故、全力压减一般事故，为施工现场重大安全隐患判定提供依据，依据相关法律、法规和规范、标准编制了《深圳市建筑工务署建设工程重大安全隐患判定导则》。</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（b）本导则所述条款适用于深圳市建筑工务署所承接的市内新建、改建、扩建和拆除的房屋建筑和市政基础设施工程施工现场重大安全隐患的判定。</w:t>
      </w:r>
    </w:p>
    <w:p>
      <w:pPr>
        <w:keepNext/>
        <w:keepLines/>
        <w:spacing w:before="156" w:beforeLines="50" w:after="156" w:afterLines="50" w:line="360" w:lineRule="auto"/>
        <w:outlineLvl w:val="3"/>
        <w:rPr>
          <w:rFonts w:ascii="宋体" w:hAnsi="宋体" w:cs="宋体"/>
          <w:b/>
          <w:bCs/>
          <w:color w:val="auto"/>
          <w:sz w:val="24"/>
          <w:szCs w:val="24"/>
          <w:highlight w:val="none"/>
        </w:rPr>
      </w:pPr>
      <w:r>
        <w:rPr>
          <w:rFonts w:ascii="宋体" w:hAnsi="宋体" w:cs="宋体"/>
          <w:b/>
          <w:bCs/>
          <w:color w:val="auto"/>
          <w:sz w:val="24"/>
          <w:szCs w:val="24"/>
          <w:highlight w:val="none"/>
        </w:rPr>
        <w:t>6.1.1</w:t>
      </w:r>
      <w:r>
        <w:rPr>
          <w:rFonts w:hint="eastAsia" w:ascii="宋体" w:hAnsi="宋体" w:cs="宋体"/>
          <w:b/>
          <w:bCs/>
          <w:color w:val="auto"/>
          <w:sz w:val="24"/>
          <w:szCs w:val="24"/>
          <w:highlight w:val="none"/>
        </w:rPr>
        <w:t>4</w:t>
      </w:r>
      <w:r>
        <w:rPr>
          <w:rFonts w:ascii="宋体" w:hAnsi="宋体" w:cs="宋体"/>
          <w:b/>
          <w:bCs/>
          <w:color w:val="auto"/>
          <w:sz w:val="24"/>
          <w:szCs w:val="24"/>
          <w:highlight w:val="none"/>
        </w:rPr>
        <w:t xml:space="preserve"> 深圳市建筑工务署安全文明标准化手册</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为进一步提升深圳市建筑工务署政府建设工程安全文明施工标准，打造与现代化国际化创新型城市相匹配的建设工地，按照市委市政府打造“先行示范区”，实现城市“高质量发展”的总体部署和要求，我署制定了《深圳市建筑工务署建设项目安全文明标准化手册（3.0版本）》（以下简称“本手册”），我署所有在建项目必须遵照执行。</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（b）本手册适用于我署所有在建项目，其中带“推荐”字样的内容为推荐做法，鼓励各项目部采用。其他内容必须强制执行。</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承包人应对工地的安全文明措施进行标准化管理，且其实施标准不得低于《深圳市建筑工务署安全文明标准化手册》中的各项具体要求。《深圳市建筑工务署安全文明标准化手册》已在深圳市建筑工务署官网公示，具体内容请登录官网自行查阅和下载。网址：</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HYPERLINK "http://szwb.sz.gov.cn/。" </w:instrText>
      </w:r>
      <w:r>
        <w:rPr>
          <w:rFonts w:hint="eastAsia" w:ascii="宋体" w:hAnsi="宋体" w:cs="宋体"/>
          <w:color w:val="auto"/>
          <w:szCs w:val="21"/>
          <w:highlight w:val="none"/>
        </w:rPr>
        <w:fldChar w:fldCharType="separate"/>
      </w:r>
      <w:r>
        <w:rPr>
          <w:rStyle w:val="17"/>
          <w:rFonts w:hint="eastAsia" w:ascii="宋体" w:hAnsi="宋体" w:cs="宋体"/>
          <w:color w:val="auto"/>
          <w:szCs w:val="21"/>
          <w:highlight w:val="none"/>
        </w:rPr>
        <w:t>http://szwb.sz.gov.cn/。</w:t>
      </w:r>
      <w:r>
        <w:rPr>
          <w:rFonts w:hint="eastAsia" w:ascii="宋体" w:hAnsi="宋体" w:cs="宋体"/>
          <w:color w:val="auto"/>
          <w:szCs w:val="21"/>
          <w:highlight w:val="none"/>
        </w:rPr>
        <w:fldChar w:fldCharType="end"/>
      </w:r>
    </w:p>
    <w:p>
      <w:pPr>
        <w:keepNext/>
        <w:keepLines/>
        <w:spacing w:before="156" w:beforeLines="50" w:after="156" w:afterLines="50" w:line="360" w:lineRule="auto"/>
        <w:outlineLvl w:val="3"/>
        <w:rPr>
          <w:rFonts w:ascii="宋体" w:hAnsi="宋体" w:cs="宋体"/>
          <w:b/>
          <w:bCs/>
          <w:color w:val="auto"/>
          <w:sz w:val="24"/>
          <w:szCs w:val="24"/>
          <w:highlight w:val="none"/>
        </w:rPr>
      </w:pPr>
      <w:bookmarkStart w:id="6456" w:name="_Hlk49161377"/>
      <w:r>
        <w:rPr>
          <w:rFonts w:ascii="宋体" w:hAnsi="宋体" w:cs="宋体"/>
          <w:b/>
          <w:bCs/>
          <w:color w:val="auto"/>
          <w:sz w:val="24"/>
          <w:szCs w:val="24"/>
          <w:highlight w:val="none"/>
        </w:rPr>
        <w:t>6.1.1</w:t>
      </w:r>
      <w:r>
        <w:rPr>
          <w:rFonts w:hint="eastAsia" w:ascii="宋体" w:hAnsi="宋体" w:cs="宋体"/>
          <w:b/>
          <w:bCs/>
          <w:color w:val="auto"/>
          <w:sz w:val="24"/>
          <w:szCs w:val="24"/>
          <w:highlight w:val="none"/>
        </w:rPr>
        <w:t>5</w:t>
      </w:r>
      <w:r>
        <w:rPr>
          <w:rFonts w:ascii="宋体" w:hAnsi="宋体" w:cs="宋体"/>
          <w:b/>
          <w:bCs/>
          <w:color w:val="auto"/>
          <w:sz w:val="24"/>
          <w:szCs w:val="24"/>
          <w:highlight w:val="none"/>
        </w:rPr>
        <w:t xml:space="preserve"> 建筑工地围墙（围挡）</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为落实深圳市创建第五届全国文明城市工作，按照中共深圳市委宣传部 2016年8月4日印发的《关于加强建筑围挡公益广告刊载工作的通知》要求，承包人应确保本合同工程的建筑工地围墙（围挡）满足以下要求：</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（1）建筑工地围墙（围挡）全部刊载（喷绘）公益广告，不得擅自发布商业性质广告。具体刊载（喷绘）内容和方式由发包人提出。</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（2）已刊载（喷绘）围墙（围挡）的公益广告面积比例不达标，或者画面内容不符合政府和发包人相关要求、画面褪色或破损脱落情况严重的，应立即整改，按要求重新喷绘、刊载。</w:t>
      </w:r>
      <w:bookmarkEnd w:id="6456"/>
    </w:p>
    <w:p>
      <w:pPr>
        <w:keepNext/>
        <w:keepLines/>
        <w:spacing w:before="156" w:beforeLines="50" w:after="156" w:afterLines="50" w:line="360" w:lineRule="auto"/>
        <w:outlineLvl w:val="3"/>
        <w:rPr>
          <w:rFonts w:ascii="宋体" w:hAnsi="宋体" w:cs="宋体"/>
          <w:b/>
          <w:bCs/>
          <w:color w:val="auto"/>
          <w:sz w:val="24"/>
          <w:szCs w:val="24"/>
          <w:highlight w:val="none"/>
        </w:rPr>
      </w:pPr>
      <w:r>
        <w:rPr>
          <w:rFonts w:ascii="宋体" w:hAnsi="宋体" w:cs="宋体"/>
          <w:b/>
          <w:bCs/>
          <w:color w:val="auto"/>
          <w:sz w:val="24"/>
          <w:szCs w:val="24"/>
          <w:highlight w:val="none"/>
        </w:rPr>
        <w:t>6.1.1</w:t>
      </w:r>
      <w:r>
        <w:rPr>
          <w:rFonts w:hint="eastAsia" w:ascii="宋体" w:hAnsi="宋体" w:cs="宋体"/>
          <w:b/>
          <w:bCs/>
          <w:color w:val="auto"/>
          <w:sz w:val="24"/>
          <w:szCs w:val="24"/>
          <w:highlight w:val="none"/>
        </w:rPr>
        <w:t>6</w:t>
      </w:r>
      <w:r>
        <w:rPr>
          <w:rFonts w:ascii="宋体" w:hAnsi="宋体" w:cs="宋体"/>
          <w:b/>
          <w:bCs/>
          <w:color w:val="auto"/>
          <w:sz w:val="24"/>
          <w:szCs w:val="24"/>
          <w:highlight w:val="none"/>
        </w:rPr>
        <w:t xml:space="preserve"> 危险性较大的分部分项工程清单</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本招标文件中所列的危险性较大分部分项工程清单仅供参考，在项目实施过程中承包人必须执行《危险性较大的分部分项工程安全管理规定》等国家法律法规的规定。</w:t>
      </w:r>
    </w:p>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危险性较大分部分项工程施工前，承包人报送危险性较大分部分项工程的专项施工方案，且应当按有关规定在施工现场明显位置进行公示，公示内容包括：危险性较大的分部分项工程的名称、部位、施工期限、施工负责人、安全监控责任人、质量监控责任人和投诉举报电话等。</w:t>
      </w:r>
    </w:p>
    <w:tbl>
      <w:tblPr>
        <w:tblStyle w:val="15"/>
        <w:tblW w:w="0" w:type="auto"/>
        <w:tblInd w:w="0" w:type="dxa"/>
        <w:tblLayout w:type="fixed"/>
        <w:tblCellMar>
          <w:top w:w="0" w:type="dxa"/>
          <w:left w:w="108" w:type="dxa"/>
          <w:bottom w:w="0" w:type="dxa"/>
          <w:right w:w="108" w:type="dxa"/>
        </w:tblCellMar>
      </w:tblPr>
      <w:tblGrid>
        <w:gridCol w:w="4752"/>
        <w:gridCol w:w="2880"/>
        <w:gridCol w:w="1063"/>
      </w:tblGrid>
      <w:tr>
        <w:tblPrEx>
          <w:tblCellMar>
            <w:top w:w="0" w:type="dxa"/>
            <w:left w:w="108" w:type="dxa"/>
            <w:bottom w:w="0" w:type="dxa"/>
            <w:right w:w="108" w:type="dxa"/>
          </w:tblCellMar>
        </w:tblPrEx>
        <w:trPr>
          <w:trHeight w:val="458"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ind w:firstLine="482" w:firstLineChars="200"/>
              <w:jc w:val="center"/>
              <w:rPr>
                <w:rFonts w:ascii="宋体" w:hAnsi="宋体" w:cs="仿宋_GB2312"/>
                <w:b/>
                <w:bCs/>
                <w:color w:val="auto"/>
                <w:sz w:val="18"/>
                <w:szCs w:val="18"/>
                <w:highlight w:val="none"/>
              </w:rPr>
            </w:pPr>
            <w:r>
              <w:rPr>
                <w:rFonts w:ascii="宋体" w:hAnsi="宋体" w:cs="宋体"/>
                <w:b/>
                <w:bCs/>
                <w:color w:val="auto"/>
                <w:sz w:val="24"/>
                <w:szCs w:val="24"/>
                <w:highlight w:val="none"/>
              </w:rPr>
              <w:t>危险性较大的分部分项工程清单</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宋体" w:hAnsi="宋体" w:cs="仿宋_GB2312"/>
                <w:b/>
                <w:bCs/>
                <w:color w:val="auto"/>
                <w:sz w:val="18"/>
                <w:szCs w:val="18"/>
                <w:highlight w:val="none"/>
              </w:rPr>
            </w:pPr>
            <w:r>
              <w:rPr>
                <w:rFonts w:ascii="宋体" w:hAnsi="宋体" w:cs="宋体"/>
                <w:b/>
                <w:bCs/>
                <w:color w:val="auto"/>
                <w:sz w:val="24"/>
                <w:szCs w:val="24"/>
                <w:highlight w:val="none"/>
              </w:rPr>
              <w:t>部位及规模</w:t>
            </w:r>
          </w:p>
        </w:tc>
        <w:tc>
          <w:tcPr>
            <w:tcW w:w="106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ascii="宋体" w:hAnsi="宋体" w:cs="仿宋_GB2312"/>
                <w:b/>
                <w:bCs/>
                <w:color w:val="auto"/>
                <w:sz w:val="18"/>
                <w:szCs w:val="18"/>
                <w:highlight w:val="none"/>
              </w:rPr>
            </w:pPr>
            <w:r>
              <w:rPr>
                <w:rFonts w:ascii="宋体" w:hAnsi="宋体" w:cs="宋体"/>
                <w:b/>
                <w:bCs/>
                <w:color w:val="auto"/>
                <w:sz w:val="24"/>
                <w:szCs w:val="24"/>
                <w:highlight w:val="none"/>
              </w:rPr>
              <w:t>是否有</w:t>
            </w:r>
          </w:p>
        </w:tc>
      </w:tr>
      <w:tr>
        <w:tblPrEx>
          <w:tblCellMar>
            <w:top w:w="0" w:type="dxa"/>
            <w:left w:w="108" w:type="dxa"/>
            <w:bottom w:w="0" w:type="dxa"/>
            <w:right w:w="108" w:type="dxa"/>
          </w:tblCellMar>
        </w:tblPrEx>
        <w:trPr>
          <w:trHeight w:val="187"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一、基坑工程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47" o:spt="201" type="#_x0000_t201" style="height:17.5pt;width:16pt;" o:ole="t" filled="f" o:preferrelative="t" stroked="f" coordsize="21600,21600">
                  <v:path/>
                  <v:fill on="f" focussize="0,0"/>
                  <v:stroke on="f"/>
                  <v:imagedata r:id="rId53" o:title=""/>
                  <o:lock v:ext="edit" aspectratio="t"/>
                  <w10:wrap type="none"/>
                  <w10:anchorlock/>
                </v:shape>
                <w:control r:id="rId52" w:name="Control 23" w:shapeid="_x0000_i1047"/>
              </w:object>
            </w:r>
          </w:p>
        </w:tc>
      </w:tr>
      <w:tr>
        <w:tblPrEx>
          <w:tblCellMar>
            <w:top w:w="0" w:type="dxa"/>
            <w:left w:w="108" w:type="dxa"/>
            <w:bottom w:w="0" w:type="dxa"/>
            <w:right w:w="108" w:type="dxa"/>
          </w:tblCellMar>
        </w:tblPrEx>
        <w:trPr>
          <w:trHeight w:val="390"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（一）开挖深度超过3m（含3m）的基坑（槽）的土方开挖、支护、降水工程。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48" o:spt="201" type="#_x0000_t201" style="height:17.5pt;width:16pt;" o:ole="t" filled="f" o:preferrelative="t" stroked="f" coordsize="21600,21600">
                  <v:path/>
                  <v:fill on="f" focussize="0,0"/>
                  <v:stroke on="f"/>
                  <v:imagedata r:id="rId53" o:title=""/>
                  <o:lock v:ext="edit" aspectratio="t"/>
                  <w10:wrap type="none"/>
                  <w10:anchorlock/>
                </v:shape>
                <w:control r:id="rId54" w:name="Control 24" w:shapeid="_x0000_i1048"/>
              </w:object>
            </w:r>
            <w:r>
              <w:rPr>
                <w:rFonts w:hint="eastAsia" w:ascii="宋体" w:hAnsi="宋体" w:cs="仿宋_GB2312"/>
                <w:bCs/>
                <w:color w:val="auto"/>
                <w:sz w:val="18"/>
                <w:szCs w:val="18"/>
                <w:highlight w:val="none"/>
              </w:rPr>
              <w:t xml:space="preserve"> </w:t>
            </w:r>
          </w:p>
        </w:tc>
      </w:tr>
      <w:tr>
        <w:tblPrEx>
          <w:tblCellMar>
            <w:top w:w="0" w:type="dxa"/>
            <w:left w:w="108" w:type="dxa"/>
            <w:bottom w:w="0" w:type="dxa"/>
            <w:right w:w="108" w:type="dxa"/>
          </w:tblCellMar>
        </w:tblPrEx>
        <w:trPr>
          <w:trHeight w:val="199"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（二）开挖深度虽未超过3m，但地质条件、周围环境和地下管线复杂，或影响毗邻建、构筑物安全的基坑（槽）的土方开挖、支护、降水工程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49" o:spt="201" type="#_x0000_t201" style="height:17.5pt;width:16pt;" o:ole="t" filled="f" o:preferrelative="t" stroked="f" coordsize="21600,21600">
                  <v:path/>
                  <v:fill on="f" focussize="0,0"/>
                  <v:stroke on="f"/>
                  <v:imagedata r:id="rId53" o:title=""/>
                  <o:lock v:ext="edit" aspectratio="t"/>
                  <w10:wrap type="none"/>
                  <w10:anchorlock/>
                </v:shape>
                <w:control r:id="rId55" w:name="Control 25" w:shapeid="_x0000_i1049"/>
              </w:object>
            </w:r>
          </w:p>
        </w:tc>
      </w:tr>
      <w:tr>
        <w:tblPrEx>
          <w:tblCellMar>
            <w:top w:w="0" w:type="dxa"/>
            <w:left w:w="108" w:type="dxa"/>
            <w:bottom w:w="0" w:type="dxa"/>
            <w:right w:w="108" w:type="dxa"/>
          </w:tblCellMar>
        </w:tblPrEx>
        <w:trPr>
          <w:trHeight w:val="336"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二、模板工程及支撑体系</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50" o:spt="201" type="#_x0000_t201" style="height:17.5pt;width:16pt;" o:ole="t" filled="f" o:preferrelative="t" stroked="f" coordsize="21600,21600">
                  <v:path/>
                  <v:fill on="f" focussize="0,0"/>
                  <v:stroke on="f"/>
                  <v:imagedata r:id="rId53" o:title=""/>
                  <o:lock v:ext="edit" aspectratio="t"/>
                  <w10:wrap type="none"/>
                  <w10:anchorlock/>
                </v:shape>
                <w:control r:id="rId56" w:name="Control 26" w:shapeid="_x0000_i1050"/>
              </w:object>
            </w:r>
          </w:p>
        </w:tc>
      </w:tr>
      <w:tr>
        <w:tblPrEx>
          <w:tblCellMar>
            <w:top w:w="0" w:type="dxa"/>
            <w:left w:w="108" w:type="dxa"/>
            <w:bottom w:w="0" w:type="dxa"/>
            <w:right w:w="108" w:type="dxa"/>
          </w:tblCellMar>
        </w:tblPrEx>
        <w:trPr>
          <w:trHeight w:val="257"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各类工具式模板工程：包括大模板、滑模、爬模、飞模、隧道模等工程。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51" o:spt="201" type="#_x0000_t201" style="height:17.5pt;width:16pt;" o:ole="t" filled="f" o:preferrelative="t" stroked="f" coordsize="21600,21600">
                  <v:path/>
                  <v:fill on="f" focussize="0,0"/>
                  <v:stroke on="f"/>
                  <v:imagedata r:id="rId53" o:title=""/>
                  <o:lock v:ext="edit" aspectratio="t"/>
                  <w10:wrap type="none"/>
                  <w10:anchorlock/>
                </v:shape>
                <w:control r:id="rId57" w:name="Control 27" w:shapeid="_x0000_i1051"/>
              </w:object>
            </w:r>
          </w:p>
        </w:tc>
      </w:tr>
      <w:tr>
        <w:tblPrEx>
          <w:tblCellMar>
            <w:top w:w="0" w:type="dxa"/>
            <w:left w:w="108" w:type="dxa"/>
            <w:bottom w:w="0" w:type="dxa"/>
            <w:right w:w="108" w:type="dxa"/>
          </w:tblCellMar>
        </w:tblPrEx>
        <w:trPr>
          <w:trHeight w:val="743"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52" o:spt="201" type="#_x0000_t201" style="height:17.5pt;width:16pt;" o:ole="t" filled="f" o:preferrelative="t" stroked="f" coordsize="21600,21600">
                  <v:path/>
                  <v:fill on="f" focussize="0,0"/>
                  <v:stroke on="f"/>
                  <v:imagedata r:id="rId53" o:title=""/>
                  <o:lock v:ext="edit" aspectratio="t"/>
                  <w10:wrap type="none"/>
                  <w10:anchorlock/>
                </v:shape>
                <w:control r:id="rId58" w:name="Control 28" w:shapeid="_x0000_i1052"/>
              </w:object>
            </w:r>
          </w:p>
        </w:tc>
      </w:tr>
      <w:tr>
        <w:tblPrEx>
          <w:tblCellMar>
            <w:top w:w="0" w:type="dxa"/>
            <w:left w:w="108" w:type="dxa"/>
            <w:bottom w:w="0" w:type="dxa"/>
            <w:right w:w="108" w:type="dxa"/>
          </w:tblCellMar>
        </w:tblPrEx>
        <w:trPr>
          <w:trHeight w:val="273"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53" o:spt="201" type="#_x0000_t201" style="height:17.5pt;width:16pt;" o:ole="t" filled="f" o:preferrelative="t" stroked="f" coordsize="21600,21600">
                  <v:path/>
                  <v:fill on="f" focussize="0,0"/>
                  <v:stroke on="f"/>
                  <v:imagedata r:id="rId53" o:title=""/>
                  <o:lock v:ext="edit" aspectratio="t"/>
                  <w10:wrap type="none"/>
                  <w10:anchorlock/>
                </v:shape>
                <w:control r:id="rId59" w:name="Control 29" w:shapeid="_x0000_i1053"/>
              </w:object>
            </w:r>
          </w:p>
        </w:tc>
      </w:tr>
      <w:tr>
        <w:tblPrEx>
          <w:tblCellMar>
            <w:top w:w="0" w:type="dxa"/>
            <w:left w:w="108" w:type="dxa"/>
            <w:bottom w:w="0" w:type="dxa"/>
            <w:right w:w="108" w:type="dxa"/>
          </w:tblCellMar>
        </w:tblPrEx>
        <w:trPr>
          <w:trHeight w:val="192"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三、起重吊装及起重机械安装拆卸工程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54" o:spt="201" type="#_x0000_t201" style="height:17.5pt;width:16pt;" o:ole="t" filled="f" o:preferrelative="t" stroked="f" coordsize="21600,21600">
                  <v:path/>
                  <v:fill on="f" focussize="0,0"/>
                  <v:stroke on="f"/>
                  <v:imagedata r:id="rId53" o:title=""/>
                  <o:lock v:ext="edit" aspectratio="t"/>
                  <w10:wrap type="none"/>
                  <w10:anchorlock/>
                </v:shape>
                <w:control r:id="rId60" w:name="Control 30" w:shapeid="_x0000_i1054"/>
              </w:object>
            </w:r>
          </w:p>
        </w:tc>
      </w:tr>
      <w:tr>
        <w:tblPrEx>
          <w:tblCellMar>
            <w:top w:w="0" w:type="dxa"/>
            <w:left w:w="108" w:type="dxa"/>
            <w:bottom w:w="0" w:type="dxa"/>
            <w:right w:w="108" w:type="dxa"/>
          </w:tblCellMar>
        </w:tblPrEx>
        <w:trPr>
          <w:trHeight w:val="113"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55" o:spt="201" type="#_x0000_t201" style="height:17.5pt;width:16pt;" o:ole="t" filled="f" o:preferrelative="t" stroked="f" coordsize="21600,21600">
                  <v:path/>
                  <v:fill on="f" focussize="0,0"/>
                  <v:stroke on="f"/>
                  <v:imagedata r:id="rId53" o:title=""/>
                  <o:lock v:ext="edit" aspectratio="t"/>
                  <w10:wrap type="none"/>
                  <w10:anchorlock/>
                </v:shape>
                <w:control r:id="rId61" w:name="Control 31" w:shapeid="_x0000_i1055"/>
              </w:object>
            </w:r>
          </w:p>
        </w:tc>
      </w:tr>
      <w:tr>
        <w:tblPrEx>
          <w:tblCellMar>
            <w:top w:w="0" w:type="dxa"/>
            <w:left w:w="108" w:type="dxa"/>
            <w:bottom w:w="0" w:type="dxa"/>
            <w:right w:w="108" w:type="dxa"/>
          </w:tblCellMar>
        </w:tblPrEx>
        <w:trPr>
          <w:trHeight w:val="77"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（二）采用起重机械进行安装的工程。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56" o:spt="201" type="#_x0000_t201" style="height:17.5pt;width:16pt;" o:ole="t" filled="f" o:preferrelative="t" stroked="f" coordsize="21600,21600">
                  <v:path/>
                  <v:fill on="f" focussize="0,0"/>
                  <v:stroke on="f"/>
                  <v:imagedata r:id="rId53" o:title=""/>
                  <o:lock v:ext="edit" aspectratio="t"/>
                  <w10:wrap type="none"/>
                  <w10:anchorlock/>
                </v:shape>
                <w:control r:id="rId62" w:name="Control 32" w:shapeid="_x0000_i1056"/>
              </w:object>
            </w:r>
          </w:p>
        </w:tc>
      </w:tr>
      <w:tr>
        <w:tblPrEx>
          <w:tblCellMar>
            <w:top w:w="0" w:type="dxa"/>
            <w:left w:w="108" w:type="dxa"/>
            <w:bottom w:w="0" w:type="dxa"/>
            <w:right w:w="108" w:type="dxa"/>
          </w:tblCellMar>
        </w:tblPrEx>
        <w:trPr>
          <w:trHeight w:val="138"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（三）起重机械设备自身的安装、拆卸。</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57" o:spt="201" type="#_x0000_t201" style="height:17.5pt;width:16pt;" o:ole="t" filled="f" o:preferrelative="t" stroked="f" coordsize="21600,21600">
                  <v:path/>
                  <v:fill on="f" focussize="0,0"/>
                  <v:stroke on="f"/>
                  <v:imagedata r:id="rId53" o:title=""/>
                  <o:lock v:ext="edit" aspectratio="t"/>
                  <w10:wrap type="none"/>
                  <w10:anchorlock/>
                </v:shape>
                <w:control r:id="rId63" w:name="Control 33" w:shapeid="_x0000_i1057"/>
              </w:object>
            </w:r>
          </w:p>
        </w:tc>
      </w:tr>
      <w:tr>
        <w:tblPrEx>
          <w:tblCellMar>
            <w:top w:w="0" w:type="dxa"/>
            <w:left w:w="108" w:type="dxa"/>
            <w:bottom w:w="0" w:type="dxa"/>
            <w:right w:w="108" w:type="dxa"/>
          </w:tblCellMar>
        </w:tblPrEx>
        <w:trPr>
          <w:trHeight w:val="59"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四、脚手架工程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58" o:spt="201" type="#_x0000_t201" style="height:17.5pt;width:16pt;" o:ole="t" filled="f" o:preferrelative="t" stroked="f" coordsize="21600,21600">
                  <v:path/>
                  <v:fill on="f" focussize="0,0"/>
                  <v:stroke on="f"/>
                  <v:imagedata r:id="rId53" o:title=""/>
                  <o:lock v:ext="edit" aspectratio="t"/>
                  <w10:wrap type="none"/>
                  <w10:anchorlock/>
                </v:shape>
                <w:control r:id="rId64" w:name="Control 34" w:shapeid="_x0000_i1058"/>
              </w:object>
            </w:r>
          </w:p>
        </w:tc>
      </w:tr>
      <w:tr>
        <w:tblPrEx>
          <w:tblCellMar>
            <w:top w:w="0" w:type="dxa"/>
            <w:left w:w="108" w:type="dxa"/>
            <w:bottom w:w="0" w:type="dxa"/>
            <w:right w:w="108" w:type="dxa"/>
          </w:tblCellMar>
        </w:tblPrEx>
        <w:trPr>
          <w:trHeight w:val="263"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（一）搭设高度24m及以上的落地式钢管脚手架工程（包括采光井、电梯井脚手架）。</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59" o:spt="201" type="#_x0000_t201" style="height:17.5pt;width:16pt;" o:ole="t" filled="f" o:preferrelative="t" stroked="f" coordsize="21600,21600">
                  <v:path/>
                  <v:fill on="f" focussize="0,0"/>
                  <v:stroke on="f"/>
                  <v:imagedata r:id="rId53" o:title=""/>
                  <o:lock v:ext="edit" aspectratio="t"/>
                  <w10:wrap type="none"/>
                  <w10:anchorlock/>
                </v:shape>
                <w:control r:id="rId65" w:name="Control 35" w:shapeid="_x0000_i1059"/>
              </w:object>
            </w:r>
          </w:p>
        </w:tc>
      </w:tr>
      <w:tr>
        <w:tblPrEx>
          <w:tblCellMar>
            <w:top w:w="0" w:type="dxa"/>
            <w:left w:w="108" w:type="dxa"/>
            <w:bottom w:w="0" w:type="dxa"/>
            <w:right w:w="108" w:type="dxa"/>
          </w:tblCellMar>
        </w:tblPrEx>
        <w:trPr>
          <w:trHeight w:val="465"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（二）附着式整体和分片提升脚手架工程。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60" o:spt="201" type="#_x0000_t201" style="height:17.5pt;width:16pt;" o:ole="t" filled="f" o:preferrelative="t" stroked="f" coordsize="21600,21600">
                  <v:path/>
                  <v:fill on="f" focussize="0,0"/>
                  <v:stroke on="f"/>
                  <v:imagedata r:id="rId53" o:title=""/>
                  <o:lock v:ext="edit" aspectratio="t"/>
                  <w10:wrap type="none"/>
                  <w10:anchorlock/>
                </v:shape>
                <w:control r:id="rId66" w:name="Control 36" w:shapeid="_x0000_i1060"/>
              </w:object>
            </w:r>
          </w:p>
        </w:tc>
      </w:tr>
      <w:tr>
        <w:tblPrEx>
          <w:tblCellMar>
            <w:top w:w="0" w:type="dxa"/>
            <w:left w:w="108" w:type="dxa"/>
            <w:bottom w:w="0" w:type="dxa"/>
            <w:right w:w="108" w:type="dxa"/>
          </w:tblCellMar>
        </w:tblPrEx>
        <w:trPr>
          <w:trHeight w:val="343"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（三）悬挑式脚手架工程。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61" o:spt="201" type="#_x0000_t201" style="height:17.5pt;width:16pt;" o:ole="t" filled="f" o:preferrelative="t" stroked="f" coordsize="21600,21600">
                  <v:path/>
                  <v:fill on="f" focussize="0,0"/>
                  <v:stroke on="f"/>
                  <v:imagedata r:id="rId53" o:title=""/>
                  <o:lock v:ext="edit" aspectratio="t"/>
                  <w10:wrap type="none"/>
                  <w10:anchorlock/>
                </v:shape>
                <w:control r:id="rId67" w:name="Control 37" w:shapeid="_x0000_i1061"/>
              </w:object>
            </w:r>
          </w:p>
        </w:tc>
      </w:tr>
      <w:tr>
        <w:tblPrEx>
          <w:tblCellMar>
            <w:top w:w="0" w:type="dxa"/>
            <w:left w:w="108" w:type="dxa"/>
            <w:bottom w:w="0" w:type="dxa"/>
            <w:right w:w="108" w:type="dxa"/>
          </w:tblCellMar>
        </w:tblPrEx>
        <w:trPr>
          <w:trHeight w:val="121"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（四）高处作业吊篮。</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62" o:spt="201" type="#_x0000_t201" style="height:17.5pt;width:16pt;" o:ole="t" filled="f" o:preferrelative="t" stroked="f" coordsize="21600,21600">
                  <v:path/>
                  <v:fill on="f" focussize="0,0"/>
                  <v:stroke on="f"/>
                  <v:imagedata r:id="rId53" o:title=""/>
                  <o:lock v:ext="edit" aspectratio="t"/>
                  <w10:wrap type="none"/>
                  <w10:anchorlock/>
                </v:shape>
                <w:control r:id="rId68" w:name="Control 38" w:shapeid="_x0000_i1062"/>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（五）卸料平台、操作平台工程。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63" o:spt="201" type="#_x0000_t201" style="height:17.5pt;width:16pt;" o:ole="t" filled="f" o:preferrelative="t" stroked="f" coordsize="21600,21600">
                  <v:path/>
                  <v:fill on="f" focussize="0,0"/>
                  <v:stroke on="f"/>
                  <v:imagedata r:id="rId53" o:title=""/>
                  <o:lock v:ext="edit" aspectratio="t"/>
                  <w10:wrap type="none"/>
                  <w10:anchorlock/>
                </v:shape>
                <w:control r:id="rId69" w:name="Control 39" w:shapeid="_x0000_i1063"/>
              </w:object>
            </w:r>
          </w:p>
        </w:tc>
      </w:tr>
      <w:tr>
        <w:tblPrEx>
          <w:tblCellMar>
            <w:top w:w="0" w:type="dxa"/>
            <w:left w:w="108" w:type="dxa"/>
            <w:bottom w:w="0" w:type="dxa"/>
            <w:right w:w="108" w:type="dxa"/>
          </w:tblCellMar>
        </w:tblPrEx>
        <w:trPr>
          <w:trHeight w:val="259"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（六）异型脚手架工程。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64" o:spt="201" type="#_x0000_t201" style="height:17.5pt;width:16pt;" o:ole="t" filled="f" o:preferrelative="t" stroked="f" coordsize="21600,21600">
                  <v:path/>
                  <v:fill on="f" focussize="0,0"/>
                  <v:stroke on="f"/>
                  <v:imagedata r:id="rId53" o:title=""/>
                  <o:lock v:ext="edit" aspectratio="t"/>
                  <w10:wrap type="none"/>
                  <w10:anchorlock/>
                </v:shape>
                <w:control r:id="rId70" w:name="Control 40" w:shapeid="_x0000_i1064"/>
              </w:object>
            </w:r>
          </w:p>
        </w:tc>
      </w:tr>
      <w:tr>
        <w:tblPrEx>
          <w:tblCellMar>
            <w:top w:w="0" w:type="dxa"/>
            <w:left w:w="108" w:type="dxa"/>
            <w:bottom w:w="0" w:type="dxa"/>
            <w:right w:w="108" w:type="dxa"/>
          </w:tblCellMar>
        </w:tblPrEx>
        <w:trPr>
          <w:trHeight w:val="178"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五、拆除工程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65" o:spt="201" type="#_x0000_t201" style="height:17.5pt;width:16pt;" o:ole="t" filled="f" o:preferrelative="t" stroked="f" coordsize="21600,21600">
                  <v:path/>
                  <v:fill on="f" focussize="0,0"/>
                  <v:stroke on="f"/>
                  <v:imagedata r:id="rId53" o:title=""/>
                  <o:lock v:ext="edit" aspectratio="t"/>
                  <w10:wrap type="none"/>
                  <w10:anchorlock/>
                </v:shape>
                <w:control r:id="rId71" w:name="Control 41" w:shapeid="_x0000_i1065"/>
              </w:object>
            </w:r>
          </w:p>
        </w:tc>
      </w:tr>
      <w:tr>
        <w:tblPrEx>
          <w:tblCellMar>
            <w:top w:w="0" w:type="dxa"/>
            <w:left w:w="108" w:type="dxa"/>
            <w:bottom w:w="0" w:type="dxa"/>
            <w:right w:w="108" w:type="dxa"/>
          </w:tblCellMar>
        </w:tblPrEx>
        <w:trPr>
          <w:trHeight w:val="241"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可能影响行人、交通、电力设施、通讯设施或其它建、构筑物安全的拆除工程。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66" o:spt="201" type="#_x0000_t201" style="height:17.5pt;width:16pt;" o:ole="t" filled="f" o:preferrelative="t" stroked="f" coordsize="21600,21600">
                  <v:path/>
                  <v:fill on="f" focussize="0,0"/>
                  <v:stroke on="f"/>
                  <v:imagedata r:id="rId53" o:title=""/>
                  <o:lock v:ext="edit" aspectratio="t"/>
                  <w10:wrap type="none"/>
                  <w10:anchorlock/>
                </v:shape>
                <w:control r:id="rId72" w:name="Control 42" w:shapeid="_x0000_i1066"/>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六、暗挖工程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67" o:spt="201" type="#_x0000_t201" style="height:17.5pt;width:16pt;" o:ole="t" filled="f" o:preferrelative="t" stroked="f" coordsize="21600,21600">
                  <v:path/>
                  <v:fill on="f" focussize="0,0"/>
                  <v:stroke on="f"/>
                  <v:imagedata r:id="rId53" o:title=""/>
                  <o:lock v:ext="edit" aspectratio="t"/>
                  <w10:wrap type="none"/>
                  <w10:anchorlock/>
                </v:shape>
                <w:control r:id="rId73" w:name="Control 43" w:shapeid="_x0000_i1067"/>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bCs/>
                <w:color w:val="auto"/>
                <w:sz w:val="18"/>
                <w:szCs w:val="18"/>
                <w:highlight w:val="none"/>
              </w:rPr>
            </w:pPr>
            <w:r>
              <w:rPr>
                <w:rFonts w:ascii="宋体" w:hAnsi="宋体" w:cs="仿宋_GB2312"/>
                <w:bCs/>
                <w:color w:val="auto"/>
                <w:sz w:val="18"/>
                <w:szCs w:val="18"/>
                <w:highlight w:val="none"/>
              </w:rPr>
              <w:object>
                <v:shape id="_x0000_i1068" o:spt="201" type="#_x0000_t201" style="height:17.5pt;width:16pt;" o:ole="t" filled="f" o:preferrelative="t" stroked="f" coordsize="21600,21600">
                  <v:path/>
                  <v:fill on="f" focussize="0,0"/>
                  <v:stroke on="f"/>
                  <v:imagedata r:id="rId53" o:title=""/>
                  <o:lock v:ext="edit" aspectratio="t"/>
                  <w10:wrap type="none"/>
                  <w10:anchorlock/>
                </v:shape>
                <w:control r:id="rId74" w:name="Control 44" w:shapeid="_x0000_i1068"/>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七、其它</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69" o:spt="201" type="#_x0000_t201" style="height:17.5pt;width:16pt;" o:ole="t" filled="f" o:preferrelative="t" stroked="f" coordsize="21600,21600">
                  <v:path/>
                  <v:fill on="f" focussize="0,0"/>
                  <v:stroke on="f"/>
                  <v:imagedata r:id="rId53" o:title=""/>
                  <o:lock v:ext="edit" aspectratio="t"/>
                  <w10:wrap type="none"/>
                  <w10:anchorlock/>
                </v:shape>
                <w:control r:id="rId75" w:name="Control 45" w:shapeid="_x0000_i1069"/>
              </w:object>
            </w:r>
          </w:p>
        </w:tc>
      </w:tr>
      <w:tr>
        <w:tblPrEx>
          <w:tblCellMar>
            <w:top w:w="0" w:type="dxa"/>
            <w:left w:w="108" w:type="dxa"/>
            <w:bottom w:w="0" w:type="dxa"/>
            <w:right w:w="108" w:type="dxa"/>
          </w:tblCellMar>
        </w:tblPrEx>
        <w:trPr>
          <w:trHeight w:val="157"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（一）建筑幕墙安装工程。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70" o:spt="201" type="#_x0000_t201" style="height:17.5pt;width:16pt;" o:ole="t" filled="f" o:preferrelative="t" stroked="f" coordsize="21600,21600">
                  <v:path/>
                  <v:fill on="f" focussize="0,0"/>
                  <v:stroke on="f"/>
                  <v:imagedata r:id="rId53" o:title=""/>
                  <o:lock v:ext="edit" aspectratio="t"/>
                  <w10:wrap type="none"/>
                  <w10:anchorlock/>
                </v:shape>
                <w:control r:id="rId76" w:name="Control 46" w:shapeid="_x0000_i1070"/>
              </w:object>
            </w:r>
          </w:p>
        </w:tc>
      </w:tr>
      <w:tr>
        <w:tblPrEx>
          <w:tblCellMar>
            <w:top w:w="0" w:type="dxa"/>
            <w:left w:w="108" w:type="dxa"/>
            <w:bottom w:w="0" w:type="dxa"/>
            <w:right w:w="108" w:type="dxa"/>
          </w:tblCellMar>
        </w:tblPrEx>
        <w:trPr>
          <w:trHeight w:val="218"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（二）钢结构、网架和索膜结构安装工程。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71" o:spt="201" type="#_x0000_t201" style="height:17.5pt;width:16pt;" o:ole="t" filled="f" o:preferrelative="t" stroked="f" coordsize="21600,21600">
                  <v:path/>
                  <v:fill on="f" focussize="0,0"/>
                  <v:stroke on="f"/>
                  <v:imagedata r:id="rId53" o:title=""/>
                  <o:lock v:ext="edit" aspectratio="t"/>
                  <w10:wrap type="none"/>
                  <w10:anchorlock/>
                </v:shape>
                <w:control r:id="rId77" w:name="Control 47" w:shapeid="_x0000_i1071"/>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（三）人工挖孔桩工程。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72" o:spt="201" type="#_x0000_t201" style="height:17.5pt;width:16pt;" o:ole="t" filled="f" o:preferrelative="t" stroked="f" coordsize="21600,21600">
                  <v:path/>
                  <v:fill on="f" focussize="0,0"/>
                  <v:stroke on="f"/>
                  <v:imagedata r:id="rId53" o:title=""/>
                  <o:lock v:ext="edit" aspectratio="t"/>
                  <w10:wrap type="none"/>
                  <w10:anchorlock/>
                </v:shape>
                <w:control r:id="rId78" w:name="Control 48" w:shapeid="_x0000_i1072"/>
              </w:object>
            </w:r>
          </w:p>
        </w:tc>
      </w:tr>
      <w:tr>
        <w:tblPrEx>
          <w:tblCellMar>
            <w:top w:w="0" w:type="dxa"/>
            <w:left w:w="108" w:type="dxa"/>
            <w:bottom w:w="0" w:type="dxa"/>
            <w:right w:w="108" w:type="dxa"/>
          </w:tblCellMar>
        </w:tblPrEx>
        <w:trPr>
          <w:trHeight w:val="214"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（四）水下作业工程程。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73" o:spt="201" type="#_x0000_t201" style="height:17.5pt;width:16pt;" o:ole="t" filled="f" o:preferrelative="t" stroked="f" coordsize="21600,21600">
                  <v:path/>
                  <v:fill on="f" focussize="0,0"/>
                  <v:stroke on="f"/>
                  <v:imagedata r:id="rId53" o:title=""/>
                  <o:lock v:ext="edit" aspectratio="t"/>
                  <w10:wrap type="none"/>
                  <w10:anchorlock/>
                </v:shape>
                <w:control r:id="rId79" w:name="Control 49" w:shapeid="_x0000_i1073"/>
              </w:object>
            </w:r>
          </w:p>
        </w:tc>
      </w:tr>
      <w:tr>
        <w:tblPrEx>
          <w:tblCellMar>
            <w:top w:w="0" w:type="dxa"/>
            <w:left w:w="108" w:type="dxa"/>
            <w:bottom w:w="0" w:type="dxa"/>
            <w:right w:w="108" w:type="dxa"/>
          </w:tblCellMar>
        </w:tblPrEx>
        <w:trPr>
          <w:trHeight w:val="50"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（五）装配式建筑混凝土预制构件安装工程。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74" o:spt="201" type="#_x0000_t201" style="height:17.5pt;width:16pt;" o:ole="t" filled="f" o:preferrelative="t" stroked="f" coordsize="21600,21600">
                  <v:path/>
                  <v:fill on="f" focussize="0,0"/>
                  <v:stroke on="f"/>
                  <v:imagedata r:id="rId53" o:title=""/>
                  <o:lock v:ext="edit" aspectratio="t"/>
                  <w10:wrap type="none"/>
                  <w10:anchorlock/>
                </v:shape>
                <w:control r:id="rId80" w:name="Control 50" w:shapeid="_x0000_i1074"/>
              </w:object>
            </w:r>
          </w:p>
        </w:tc>
      </w:tr>
      <w:tr>
        <w:tblPrEx>
          <w:tblCellMar>
            <w:top w:w="0" w:type="dxa"/>
            <w:left w:w="108" w:type="dxa"/>
            <w:bottom w:w="0" w:type="dxa"/>
            <w:right w:w="108" w:type="dxa"/>
          </w:tblCellMar>
        </w:tblPrEx>
        <w:trPr>
          <w:trHeight w:val="197"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75" o:spt="201" type="#_x0000_t201" style="height:17.5pt;width:16pt;" o:ole="t" filled="f" o:preferrelative="t" stroked="f" coordsize="21600,21600">
                  <v:path/>
                  <v:fill on="f" focussize="0,0"/>
                  <v:stroke on="f"/>
                  <v:imagedata r:id="rId53" o:title=""/>
                  <o:lock v:ext="edit" aspectratio="t"/>
                  <w10:wrap type="none"/>
                  <w10:anchorlock/>
                </v:shape>
                <w:control r:id="rId81" w:name="Control 51" w:shapeid="_x0000_i1075"/>
              </w:object>
            </w:r>
          </w:p>
        </w:tc>
      </w:tr>
      <w:tr>
        <w:tblPrEx>
          <w:tblCellMar>
            <w:top w:w="0" w:type="dxa"/>
            <w:left w:w="108" w:type="dxa"/>
            <w:bottom w:w="0" w:type="dxa"/>
            <w:right w:w="108" w:type="dxa"/>
          </w:tblCellMar>
        </w:tblPrEx>
        <w:trPr>
          <w:trHeight w:val="458"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cs="宋体"/>
                <w:b/>
                <w:bCs/>
                <w:color w:val="auto"/>
                <w:sz w:val="24"/>
                <w:szCs w:val="24"/>
                <w:highlight w:val="none"/>
              </w:rPr>
            </w:pPr>
            <w:r>
              <w:rPr>
                <w:rFonts w:ascii="宋体" w:hAnsi="宋体" w:cs="宋体"/>
                <w:b/>
                <w:bCs/>
                <w:color w:val="auto"/>
                <w:sz w:val="24"/>
                <w:szCs w:val="24"/>
                <w:highlight w:val="none"/>
              </w:rPr>
              <w:t>超过一定规模的危险性较大的分部分项工程清单</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482" w:firstLineChars="200"/>
              <w:jc w:val="center"/>
              <w:rPr>
                <w:rFonts w:hint="eastAsia" w:ascii="宋体" w:hAnsi="宋体" w:cs="宋体"/>
                <w:b/>
                <w:bCs/>
                <w:color w:val="auto"/>
                <w:sz w:val="24"/>
                <w:szCs w:val="24"/>
                <w:highlight w:val="none"/>
              </w:rPr>
            </w:pPr>
            <w:r>
              <w:rPr>
                <w:rFonts w:ascii="宋体" w:hAnsi="宋体" w:cs="宋体"/>
                <w:b/>
                <w:bCs/>
                <w:color w:val="auto"/>
                <w:sz w:val="24"/>
                <w:szCs w:val="24"/>
                <w:highlight w:val="none"/>
              </w:rPr>
              <w:t>部位及规模</w:t>
            </w:r>
          </w:p>
        </w:tc>
        <w:tc>
          <w:tcPr>
            <w:tcW w:w="1063"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宋体"/>
                <w:b/>
                <w:bCs/>
                <w:color w:val="auto"/>
                <w:sz w:val="24"/>
                <w:szCs w:val="24"/>
                <w:highlight w:val="none"/>
              </w:rPr>
            </w:pPr>
            <w:r>
              <w:rPr>
                <w:rFonts w:ascii="宋体" w:hAnsi="宋体" w:cs="宋体"/>
                <w:b/>
                <w:bCs/>
                <w:color w:val="auto"/>
                <w:sz w:val="24"/>
                <w:szCs w:val="24"/>
                <w:highlight w:val="none"/>
              </w:rPr>
              <w:t>是否有</w:t>
            </w:r>
          </w:p>
        </w:tc>
      </w:tr>
      <w:tr>
        <w:tblPrEx>
          <w:tblCellMar>
            <w:top w:w="0" w:type="dxa"/>
            <w:left w:w="108" w:type="dxa"/>
            <w:bottom w:w="0" w:type="dxa"/>
            <w:right w:w="108" w:type="dxa"/>
          </w:tblCellMar>
        </w:tblPrEx>
        <w:trPr>
          <w:trHeight w:val="252"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一、深基坑工程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76" o:spt="201" type="#_x0000_t201" style="height:17.5pt;width:16pt;" o:ole="t" filled="f" o:preferrelative="t" stroked="f" coordsize="21600,21600">
                  <v:path/>
                  <v:fill on="f" focussize="0,0"/>
                  <v:stroke on="f"/>
                  <v:imagedata r:id="rId53" o:title=""/>
                  <o:lock v:ext="edit" aspectratio="t"/>
                  <w10:wrap type="none"/>
                  <w10:anchorlock/>
                </v:shape>
                <w:control r:id="rId82" w:name="Control 52" w:shapeid="_x0000_i1076"/>
              </w:object>
            </w:r>
          </w:p>
        </w:tc>
      </w:tr>
      <w:tr>
        <w:tblPrEx>
          <w:tblCellMar>
            <w:top w:w="0" w:type="dxa"/>
            <w:left w:w="108" w:type="dxa"/>
            <w:bottom w:w="0" w:type="dxa"/>
            <w:right w:w="108" w:type="dxa"/>
          </w:tblCellMar>
        </w:tblPrEx>
        <w:trPr>
          <w:trHeight w:val="173"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开挖深度超过5m（含5m）的基坑（槽）的土方开挖、支护、降水工程。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77" o:spt="201" type="#_x0000_t201" style="height:17.5pt;width:16pt;" o:ole="t" filled="f" o:preferrelative="t" stroked="f" coordsize="21600,21600">
                  <v:path/>
                  <v:fill on="f" focussize="0,0"/>
                  <v:stroke on="f"/>
                  <v:imagedata r:id="rId53" o:title=""/>
                  <o:lock v:ext="edit" aspectratio="t"/>
                  <w10:wrap type="none"/>
                  <w10:anchorlock/>
                </v:shape>
                <w:control r:id="rId83" w:name="Control 53" w:shapeid="_x0000_i1077"/>
              </w:object>
            </w:r>
          </w:p>
        </w:tc>
      </w:tr>
      <w:tr>
        <w:tblPrEx>
          <w:tblCellMar>
            <w:top w:w="0" w:type="dxa"/>
            <w:left w:w="108" w:type="dxa"/>
            <w:bottom w:w="0" w:type="dxa"/>
            <w:right w:w="108" w:type="dxa"/>
          </w:tblCellMar>
        </w:tblPrEx>
        <w:trPr>
          <w:trHeight w:val="262"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二、模板工程及支撑体系</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78" o:spt="201" type="#_x0000_t201" style="height:17.5pt;width:16pt;" o:ole="t" filled="f" o:preferrelative="t" stroked="f" coordsize="21600,21600">
                  <v:path/>
                  <v:fill on="f" focussize="0,0"/>
                  <v:stroke on="f"/>
                  <v:imagedata r:id="rId53" o:title=""/>
                  <o:lock v:ext="edit" aspectratio="t"/>
                  <w10:wrap type="none"/>
                  <w10:anchorlock/>
                </v:shape>
                <w:control r:id="rId84" w:name="Control 54" w:shapeid="_x0000_i1078"/>
              </w:object>
            </w:r>
          </w:p>
        </w:tc>
      </w:tr>
      <w:tr>
        <w:tblPrEx>
          <w:tblCellMar>
            <w:top w:w="0" w:type="dxa"/>
            <w:left w:w="108" w:type="dxa"/>
            <w:bottom w:w="0" w:type="dxa"/>
            <w:right w:w="108" w:type="dxa"/>
          </w:tblCellMar>
        </w:tblPrEx>
        <w:trPr>
          <w:trHeight w:val="196"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79" o:spt="201" type="#_x0000_t201" style="height:17.5pt;width:16pt;" o:ole="t" filled="f" o:preferrelative="t" stroked="f" coordsize="21600,21600">
                  <v:path/>
                  <v:fill on="f" focussize="0,0"/>
                  <v:stroke on="f"/>
                  <v:imagedata r:id="rId53" o:title=""/>
                  <o:lock v:ext="edit" aspectratio="t"/>
                  <w10:wrap type="none"/>
                  <w10:anchorlock/>
                </v:shape>
                <w:control r:id="rId85" w:name="Control 55" w:shapeid="_x0000_i1079"/>
              </w:object>
            </w:r>
          </w:p>
        </w:tc>
      </w:tr>
      <w:tr>
        <w:tblPrEx>
          <w:tblCellMar>
            <w:top w:w="0" w:type="dxa"/>
            <w:left w:w="108" w:type="dxa"/>
            <w:bottom w:w="0" w:type="dxa"/>
            <w:right w:w="108" w:type="dxa"/>
          </w:tblCellMar>
        </w:tblPrEx>
        <w:trPr>
          <w:trHeight w:val="400"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（二）混凝土模板支撑工程：搭设高度8m及以上，或搭设跨度18m及以上，或施工总荷载（设计值）15kN/m2及以上，或集中线荷载（设计值）20kN/m及以上。</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80" o:spt="201" type="#_x0000_t201" style="height:17.5pt;width:16pt;" o:ole="t" filled="f" o:preferrelative="t" stroked="f" coordsize="21600,21600">
                  <v:path/>
                  <v:fill on="f" focussize="0,0"/>
                  <v:stroke on="f"/>
                  <v:imagedata r:id="rId53" o:title=""/>
                  <o:lock v:ext="edit" aspectratio="t"/>
                  <w10:wrap type="none"/>
                  <w10:anchorlock/>
                </v:shape>
                <w:control r:id="rId86" w:name="Control 56" w:shapeid="_x0000_i1080"/>
              </w:object>
            </w:r>
          </w:p>
        </w:tc>
      </w:tr>
      <w:tr>
        <w:tblPrEx>
          <w:tblCellMar>
            <w:top w:w="0" w:type="dxa"/>
            <w:left w:w="108" w:type="dxa"/>
            <w:bottom w:w="0" w:type="dxa"/>
            <w:right w:w="108" w:type="dxa"/>
          </w:tblCellMar>
        </w:tblPrEx>
        <w:trPr>
          <w:trHeight w:val="435"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（三）承重支撑体系：用于钢结构安装等满堂支撑体系，承受单点集中荷载7kN及以上。</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81" o:spt="201" type="#_x0000_t201" style="height:17.5pt;width:16pt;" o:ole="t" filled="f" o:preferrelative="t" stroked="f" coordsize="21600,21600">
                  <v:path/>
                  <v:fill on="f" focussize="0,0"/>
                  <v:stroke on="f"/>
                  <v:imagedata r:id="rId53" o:title=""/>
                  <o:lock v:ext="edit" aspectratio="t"/>
                  <w10:wrap type="none"/>
                  <w10:anchorlock/>
                </v:shape>
                <w:control r:id="rId87" w:name="Control 57" w:shapeid="_x0000_i1081"/>
              </w:object>
            </w:r>
          </w:p>
        </w:tc>
      </w:tr>
      <w:tr>
        <w:tblPrEx>
          <w:tblCellMar>
            <w:top w:w="0" w:type="dxa"/>
            <w:left w:w="108" w:type="dxa"/>
            <w:bottom w:w="0" w:type="dxa"/>
            <w:right w:w="108" w:type="dxa"/>
          </w:tblCellMar>
        </w:tblPrEx>
        <w:trPr>
          <w:trHeight w:val="274"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三、起重吊装及安装拆卸工程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82" o:spt="201" type="#_x0000_t201" style="height:17.5pt;width:16pt;" o:ole="t" filled="f" o:preferrelative="t" stroked="f" coordsize="21600,21600">
                  <v:path/>
                  <v:fill on="f" focussize="0,0"/>
                  <v:stroke on="f"/>
                  <v:imagedata r:id="rId53" o:title=""/>
                  <o:lock v:ext="edit" aspectratio="t"/>
                  <w10:wrap type="none"/>
                  <w10:anchorlock/>
                </v:shape>
                <w:control r:id="rId88" w:name="Control 58" w:shapeid="_x0000_i1082"/>
              </w:object>
            </w:r>
          </w:p>
        </w:tc>
      </w:tr>
      <w:tr>
        <w:tblPrEx>
          <w:tblCellMar>
            <w:top w:w="0" w:type="dxa"/>
            <w:left w:w="108" w:type="dxa"/>
            <w:bottom w:w="0" w:type="dxa"/>
            <w:right w:w="108" w:type="dxa"/>
          </w:tblCellMar>
        </w:tblPrEx>
        <w:trPr>
          <w:trHeight w:val="336"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（一）采用非常规起重设备、方法，且单件起吊重量在100kN及以上的起重吊装工程。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83" o:spt="201" type="#_x0000_t201" style="height:17.5pt;width:16pt;" o:ole="t" filled="f" o:preferrelative="t" stroked="f" coordsize="21600,21600">
                  <v:path/>
                  <v:fill on="f" focussize="0,0"/>
                  <v:stroke on="f"/>
                  <v:imagedata r:id="rId53" o:title=""/>
                  <o:lock v:ext="edit" aspectratio="t"/>
                  <w10:wrap type="none"/>
                  <w10:anchorlock/>
                </v:shape>
                <w:control r:id="rId89" w:name="Control 59" w:shapeid="_x0000_i1083"/>
              </w:object>
            </w:r>
          </w:p>
        </w:tc>
      </w:tr>
      <w:tr>
        <w:tblPrEx>
          <w:tblCellMar>
            <w:top w:w="0" w:type="dxa"/>
            <w:left w:w="108" w:type="dxa"/>
            <w:bottom w:w="0" w:type="dxa"/>
            <w:right w:w="108" w:type="dxa"/>
          </w:tblCellMar>
        </w:tblPrEx>
        <w:trPr>
          <w:trHeight w:val="396"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（二）起重量300kN及以上，或搭设总高度200m及以上，或搭设基础标高在200m及以上的起重机械安装和拆卸工程。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84" o:spt="201" type="#_x0000_t201" style="height:17.5pt;width:16pt;" o:ole="t" filled="f" o:preferrelative="t" stroked="f" coordsize="21600,21600">
                  <v:path/>
                  <v:fill on="f" focussize="0,0"/>
                  <v:stroke on="f"/>
                  <v:imagedata r:id="rId53" o:title=""/>
                  <o:lock v:ext="edit" aspectratio="t"/>
                  <w10:wrap type="none"/>
                  <w10:anchorlock/>
                </v:shape>
                <w:control r:id="rId90" w:name="Control 60" w:shapeid="_x0000_i1084"/>
              </w:object>
            </w:r>
          </w:p>
        </w:tc>
      </w:tr>
      <w:tr>
        <w:tblPrEx>
          <w:tblCellMar>
            <w:top w:w="0" w:type="dxa"/>
            <w:left w:w="108" w:type="dxa"/>
            <w:bottom w:w="0" w:type="dxa"/>
            <w:right w:w="108" w:type="dxa"/>
          </w:tblCellMar>
        </w:tblPrEx>
        <w:trPr>
          <w:trHeight w:val="204"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四、脚手架工程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85" o:spt="201" type="#_x0000_t201" style="height:17.5pt;width:16pt;" o:ole="t" filled="f" o:preferrelative="t" stroked="f" coordsize="21600,21600">
                  <v:path/>
                  <v:fill on="f" focussize="0,0"/>
                  <v:stroke on="f"/>
                  <v:imagedata r:id="rId53" o:title=""/>
                  <o:lock v:ext="edit" aspectratio="t"/>
                  <w10:wrap type="none"/>
                  <w10:anchorlock/>
                </v:shape>
                <w:control r:id="rId91" w:name="Control 61" w:shapeid="_x0000_i1085"/>
              </w:object>
            </w:r>
          </w:p>
        </w:tc>
      </w:tr>
      <w:tr>
        <w:tblPrEx>
          <w:tblCellMar>
            <w:top w:w="0" w:type="dxa"/>
            <w:left w:w="108" w:type="dxa"/>
            <w:bottom w:w="0" w:type="dxa"/>
            <w:right w:w="108" w:type="dxa"/>
          </w:tblCellMar>
        </w:tblPrEx>
        <w:trPr>
          <w:trHeight w:val="124"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（一）搭设高度50m及以上的落地式钢管脚手架工程。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86" o:spt="201" type="#_x0000_t201" style="height:17.5pt;width:16pt;" o:ole="t" filled="f" o:preferrelative="t" stroked="f" coordsize="21600,21600">
                  <v:path/>
                  <v:fill on="f" focussize="0,0"/>
                  <v:stroke on="f"/>
                  <v:imagedata r:id="rId53" o:title=""/>
                  <o:lock v:ext="edit" aspectratio="t"/>
                  <w10:wrap type="none"/>
                  <w10:anchorlock/>
                </v:shape>
                <w:control r:id="rId92" w:name="Control 62" w:shapeid="_x0000_i1086"/>
              </w:object>
            </w:r>
          </w:p>
        </w:tc>
      </w:tr>
      <w:tr>
        <w:tblPrEx>
          <w:tblCellMar>
            <w:top w:w="0" w:type="dxa"/>
            <w:left w:w="108" w:type="dxa"/>
            <w:bottom w:w="0" w:type="dxa"/>
            <w:right w:w="108" w:type="dxa"/>
          </w:tblCellMar>
        </w:tblPrEx>
        <w:trPr>
          <w:trHeight w:val="187"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（二）提升高度在150m及以上的附着式升降脚手架工程或附着式升降操作平台工程。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87" o:spt="201" type="#_x0000_t201" style="height:17.5pt;width:16pt;" o:ole="t" filled="f" o:preferrelative="t" stroked="f" coordsize="21600,21600">
                  <v:path/>
                  <v:fill on="f" focussize="0,0"/>
                  <v:stroke on="f"/>
                  <v:imagedata r:id="rId53" o:title=""/>
                  <o:lock v:ext="edit" aspectratio="t"/>
                  <w10:wrap type="none"/>
                  <w10:anchorlock/>
                </v:shape>
                <w:control r:id="rId93" w:name="Control 63" w:shapeid="_x0000_i1087"/>
              </w:object>
            </w:r>
          </w:p>
        </w:tc>
      </w:tr>
      <w:tr>
        <w:tblPrEx>
          <w:tblCellMar>
            <w:top w:w="0" w:type="dxa"/>
            <w:left w:w="108" w:type="dxa"/>
            <w:bottom w:w="0" w:type="dxa"/>
            <w:right w:w="108" w:type="dxa"/>
          </w:tblCellMar>
        </w:tblPrEx>
        <w:trPr>
          <w:trHeight w:val="106"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（三）分段架体搭设高度20m及以上的悬挑式脚手架工程。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88" o:spt="201" type="#_x0000_t201" style="height:17.5pt;width:16pt;" o:ole="t" filled="f" o:preferrelative="t" stroked="f" coordsize="21600,21600">
                  <v:path/>
                  <v:fill on="f" focussize="0,0"/>
                  <v:stroke on="f"/>
                  <v:imagedata r:id="rId53" o:title=""/>
                  <o:lock v:ext="edit" aspectratio="t"/>
                  <w10:wrap type="none"/>
                  <w10:anchorlock/>
                </v:shape>
                <w:control r:id="rId94" w:name="Control 64" w:shapeid="_x0000_i1088"/>
              </w:object>
            </w:r>
          </w:p>
        </w:tc>
      </w:tr>
      <w:tr>
        <w:tblPrEx>
          <w:tblCellMar>
            <w:top w:w="0" w:type="dxa"/>
            <w:left w:w="108" w:type="dxa"/>
            <w:bottom w:w="0" w:type="dxa"/>
            <w:right w:w="108" w:type="dxa"/>
          </w:tblCellMar>
        </w:tblPrEx>
        <w:trPr>
          <w:trHeight w:val="183"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五、拆除工程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89" o:spt="201" type="#_x0000_t201" style="height:17.5pt;width:16pt;" o:ole="t" filled="f" o:preferrelative="t" stroked="f" coordsize="21600,21600">
                  <v:path/>
                  <v:fill on="f" focussize="0,0"/>
                  <v:stroke on="f"/>
                  <v:imagedata r:id="rId53" o:title=""/>
                  <o:lock v:ext="edit" aspectratio="t"/>
                  <w10:wrap type="none"/>
                  <w10:anchorlock/>
                </v:shape>
                <w:control r:id="rId95" w:name="Control 65" w:shapeid="_x0000_i1089"/>
              </w:object>
            </w:r>
          </w:p>
        </w:tc>
      </w:tr>
      <w:tr>
        <w:tblPrEx>
          <w:tblCellMar>
            <w:top w:w="0" w:type="dxa"/>
            <w:left w:w="108" w:type="dxa"/>
            <w:bottom w:w="0" w:type="dxa"/>
            <w:right w:w="108" w:type="dxa"/>
          </w:tblCellMar>
        </w:tblPrEx>
        <w:trPr>
          <w:trHeight w:val="103"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（一）码头、桥梁、高架、烟囱、水塔或拆除中容易引起有毒有害气（液）体或粉尘扩散、易燃易爆事故发生的特殊建、构筑物的拆除工程。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90" o:spt="201" type="#_x0000_t201" style="height:17.5pt;width:16pt;" o:ole="t" filled="f" o:preferrelative="t" stroked="f" coordsize="21600,21600">
                  <v:path/>
                  <v:fill on="f" focussize="0,0"/>
                  <v:stroke on="f"/>
                  <v:imagedata r:id="rId53" o:title=""/>
                  <o:lock v:ext="edit" aspectratio="t"/>
                  <w10:wrap type="none"/>
                  <w10:anchorlock/>
                </v:shape>
                <w:control r:id="rId96" w:name="Control 66" w:shapeid="_x0000_i1090"/>
              </w:object>
            </w:r>
          </w:p>
        </w:tc>
      </w:tr>
      <w:tr>
        <w:tblPrEx>
          <w:tblCellMar>
            <w:top w:w="0" w:type="dxa"/>
            <w:left w:w="108" w:type="dxa"/>
            <w:bottom w:w="0" w:type="dxa"/>
            <w:right w:w="108" w:type="dxa"/>
          </w:tblCellMar>
        </w:tblPrEx>
        <w:trPr>
          <w:trHeight w:val="103"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（二）文物保护建筑、优秀历史建筑或历史文化风貌区影响范围内的拆除工程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bCs/>
                <w:color w:val="auto"/>
                <w:sz w:val="18"/>
                <w:szCs w:val="18"/>
                <w:highlight w:val="none"/>
              </w:rPr>
            </w:pPr>
          </w:p>
        </w:tc>
      </w:tr>
      <w:tr>
        <w:tblPrEx>
          <w:tblCellMar>
            <w:top w:w="0" w:type="dxa"/>
            <w:left w:w="108" w:type="dxa"/>
            <w:bottom w:w="0" w:type="dxa"/>
            <w:right w:w="108" w:type="dxa"/>
          </w:tblCellMar>
        </w:tblPrEx>
        <w:trPr>
          <w:trHeight w:val="306"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六、暗挖工程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91" o:spt="201" type="#_x0000_t201" style="height:17.5pt;width:16pt;" o:ole="t" filled="f" o:preferrelative="t" stroked="f" coordsize="21600,21600">
                  <v:path/>
                  <v:fill on="f" focussize="0,0"/>
                  <v:stroke on="f"/>
                  <v:imagedata r:id="rId53" o:title=""/>
                  <o:lock v:ext="edit" aspectratio="t"/>
                  <w10:wrap type="none"/>
                  <w10:anchorlock/>
                </v:shape>
                <w:control r:id="rId97" w:name="Control 67" w:shapeid="_x0000_i1091"/>
              </w:object>
            </w:r>
          </w:p>
        </w:tc>
      </w:tr>
      <w:tr>
        <w:tblPrEx>
          <w:tblCellMar>
            <w:top w:w="0" w:type="dxa"/>
            <w:left w:w="108" w:type="dxa"/>
            <w:bottom w:w="0" w:type="dxa"/>
            <w:right w:w="108" w:type="dxa"/>
          </w:tblCellMar>
        </w:tblPrEx>
        <w:trPr>
          <w:trHeight w:val="256"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bCs/>
                <w:color w:val="auto"/>
                <w:sz w:val="18"/>
                <w:szCs w:val="18"/>
                <w:highlight w:val="none"/>
              </w:rPr>
            </w:pPr>
            <w:r>
              <w:rPr>
                <w:rFonts w:ascii="宋体" w:hAnsi="宋体" w:cs="仿宋_GB2312"/>
                <w:bCs/>
                <w:color w:val="auto"/>
                <w:sz w:val="18"/>
                <w:szCs w:val="18"/>
                <w:highlight w:val="none"/>
              </w:rPr>
              <w:object>
                <v:shape id="_x0000_i1092" o:spt="201" type="#_x0000_t201" style="height:17.5pt;width:16pt;" o:ole="t" filled="f" o:preferrelative="t" stroked="f" coordsize="21600,21600">
                  <v:path/>
                  <v:fill on="f" focussize="0,0"/>
                  <v:stroke on="f"/>
                  <v:imagedata r:id="rId53" o:title=""/>
                  <o:lock v:ext="edit" aspectratio="t"/>
                  <w10:wrap type="none"/>
                  <w10:anchorlock/>
                </v:shape>
                <w:control r:id="rId98" w:name="Control 68" w:shapeid="_x0000_i1092"/>
              </w:object>
            </w:r>
          </w:p>
        </w:tc>
      </w:tr>
      <w:tr>
        <w:tblPrEx>
          <w:tblCellMar>
            <w:top w:w="0" w:type="dxa"/>
            <w:left w:w="108" w:type="dxa"/>
            <w:bottom w:w="0" w:type="dxa"/>
            <w:right w:w="108" w:type="dxa"/>
          </w:tblCellMar>
        </w:tblPrEx>
        <w:trPr>
          <w:trHeight w:val="325"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七、其它</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bCs/>
                <w:color w:val="auto"/>
                <w:sz w:val="18"/>
                <w:szCs w:val="18"/>
                <w:highlight w:val="none"/>
              </w:rPr>
            </w:pPr>
            <w:r>
              <w:rPr>
                <w:rFonts w:ascii="宋体" w:hAnsi="宋体" w:cs="仿宋_GB2312"/>
                <w:bCs/>
                <w:color w:val="auto"/>
                <w:sz w:val="18"/>
                <w:szCs w:val="18"/>
                <w:highlight w:val="none"/>
              </w:rPr>
              <w:object>
                <v:shape id="_x0000_i1093" o:spt="201" type="#_x0000_t201" style="height:17.5pt;width:16pt;" o:ole="t" filled="f" o:preferrelative="t" stroked="f" coordsize="21600,21600">
                  <v:path/>
                  <v:fill on="f" focussize="0,0"/>
                  <v:stroke on="f"/>
                  <v:imagedata r:id="rId53" o:title=""/>
                  <o:lock v:ext="edit" aspectratio="t"/>
                  <w10:wrap type="none"/>
                  <w10:anchorlock/>
                </v:shape>
                <w:control r:id="rId99" w:name="Control 69" w:shapeid="_x0000_i1093"/>
              </w:object>
            </w:r>
          </w:p>
        </w:tc>
      </w:tr>
      <w:tr>
        <w:tblPrEx>
          <w:tblCellMar>
            <w:top w:w="0" w:type="dxa"/>
            <w:left w:w="108" w:type="dxa"/>
            <w:bottom w:w="0" w:type="dxa"/>
            <w:right w:w="108" w:type="dxa"/>
          </w:tblCellMar>
        </w:tblPrEx>
        <w:trPr>
          <w:trHeight w:val="127"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（一）施工高度50m及以上的建筑幕墙安装工程。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94" o:spt="201" type="#_x0000_t201" style="height:17.5pt;width:16pt;" o:ole="t" filled="f" o:preferrelative="t" stroked="f" coordsize="21600,21600">
                  <v:path/>
                  <v:fill on="f" focussize="0,0"/>
                  <v:stroke on="f"/>
                  <v:imagedata r:id="rId53" o:title=""/>
                  <o:lock v:ext="edit" aspectratio="t"/>
                  <w10:wrap type="none"/>
                  <w10:anchorlock/>
                </v:shape>
                <w:control r:id="rId100" w:name="Control 70" w:shapeid="_x0000_i1094"/>
              </w:object>
            </w:r>
          </w:p>
        </w:tc>
      </w:tr>
      <w:tr>
        <w:tblPrEx>
          <w:tblCellMar>
            <w:top w:w="0" w:type="dxa"/>
            <w:left w:w="108" w:type="dxa"/>
            <w:bottom w:w="0" w:type="dxa"/>
            <w:right w:w="108" w:type="dxa"/>
          </w:tblCellMar>
        </w:tblPrEx>
        <w:trPr>
          <w:trHeight w:val="60"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（二）跨度36m及以上的钢结构安装工程，或跨度60m及以上的网架和索膜结构安装工程。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95" o:spt="201" type="#_x0000_t201" style="height:17.5pt;width:16pt;" o:ole="t" filled="f" o:preferrelative="t" stroked="f" coordsize="21600,21600">
                  <v:path/>
                  <v:fill on="f" focussize="0,0"/>
                  <v:stroke on="f"/>
                  <v:imagedata r:id="rId53" o:title=""/>
                  <o:lock v:ext="edit" aspectratio="t"/>
                  <w10:wrap type="none"/>
                  <w10:anchorlock/>
                </v:shape>
                <w:control r:id="rId101" w:name="Control 71" w:shapeid="_x0000_i1095"/>
              </w:object>
            </w:r>
          </w:p>
        </w:tc>
      </w:tr>
      <w:tr>
        <w:tblPrEx>
          <w:tblCellMar>
            <w:top w:w="0" w:type="dxa"/>
            <w:left w:w="108" w:type="dxa"/>
            <w:bottom w:w="0" w:type="dxa"/>
            <w:right w:w="108" w:type="dxa"/>
          </w:tblCellMar>
        </w:tblPrEx>
        <w:trPr>
          <w:trHeight w:val="343"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（三）开挖深度16m及以上的人工挖孔桩工程。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96" o:spt="201" type="#_x0000_t201" style="height:17.5pt;width:16pt;" o:ole="t" filled="f" o:preferrelative="t" stroked="f" coordsize="21600,21600">
                  <v:path/>
                  <v:fill on="f" focussize="0,0"/>
                  <v:stroke on="f"/>
                  <v:imagedata r:id="rId53" o:title=""/>
                  <o:lock v:ext="edit" aspectratio="t"/>
                  <w10:wrap type="none"/>
                  <w10:anchorlock/>
                </v:shape>
                <w:control r:id="rId102" w:name="Control 72" w:shapeid="_x0000_i1096"/>
              </w:object>
            </w:r>
          </w:p>
        </w:tc>
      </w:tr>
      <w:tr>
        <w:tblPrEx>
          <w:tblCellMar>
            <w:top w:w="0" w:type="dxa"/>
            <w:left w:w="108" w:type="dxa"/>
            <w:bottom w:w="0" w:type="dxa"/>
            <w:right w:w="108" w:type="dxa"/>
          </w:tblCellMar>
        </w:tblPrEx>
        <w:trPr>
          <w:trHeight w:val="201"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（四）水下作业工程。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97" o:spt="201" type="#_x0000_t201" style="height:17.5pt;width:16pt;" o:ole="t" filled="f" o:preferrelative="t" stroked="f" coordsize="21600,21600">
                  <v:path/>
                  <v:fill on="f" focussize="0,0"/>
                  <v:stroke on="f"/>
                  <v:imagedata r:id="rId53" o:title=""/>
                  <o:lock v:ext="edit" aspectratio="t"/>
                  <w10:wrap type="none"/>
                  <w10:anchorlock/>
                </v:shape>
                <w:control r:id="rId103" w:name="Control 73" w:shapeid="_x0000_i1097"/>
              </w:object>
            </w:r>
          </w:p>
        </w:tc>
      </w:tr>
      <w:tr>
        <w:tblPrEx>
          <w:tblCellMar>
            <w:top w:w="0" w:type="dxa"/>
            <w:left w:w="108" w:type="dxa"/>
            <w:bottom w:w="0" w:type="dxa"/>
            <w:right w:w="108" w:type="dxa"/>
          </w:tblCellMar>
        </w:tblPrEx>
        <w:trPr>
          <w:trHeight w:val="201"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（五）重量1000kN及以上的大型结构整体顶升、平移、转体等施工工艺。</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98" o:spt="201" type="#_x0000_t201" style="height:17.5pt;width:16pt;" o:ole="t" filled="f" o:preferrelative="t" stroked="f" coordsize="21600,21600">
                  <v:path/>
                  <v:fill on="f" focussize="0,0"/>
                  <v:stroke on="f"/>
                  <v:imagedata r:id="rId53" o:title=""/>
                  <o:lock v:ext="edit" aspectratio="t"/>
                  <w10:wrap type="none"/>
                  <w10:anchorlock/>
                </v:shape>
                <w:control r:id="rId104" w:name="Control 74" w:shapeid="_x0000_i1098"/>
              </w:object>
            </w:r>
          </w:p>
        </w:tc>
      </w:tr>
      <w:tr>
        <w:tblPrEx>
          <w:tblCellMar>
            <w:top w:w="0" w:type="dxa"/>
            <w:left w:w="108" w:type="dxa"/>
            <w:bottom w:w="0" w:type="dxa"/>
            <w:right w:w="108" w:type="dxa"/>
          </w:tblCellMar>
        </w:tblPrEx>
        <w:trPr>
          <w:trHeight w:val="547" w:hRule="atLeast"/>
        </w:trPr>
        <w:tc>
          <w:tcPr>
            <w:tcW w:w="475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2880" w:type="dxa"/>
            <w:tcBorders>
              <w:top w:val="single" w:color="auto" w:sz="4" w:space="0"/>
              <w:left w:val="nil"/>
              <w:bottom w:val="single" w:color="auto" w:sz="4" w:space="0"/>
              <w:right w:val="single" w:color="auto" w:sz="4" w:space="0"/>
            </w:tcBorders>
            <w:noWrap w:val="0"/>
            <w:vAlign w:val="center"/>
          </w:tcPr>
          <w:p>
            <w:pPr>
              <w:adjustRightInd w:val="0"/>
              <w:snapToGrid w:val="0"/>
              <w:spacing w:line="360" w:lineRule="auto"/>
              <w:ind w:firstLine="360" w:firstLineChars="200"/>
              <w:rPr>
                <w:rFonts w:ascii="宋体" w:hAnsi="宋体" w:cs="仿宋_GB2312"/>
                <w:color w:val="auto"/>
                <w:sz w:val="18"/>
                <w:szCs w:val="18"/>
                <w:highlight w:val="none"/>
              </w:rPr>
            </w:pPr>
          </w:p>
        </w:tc>
        <w:tc>
          <w:tcPr>
            <w:tcW w:w="1063" w:type="dxa"/>
            <w:tcBorders>
              <w:top w:val="single" w:color="auto" w:sz="4" w:space="0"/>
              <w:left w:val="nil"/>
              <w:bottom w:val="single" w:color="auto" w:sz="4" w:space="0"/>
              <w:right w:val="single" w:color="auto" w:sz="4" w:space="0"/>
            </w:tcBorders>
            <w:noWrap w:val="0"/>
            <w:vAlign w:val="top"/>
          </w:tcPr>
          <w:p>
            <w:pPr>
              <w:widowControl/>
              <w:adjustRightInd w:val="0"/>
              <w:snapToGrid w:val="0"/>
              <w:spacing w:line="360" w:lineRule="auto"/>
              <w:rPr>
                <w:rFonts w:ascii="宋体" w:hAnsi="宋体" w:cs="仿宋_GB2312"/>
                <w:color w:val="auto"/>
                <w:kern w:val="0"/>
                <w:sz w:val="18"/>
                <w:szCs w:val="18"/>
                <w:highlight w:val="none"/>
              </w:rPr>
            </w:pPr>
            <w:r>
              <w:rPr>
                <w:rFonts w:ascii="宋体" w:hAnsi="宋体" w:cs="仿宋_GB2312"/>
                <w:bCs/>
                <w:color w:val="auto"/>
                <w:sz w:val="18"/>
                <w:szCs w:val="18"/>
                <w:highlight w:val="none"/>
              </w:rPr>
              <w:object>
                <v:shape id="_x0000_i1099" o:spt="201" type="#_x0000_t201" style="height:17.5pt;width:16pt;" o:ole="t" filled="f" o:preferrelative="t" stroked="f" coordsize="21600,21600">
                  <v:path/>
                  <v:fill on="f" focussize="0,0"/>
                  <v:stroke on="f"/>
                  <v:imagedata r:id="rId53" o:title=""/>
                  <o:lock v:ext="edit" aspectratio="t"/>
                  <w10:wrap type="none"/>
                  <w10:anchorlock/>
                </v:shape>
                <w:control r:id="rId105" w:name="Control 75" w:shapeid="_x0000_i1099"/>
              </w:object>
            </w:r>
          </w:p>
        </w:tc>
      </w:tr>
    </w:tbl>
    <w:p>
      <w:pPr>
        <w:adjustRightInd w:val="0"/>
        <w:snapToGrid w:val="0"/>
        <w:spacing w:line="360" w:lineRule="auto"/>
        <w:ind w:firstLine="420" w:firstLineChars="200"/>
        <w:jc w:val="left"/>
        <w:rPr>
          <w:rFonts w:hint="eastAsia" w:ascii="宋体" w:hAnsi="宋体" w:cs="宋体"/>
          <w:color w:val="auto"/>
          <w:szCs w:val="21"/>
          <w:highlight w:val="none"/>
        </w:rPr>
      </w:pPr>
    </w:p>
    <w:bookmarkEnd w:id="6449"/>
    <w:bookmarkEnd w:id="6450"/>
    <w:bookmarkEnd w:id="6451"/>
    <w:bookmarkEnd w:id="6452"/>
    <w:bookmarkEnd w:id="6453"/>
    <w:bookmarkEnd w:id="6454"/>
    <w:bookmarkEnd w:id="6455"/>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457" w:name="_Toc6731"/>
      <w:bookmarkStart w:id="6458" w:name="_Toc21156"/>
      <w:bookmarkStart w:id="6459" w:name="_Toc517531007"/>
      <w:bookmarkStart w:id="6460" w:name="_Toc1471"/>
      <w:bookmarkStart w:id="6461" w:name="_Toc9705"/>
      <w:bookmarkStart w:id="6462" w:name="_Toc28009"/>
      <w:bookmarkStart w:id="6463" w:name="_Toc8735"/>
      <w:bookmarkStart w:id="6464" w:name="_Toc517528791"/>
      <w:bookmarkStart w:id="6465" w:name="_Toc21883"/>
      <w:bookmarkStart w:id="6466" w:name="_Toc14451"/>
      <w:bookmarkStart w:id="6467" w:name="_Toc517532283"/>
      <w:bookmarkStart w:id="6468" w:name="_Toc21128"/>
      <w:r>
        <w:rPr>
          <w:rFonts w:hint="eastAsia" w:ascii="宋体" w:hAnsi="宋体" w:cs="宋体"/>
          <w:b/>
          <w:bCs/>
          <w:color w:val="auto"/>
          <w:sz w:val="28"/>
          <w:szCs w:val="28"/>
          <w:highlight w:val="none"/>
        </w:rPr>
        <w:t>6.3环境保护</w:t>
      </w:r>
      <w:bookmarkEnd w:id="6457"/>
      <w:bookmarkEnd w:id="6458"/>
      <w:bookmarkEnd w:id="6459"/>
      <w:bookmarkEnd w:id="6460"/>
      <w:bookmarkEnd w:id="6461"/>
      <w:bookmarkEnd w:id="6462"/>
      <w:bookmarkEnd w:id="6463"/>
      <w:bookmarkEnd w:id="6464"/>
      <w:bookmarkEnd w:id="6465"/>
      <w:bookmarkEnd w:id="6466"/>
      <w:bookmarkEnd w:id="6467"/>
      <w:bookmarkEnd w:id="6468"/>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469" w:name="_Toc517532284"/>
      <w:bookmarkStart w:id="6470" w:name="_Toc15957"/>
      <w:bookmarkStart w:id="6471" w:name="_Toc29311"/>
      <w:bookmarkStart w:id="6472" w:name="_Toc16319"/>
      <w:bookmarkStart w:id="6473" w:name="_Toc27070"/>
      <w:bookmarkStart w:id="6474" w:name="_Toc23789"/>
      <w:bookmarkStart w:id="6475" w:name="_Toc2316"/>
      <w:bookmarkStart w:id="6476" w:name="_Toc1263"/>
      <w:bookmarkStart w:id="6477" w:name="_Toc21929"/>
      <w:bookmarkStart w:id="6478" w:name="_Toc517531008"/>
      <w:bookmarkStart w:id="6479" w:name="_Toc19605"/>
      <w:bookmarkStart w:id="6480" w:name="_Toc24587"/>
      <w:bookmarkStart w:id="6481" w:name="_Toc22595"/>
      <w:bookmarkStart w:id="6482" w:name="_Toc8488"/>
      <w:bookmarkStart w:id="6483" w:name="_Toc9213"/>
      <w:bookmarkStart w:id="6484" w:name="_Toc7634"/>
      <w:bookmarkStart w:id="6485" w:name="_Toc23058"/>
      <w:bookmarkStart w:id="6486" w:name="_Toc13853"/>
      <w:r>
        <w:rPr>
          <w:rFonts w:hint="eastAsia" w:ascii="宋体" w:hAnsi="宋体" w:cs="宋体"/>
          <w:b/>
          <w:bCs/>
          <w:color w:val="auto"/>
          <w:sz w:val="24"/>
          <w:szCs w:val="24"/>
          <w:highlight w:val="none"/>
        </w:rPr>
        <w:t>6.3.1扬尘污染防治</w:t>
      </w:r>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施工总承包工程的特别要求（土建）：</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依据《深圳市大气环境质量提升计划》要求，在建工程项目在推进大气污染防治、改善环境空气质量，促进城市可持续发展方面必须满足以下规定要求：</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（a）建筑工地必须做到施工现场100%标准化围蔽、工地砂土不用时100%覆盖、工地路面100%硬地化、拆除工程100%洒水压尘、出工地车辆100%冲洗车轮车身、施工现场长期裸土100%覆盖或绿化；</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b）必须使用符合《深圳市在用非道路移动机械用柴油机排气污染物限值及测量方法》(SZJG49-2015)特区技术规范要求的非道路移动机械。鼓励使用LNG或电动施工机械，全面推行使用加装主动再生式柴油颗粒捕集器的柴油工程机械，工程项目中选用LNG或电动施工机械的比例不低于30%。</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（c）工地出口必须按规定安装车辆自动喷淋系统，推广利用工地基坑回用废水清洗余泥渣土运输车辆；</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（d）工地排放总悬浮颗粒物（TSP）应符合特区技术规范要求，占地5000平方米及以上工地出口必须安装TSP在线自动监测装置。</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e）在建工地出口必须设置项目扬尘视频监控设施，建设扬尘视频监控平台。建设用地面积大于5万平方米的房屋建筑工程及房屋拆除工程还需实现重点环节和部位的精细化管理，在施工工地出口、起重机、料堆等易起尘的位置安装视频监控设施。</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将在项目实施过程中依据扬尘防治的有关要求对承包人进行重点检查，对于出现违反规定的行为,发包人有权采取限期整治、责令停工等措施。同时，对于违反规定的承包人，发包人有权采取记录承包人不良行为、录入企业履约评价档案等违约处理措施。</w:t>
      </w:r>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487" w:name="_Toc21380"/>
      <w:bookmarkStart w:id="6488" w:name="_Toc517532285"/>
      <w:bookmarkStart w:id="6489" w:name="_Toc6281"/>
      <w:bookmarkStart w:id="6490" w:name="_Toc3912"/>
      <w:bookmarkStart w:id="6491" w:name="_Toc8784"/>
      <w:bookmarkStart w:id="6492" w:name="_Toc8160"/>
      <w:bookmarkStart w:id="6493" w:name="_Toc29636"/>
      <w:bookmarkStart w:id="6494" w:name="_Toc29953"/>
      <w:bookmarkStart w:id="6495" w:name="_Toc18613"/>
      <w:bookmarkStart w:id="6496" w:name="_Toc9923"/>
      <w:bookmarkStart w:id="6497" w:name="_Toc1334"/>
      <w:bookmarkStart w:id="6498" w:name="_Toc2040"/>
      <w:bookmarkStart w:id="6499" w:name="_Toc14152"/>
      <w:bookmarkStart w:id="6500" w:name="_Toc7542"/>
      <w:bookmarkStart w:id="6501" w:name="_Toc16428"/>
      <w:bookmarkStart w:id="6502" w:name="_Toc517531009"/>
      <w:bookmarkStart w:id="6503" w:name="_Toc9879"/>
      <w:bookmarkStart w:id="6504" w:name="_Toc8892"/>
      <w:r>
        <w:rPr>
          <w:rFonts w:hint="eastAsia" w:ascii="宋体" w:hAnsi="宋体" w:cs="宋体"/>
          <w:b/>
          <w:bCs/>
          <w:color w:val="auto"/>
          <w:sz w:val="24"/>
          <w:szCs w:val="24"/>
          <w:highlight w:val="none"/>
        </w:rPr>
        <w:t>6.3.3余泥渣土运输的要求</w:t>
      </w:r>
      <w:bookmarkEnd w:id="633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p>
    <w:p>
      <w:pPr>
        <w:keepNext/>
        <w:keepLines/>
        <w:spacing w:before="156" w:beforeLines="50" w:after="156" w:afterLines="50" w:line="360" w:lineRule="auto"/>
        <w:ind w:firstLine="728" w:firstLineChars="302"/>
        <w:outlineLvl w:val="4"/>
        <w:rPr>
          <w:rFonts w:hint="eastAsia" w:ascii="宋体" w:hAnsi="宋体" w:cs="宋体"/>
          <w:b/>
          <w:bCs/>
          <w:color w:val="auto"/>
          <w:sz w:val="24"/>
          <w:szCs w:val="24"/>
          <w:highlight w:val="none"/>
        </w:rPr>
      </w:pPr>
      <w:bookmarkStart w:id="6505" w:name="_Toc517532286"/>
      <w:bookmarkStart w:id="6506" w:name="_Toc23208"/>
      <w:bookmarkStart w:id="6507" w:name="_Toc4052"/>
      <w:bookmarkStart w:id="6508" w:name="_Toc11267"/>
      <w:bookmarkStart w:id="6509" w:name="_Toc517531010"/>
      <w:bookmarkStart w:id="6510" w:name="_Toc4505"/>
      <w:bookmarkStart w:id="6511" w:name="_Toc21340"/>
      <w:bookmarkStart w:id="6512" w:name="_Toc7719"/>
      <w:bookmarkStart w:id="6513" w:name="_Toc2857"/>
      <w:bookmarkStart w:id="6514" w:name="_Toc28729"/>
      <w:r>
        <w:rPr>
          <w:rFonts w:hint="eastAsia" w:ascii="宋体" w:hAnsi="宋体" w:cs="宋体"/>
          <w:b/>
          <w:bCs/>
          <w:color w:val="auto"/>
          <w:sz w:val="24"/>
          <w:szCs w:val="24"/>
          <w:highlight w:val="none"/>
        </w:rPr>
        <w:t>（1）词语定义</w:t>
      </w:r>
      <w:bookmarkEnd w:id="6505"/>
      <w:bookmarkEnd w:id="6506"/>
      <w:bookmarkEnd w:id="6507"/>
      <w:bookmarkEnd w:id="6508"/>
      <w:bookmarkEnd w:id="6509"/>
      <w:bookmarkEnd w:id="6510"/>
      <w:bookmarkEnd w:id="6511"/>
      <w:bookmarkEnd w:id="6512"/>
      <w:bookmarkEnd w:id="6513"/>
      <w:bookmarkEnd w:id="651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余泥渣土运输车辆（泥头车）：指承担本工程施工现场土石方、部分建筑材料及建筑垃圾运输任务且相关证件齐全的合格车辆。</w:t>
      </w:r>
    </w:p>
    <w:p>
      <w:pPr>
        <w:keepNext/>
        <w:keepLines/>
        <w:spacing w:before="156" w:beforeLines="50" w:after="156" w:afterLines="50" w:line="360" w:lineRule="auto"/>
        <w:ind w:firstLine="728" w:firstLineChars="302"/>
        <w:outlineLvl w:val="4"/>
        <w:rPr>
          <w:rFonts w:hint="eastAsia" w:ascii="宋体" w:hAnsi="宋体" w:cs="宋体"/>
          <w:b/>
          <w:bCs/>
          <w:color w:val="auto"/>
          <w:sz w:val="24"/>
          <w:szCs w:val="24"/>
          <w:highlight w:val="none"/>
        </w:rPr>
      </w:pPr>
      <w:bookmarkStart w:id="6515" w:name="_Toc517532287"/>
      <w:bookmarkStart w:id="6516" w:name="_Toc17477"/>
      <w:bookmarkStart w:id="6517" w:name="_Toc30280"/>
      <w:bookmarkStart w:id="6518" w:name="_Toc6223"/>
      <w:bookmarkStart w:id="6519" w:name="_Toc517531011"/>
      <w:bookmarkStart w:id="6520" w:name="_Toc6155"/>
      <w:bookmarkStart w:id="6521" w:name="_Toc10493"/>
      <w:bookmarkStart w:id="6522" w:name="_Toc13571"/>
      <w:bookmarkStart w:id="6523" w:name="_Toc19864"/>
      <w:bookmarkStart w:id="6524" w:name="_Toc3080"/>
      <w:r>
        <w:rPr>
          <w:rFonts w:hint="eastAsia" w:ascii="宋体" w:hAnsi="宋体" w:cs="宋体"/>
          <w:b/>
          <w:bCs/>
          <w:color w:val="auto"/>
          <w:sz w:val="24"/>
          <w:szCs w:val="24"/>
          <w:highlight w:val="none"/>
        </w:rPr>
        <w:t>（2）证件种类的要求</w:t>
      </w:r>
      <w:bookmarkEnd w:id="6515"/>
      <w:bookmarkEnd w:id="6516"/>
      <w:bookmarkEnd w:id="6517"/>
      <w:bookmarkEnd w:id="6518"/>
      <w:bookmarkEnd w:id="6519"/>
      <w:bookmarkEnd w:id="6520"/>
      <w:bookmarkEnd w:id="6521"/>
      <w:bookmarkEnd w:id="6522"/>
      <w:bookmarkEnd w:id="6523"/>
      <w:bookmarkEnd w:id="652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承担本合同余泥渣土运输任务的专业运输单位及其营运的余泥渣土运输车辆应当具备相关职能部门核发的下列证件：</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（a）专业运输单位应具备：《道路运输经营许可证》；</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（b）余泥渣土运输车辆应具备：《道路运输许可证》《机动车行驶证》；</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因工程客观情况需要，余泥渣土运输车辆需承担建筑垃圾运输任务，应办理《城市建筑垃圾准运证》；以及，余泥渣土运输车辆需行驶市区内禁行路段，还应办理《深圳市余泥渣土运输车辆临时通行证》。在同等情况下，承包人应优先选择具备《深圳市自卸车企业资质达标证书》余泥渣土运输单位。</w:t>
      </w:r>
    </w:p>
    <w:p>
      <w:pPr>
        <w:keepNext/>
        <w:keepLines/>
        <w:spacing w:before="156" w:beforeLines="50" w:after="156" w:afterLines="50" w:line="360" w:lineRule="auto"/>
        <w:ind w:firstLine="728" w:firstLineChars="302"/>
        <w:outlineLvl w:val="4"/>
        <w:rPr>
          <w:rFonts w:hint="eastAsia" w:ascii="宋体" w:hAnsi="宋体" w:cs="宋体"/>
          <w:b/>
          <w:bCs/>
          <w:color w:val="auto"/>
          <w:sz w:val="24"/>
          <w:szCs w:val="24"/>
          <w:highlight w:val="none"/>
        </w:rPr>
      </w:pPr>
      <w:bookmarkStart w:id="6525" w:name="_Toc31737"/>
      <w:bookmarkStart w:id="6526" w:name="_Toc1997"/>
      <w:bookmarkStart w:id="6527" w:name="_Toc21440"/>
      <w:bookmarkStart w:id="6528" w:name="_Toc517531012"/>
      <w:bookmarkStart w:id="6529" w:name="_Toc14461"/>
      <w:bookmarkStart w:id="6530" w:name="_Toc15824"/>
      <w:bookmarkStart w:id="6531" w:name="_Toc517532288"/>
      <w:bookmarkStart w:id="6532" w:name="_Toc29859"/>
      <w:bookmarkStart w:id="6533" w:name="_Toc2136"/>
      <w:bookmarkStart w:id="6534" w:name="_Toc976"/>
      <w:r>
        <w:rPr>
          <w:rFonts w:hint="eastAsia" w:ascii="宋体" w:hAnsi="宋体" w:cs="宋体"/>
          <w:b/>
          <w:bCs/>
          <w:color w:val="auto"/>
          <w:sz w:val="24"/>
          <w:szCs w:val="24"/>
          <w:highlight w:val="none"/>
        </w:rPr>
        <w:t>（3）承包人自行运输或分包</w:t>
      </w:r>
      <w:bookmarkEnd w:id="6525"/>
      <w:bookmarkEnd w:id="6526"/>
      <w:bookmarkEnd w:id="6527"/>
      <w:bookmarkEnd w:id="6528"/>
      <w:bookmarkEnd w:id="6529"/>
      <w:bookmarkEnd w:id="6530"/>
      <w:bookmarkEnd w:id="6531"/>
      <w:bookmarkEnd w:id="6532"/>
      <w:bookmarkEnd w:id="6533"/>
      <w:bookmarkEnd w:id="653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若承包人具备本条第（2）款规定的前两项证件，可自行组织完成本合同约定的余泥渣土运输任务。若承包人不具备本条第（2）款第一项证件要求，经发包人同意，承包人应将余泥渣土运输任务分包给符合本条第（2）款条前两项证件要求的专业运输单位。并且，承包人应将余泥渣土运输分包合同及其他相关资料送发包人和监理人审核。此审核并不免除承包人应承担的本合同义务。</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承包人必须使用“新型泥头车” 进行土石方运输。“新型泥头车”是指符合《全密闭式智能重型自卸车技术规范（SZDB/Z284-2017）》的国V柴油发动机配装DPF、LNG或纯电动的泥头车为新型全密闭式智能泥头车。</w:t>
      </w:r>
    </w:p>
    <w:p>
      <w:pPr>
        <w:keepNext/>
        <w:keepLines/>
        <w:spacing w:before="156" w:beforeLines="50" w:after="156" w:afterLines="50" w:line="360" w:lineRule="auto"/>
        <w:ind w:firstLine="728" w:firstLineChars="302"/>
        <w:outlineLvl w:val="4"/>
        <w:rPr>
          <w:rFonts w:hint="eastAsia" w:ascii="宋体" w:hAnsi="宋体" w:cs="宋体"/>
          <w:b/>
          <w:bCs/>
          <w:color w:val="auto"/>
          <w:sz w:val="24"/>
          <w:szCs w:val="24"/>
          <w:highlight w:val="none"/>
        </w:rPr>
      </w:pPr>
      <w:bookmarkStart w:id="6535" w:name="_Toc24253"/>
      <w:bookmarkStart w:id="6536" w:name="_Toc517532289"/>
      <w:bookmarkStart w:id="6537" w:name="_Toc7422"/>
      <w:bookmarkStart w:id="6538" w:name="_Toc29313"/>
      <w:bookmarkStart w:id="6539" w:name="_Toc18722"/>
      <w:bookmarkStart w:id="6540" w:name="_Toc10737"/>
      <w:bookmarkStart w:id="6541" w:name="_Toc30447"/>
      <w:bookmarkStart w:id="6542" w:name="_Toc21754"/>
      <w:bookmarkStart w:id="6543" w:name="_Toc5440"/>
      <w:bookmarkStart w:id="6544" w:name="_Toc517531013"/>
      <w:r>
        <w:rPr>
          <w:rFonts w:hint="eastAsia" w:ascii="宋体" w:hAnsi="宋体" w:cs="宋体"/>
          <w:b/>
          <w:bCs/>
          <w:color w:val="auto"/>
          <w:sz w:val="24"/>
          <w:szCs w:val="24"/>
          <w:highlight w:val="none"/>
        </w:rPr>
        <w:t>（4）承包人违约</w:t>
      </w:r>
      <w:bookmarkEnd w:id="6535"/>
      <w:bookmarkEnd w:id="6536"/>
      <w:bookmarkEnd w:id="6537"/>
      <w:bookmarkEnd w:id="6538"/>
      <w:bookmarkEnd w:id="6539"/>
      <w:bookmarkEnd w:id="6540"/>
      <w:bookmarkEnd w:id="6541"/>
      <w:bookmarkEnd w:id="6542"/>
      <w:bookmarkEnd w:id="6543"/>
      <w:bookmarkEnd w:id="654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若承包人不具备本条第（2）款规定的第一项证件而自行承担余泥渣土运输任务，应承担违约责任。若承包人将余泥渣土运输任务分包给不符合本条第（2）款规定的第一项证件要求的专业运输单位，亦将承担违约责任，向发包人支付</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万元违约金。</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同时，对上述两种违约行为导致的工期延误和（或）招致费用增加，承包人责任自担。</w:t>
      </w:r>
    </w:p>
    <w:p>
      <w:pPr>
        <w:keepNext/>
        <w:keepLines/>
        <w:spacing w:before="156" w:beforeLines="50" w:after="156" w:afterLines="50" w:line="360" w:lineRule="auto"/>
        <w:ind w:firstLine="728" w:firstLineChars="302"/>
        <w:outlineLvl w:val="4"/>
        <w:rPr>
          <w:rFonts w:hint="eastAsia" w:ascii="宋体" w:hAnsi="宋体" w:cs="宋体"/>
          <w:b/>
          <w:bCs/>
          <w:color w:val="auto"/>
          <w:sz w:val="24"/>
          <w:szCs w:val="24"/>
          <w:highlight w:val="none"/>
        </w:rPr>
      </w:pPr>
      <w:bookmarkStart w:id="6545" w:name="_Toc517531014"/>
      <w:bookmarkStart w:id="6546" w:name="_Toc86"/>
      <w:bookmarkStart w:id="6547" w:name="_Toc517532290"/>
      <w:bookmarkStart w:id="6548" w:name="_Toc8995"/>
      <w:bookmarkStart w:id="6549" w:name="_Toc26828"/>
      <w:bookmarkStart w:id="6550" w:name="_Toc26177"/>
      <w:bookmarkStart w:id="6551" w:name="_Toc27593"/>
      <w:bookmarkStart w:id="6552" w:name="_Toc4266"/>
      <w:bookmarkStart w:id="6553" w:name="_Toc8293"/>
      <w:bookmarkStart w:id="6554" w:name="_Toc28294"/>
      <w:r>
        <w:rPr>
          <w:rFonts w:hint="eastAsia" w:ascii="宋体" w:hAnsi="宋体" w:cs="宋体"/>
          <w:b/>
          <w:bCs/>
          <w:color w:val="auto"/>
          <w:sz w:val="24"/>
          <w:szCs w:val="24"/>
          <w:highlight w:val="none"/>
        </w:rPr>
        <w:t>（5）车辆与人员要求</w:t>
      </w:r>
      <w:bookmarkEnd w:id="6545"/>
      <w:bookmarkEnd w:id="6546"/>
      <w:bookmarkEnd w:id="6547"/>
      <w:bookmarkEnd w:id="6548"/>
      <w:bookmarkEnd w:id="6549"/>
      <w:bookmarkEnd w:id="6550"/>
      <w:bookmarkEnd w:id="6551"/>
      <w:bookmarkEnd w:id="6552"/>
      <w:bookmarkEnd w:id="6553"/>
      <w:bookmarkEnd w:id="655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担本工程余泥渣土运输任务的车辆证件应当符合本条第（2）款规定的证件要求。车辆应为符合《常用重型货车（泥头车）数据信息对照表》外形数据的重型车辆。在承包人具备营运资格时，其安排的余泥渣土运输车辆的专职司机姓名和对应车牌号码，由承包人在实施前报发包人备案。</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在承包人不具备营运资格时，承包人和车辆运输分包人应在余泥渣土运输分包合同中明确承担合同约定余泥渣土运输任务的余泥渣土运输车辆和专职司机。</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对上述情形，如需改变已提交的车辆和专职司机名单，承包人或车辆运输分包人应在确定改变前7日将拟改变的名单提交发包人或承包人审核确认。</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若承包人违反上述规定，应承担违约责任；承包人向发包人支付</w:t>
      </w:r>
      <w:r>
        <w:rPr>
          <w:rFonts w:hint="eastAsia" w:ascii="宋体" w:hAnsi="宋体" w:cs="宋体"/>
          <w:color w:val="auto"/>
          <w:szCs w:val="21"/>
          <w:highlight w:val="none"/>
          <w:u w:val="single"/>
        </w:rPr>
        <w:t>5000</w:t>
      </w:r>
      <w:r>
        <w:rPr>
          <w:rFonts w:hint="eastAsia" w:ascii="宋体" w:hAnsi="宋体" w:cs="宋体"/>
          <w:color w:val="auto"/>
          <w:szCs w:val="21"/>
          <w:highlight w:val="none"/>
        </w:rPr>
        <w:t>元/车·次的违约金。</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对于车辆运输分包人违反上述规定，承包人亦应在运输分包合同中约定此违约责任。</w:t>
      </w:r>
    </w:p>
    <w:p>
      <w:pPr>
        <w:keepNext/>
        <w:keepLines/>
        <w:spacing w:before="156" w:beforeLines="50" w:after="156" w:afterLines="50" w:line="360" w:lineRule="auto"/>
        <w:ind w:firstLine="728" w:firstLineChars="302"/>
        <w:outlineLvl w:val="4"/>
        <w:rPr>
          <w:rFonts w:hint="eastAsia" w:ascii="宋体" w:hAnsi="宋体" w:cs="宋体"/>
          <w:b/>
          <w:bCs/>
          <w:color w:val="auto"/>
          <w:sz w:val="24"/>
          <w:szCs w:val="24"/>
          <w:highlight w:val="none"/>
        </w:rPr>
      </w:pPr>
      <w:bookmarkStart w:id="6555" w:name="_Toc517532291"/>
      <w:bookmarkStart w:id="6556" w:name="_Toc28722"/>
      <w:bookmarkStart w:id="6557" w:name="_Toc17756"/>
      <w:bookmarkStart w:id="6558" w:name="_Toc13401"/>
      <w:bookmarkStart w:id="6559" w:name="_Toc517531015"/>
      <w:bookmarkStart w:id="6560" w:name="_Toc4719"/>
      <w:bookmarkStart w:id="6561" w:name="_Toc20056"/>
      <w:bookmarkStart w:id="6562" w:name="_Toc31748"/>
      <w:bookmarkStart w:id="6563" w:name="_Toc9442"/>
      <w:bookmarkStart w:id="6564" w:name="_Toc31305"/>
      <w:r>
        <w:rPr>
          <w:rFonts w:hint="eastAsia" w:ascii="宋体" w:hAnsi="宋体" w:cs="宋体"/>
          <w:b/>
          <w:bCs/>
          <w:color w:val="auto"/>
          <w:sz w:val="24"/>
          <w:szCs w:val="24"/>
          <w:highlight w:val="none"/>
        </w:rPr>
        <w:t>（6）专职检查</w:t>
      </w:r>
      <w:bookmarkEnd w:id="6555"/>
      <w:bookmarkEnd w:id="6556"/>
      <w:bookmarkEnd w:id="6557"/>
      <w:bookmarkEnd w:id="6558"/>
      <w:bookmarkEnd w:id="6559"/>
      <w:bookmarkEnd w:id="6560"/>
      <w:bookmarkEnd w:id="6561"/>
      <w:bookmarkEnd w:id="6562"/>
      <w:bookmarkEnd w:id="6563"/>
      <w:bookmarkEnd w:id="656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安排专职检查人员对余泥渣土运输车辆和专职司机依合同约定的内容进行检查。对违反合同约定的检查结果，承包人应责令相关方限期整改。整改期间，整改所涉余泥渣土运输车辆不得承担本工程约定的运输任务。承包人安排的专职检查人员和检查内容，由承包人在实施前报发包人备案。</w:t>
      </w:r>
    </w:p>
    <w:p>
      <w:pPr>
        <w:keepNext/>
        <w:keepLines/>
        <w:spacing w:before="156" w:beforeLines="50" w:after="156" w:afterLines="50" w:line="360" w:lineRule="auto"/>
        <w:ind w:firstLine="728" w:firstLineChars="302"/>
        <w:outlineLvl w:val="4"/>
        <w:rPr>
          <w:rFonts w:hint="eastAsia" w:ascii="宋体" w:hAnsi="宋体" w:cs="宋体"/>
          <w:b/>
          <w:bCs/>
          <w:color w:val="auto"/>
          <w:sz w:val="24"/>
          <w:szCs w:val="24"/>
          <w:highlight w:val="none"/>
        </w:rPr>
      </w:pPr>
      <w:bookmarkStart w:id="6565" w:name="_Toc29195"/>
      <w:bookmarkStart w:id="6566" w:name="_Toc9340"/>
      <w:bookmarkStart w:id="6567" w:name="_Toc517532292"/>
      <w:bookmarkStart w:id="6568" w:name="_Toc30965"/>
      <w:bookmarkStart w:id="6569" w:name="_Toc11675"/>
      <w:bookmarkStart w:id="6570" w:name="_Toc27162"/>
      <w:bookmarkStart w:id="6571" w:name="_Toc517531016"/>
      <w:bookmarkStart w:id="6572" w:name="_Toc1477"/>
      <w:bookmarkStart w:id="6573" w:name="_Toc12269"/>
      <w:bookmarkStart w:id="6574" w:name="_Toc3000"/>
      <w:r>
        <w:rPr>
          <w:rFonts w:hint="eastAsia" w:ascii="宋体" w:hAnsi="宋体" w:cs="宋体"/>
          <w:b/>
          <w:bCs/>
          <w:color w:val="auto"/>
          <w:sz w:val="24"/>
          <w:szCs w:val="24"/>
          <w:highlight w:val="none"/>
        </w:rPr>
        <w:t>（7）安全文明运输</w:t>
      </w:r>
      <w:bookmarkEnd w:id="6565"/>
      <w:bookmarkEnd w:id="6566"/>
      <w:bookmarkEnd w:id="6567"/>
      <w:bookmarkEnd w:id="6568"/>
      <w:bookmarkEnd w:id="6569"/>
      <w:bookmarkEnd w:id="6570"/>
      <w:bookmarkEnd w:id="6571"/>
      <w:bookmarkEnd w:id="6572"/>
      <w:bookmarkEnd w:id="6573"/>
      <w:bookmarkEnd w:id="657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对余泥渣土运输车辆在离开施工现场前核查是否存在超载、车盖密封不严等违反城市道路管理、环境保护等相关规定及安全隐患的问题。如发现上述问题，承包人应指派本合同本条第（6）款指定的专职检查人员责令相关方采取纠正措施至符合相关规定和（或）合同约定。对存在问题拒不纠正或纠正仍不符合相关规定和（或）合同约定的，该专职检查人员不得放行其离开施工现场，并立即通知项目经理和余泥渣土运输分包人（如有）。</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若承包人对本款发现的问题拒不履行合同义务，承包人向发包人支付违约金</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万元。</w:t>
      </w:r>
    </w:p>
    <w:p>
      <w:pPr>
        <w:keepNext/>
        <w:keepLines/>
        <w:spacing w:before="156" w:beforeLines="50" w:after="156" w:afterLines="50" w:line="360" w:lineRule="auto"/>
        <w:ind w:firstLine="728" w:firstLineChars="302"/>
        <w:outlineLvl w:val="4"/>
        <w:rPr>
          <w:rFonts w:hint="eastAsia" w:ascii="宋体" w:hAnsi="宋体" w:cs="宋体"/>
          <w:b/>
          <w:bCs/>
          <w:color w:val="auto"/>
          <w:sz w:val="24"/>
          <w:szCs w:val="24"/>
          <w:highlight w:val="none"/>
        </w:rPr>
      </w:pPr>
      <w:bookmarkStart w:id="6575" w:name="_Toc517532293"/>
      <w:bookmarkStart w:id="6576" w:name="_Toc17094"/>
      <w:bookmarkStart w:id="6577" w:name="_Toc10960"/>
      <w:bookmarkStart w:id="6578" w:name="_Toc7534"/>
      <w:bookmarkStart w:id="6579" w:name="_Toc16168"/>
      <w:bookmarkStart w:id="6580" w:name="_Toc517531017"/>
      <w:bookmarkStart w:id="6581" w:name="_Toc28053"/>
      <w:bookmarkStart w:id="6582" w:name="_Toc3952"/>
      <w:bookmarkStart w:id="6583" w:name="_Toc21686"/>
      <w:bookmarkStart w:id="6584" w:name="_Toc24055"/>
      <w:r>
        <w:rPr>
          <w:rFonts w:hint="eastAsia" w:ascii="宋体" w:hAnsi="宋体" w:cs="宋体"/>
          <w:b/>
          <w:bCs/>
          <w:color w:val="auto"/>
          <w:sz w:val="24"/>
          <w:szCs w:val="24"/>
          <w:highlight w:val="none"/>
        </w:rPr>
        <w:t>（8）检查纠正责任</w:t>
      </w:r>
      <w:bookmarkEnd w:id="6575"/>
      <w:bookmarkEnd w:id="6576"/>
      <w:bookmarkEnd w:id="6577"/>
      <w:bookmarkEnd w:id="6578"/>
      <w:bookmarkEnd w:id="6579"/>
      <w:bookmarkEnd w:id="6580"/>
      <w:bookmarkEnd w:id="6581"/>
      <w:bookmarkEnd w:id="6582"/>
      <w:bookmarkEnd w:id="6583"/>
      <w:bookmarkEnd w:id="658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承包人应对本条第（6）款和第（7）款约定的检查纠正工作制定专项工作程序，并监督和督促专职检查人员认真履行合同约定的职责。此项监督和督促并不免除承包人应承担的本合同义务。</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若承包人指定的专职检查人员违反合同约定的检查纠正职责，承包人向发包人支付违约金</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万元。</w:t>
      </w:r>
    </w:p>
    <w:p>
      <w:pPr>
        <w:keepNext/>
        <w:keepLines/>
        <w:spacing w:before="156" w:beforeLines="50" w:after="156" w:afterLines="50" w:line="360" w:lineRule="auto"/>
        <w:ind w:firstLine="728" w:firstLineChars="302"/>
        <w:outlineLvl w:val="4"/>
        <w:rPr>
          <w:rFonts w:hint="eastAsia" w:ascii="宋体" w:hAnsi="宋体" w:cs="宋体"/>
          <w:b/>
          <w:bCs/>
          <w:color w:val="auto"/>
          <w:sz w:val="24"/>
          <w:szCs w:val="24"/>
          <w:highlight w:val="none"/>
        </w:rPr>
      </w:pPr>
      <w:bookmarkStart w:id="6585" w:name="_Toc10103"/>
      <w:bookmarkStart w:id="6586" w:name="_Toc464"/>
      <w:bookmarkStart w:id="6587" w:name="_Toc517531018"/>
      <w:bookmarkStart w:id="6588" w:name="_Toc21421"/>
      <w:bookmarkStart w:id="6589" w:name="_Toc11043"/>
      <w:bookmarkStart w:id="6590" w:name="_Toc7805"/>
      <w:bookmarkStart w:id="6591" w:name="_Toc2955"/>
      <w:bookmarkStart w:id="6592" w:name="_Toc517532294"/>
      <w:bookmarkStart w:id="6593" w:name="_Toc30821"/>
      <w:bookmarkStart w:id="6594" w:name="_Toc27754"/>
      <w:r>
        <w:rPr>
          <w:rFonts w:hint="eastAsia" w:ascii="宋体" w:hAnsi="宋体" w:cs="宋体"/>
          <w:b/>
          <w:bCs/>
          <w:color w:val="auto"/>
          <w:sz w:val="24"/>
          <w:szCs w:val="24"/>
          <w:highlight w:val="none"/>
        </w:rPr>
        <w:t>（9）车辆保险</w:t>
      </w:r>
      <w:bookmarkEnd w:id="6585"/>
      <w:bookmarkEnd w:id="6586"/>
      <w:bookmarkEnd w:id="6587"/>
      <w:bookmarkEnd w:id="6588"/>
      <w:bookmarkEnd w:id="6589"/>
      <w:bookmarkEnd w:id="6590"/>
      <w:bookmarkEnd w:id="6591"/>
      <w:bookmarkEnd w:id="6592"/>
      <w:bookmarkEnd w:id="6593"/>
      <w:bookmarkEnd w:id="659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6.3.3条所述的承担工程余泥渣土运输任务的车辆应当向有关保险公司投保，并取得车辆保险单。如因未投保的余泥渣土运输车辆造成第三人财产损失和（或）人身伤亡，余泥渣土运输车辆所属专业运输单位应承担连带责任。</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基于本条第（3）款的约定，承包人和车辆运输分包人应在余泥渣土运输分包合同中明确本条所述的连带责任。</w:t>
      </w:r>
    </w:p>
    <w:p>
      <w:pPr>
        <w:keepNext/>
        <w:keepLines/>
        <w:spacing w:before="156" w:beforeLines="50" w:after="156" w:afterLines="50" w:line="360" w:lineRule="auto"/>
        <w:ind w:firstLine="728" w:firstLineChars="302"/>
        <w:outlineLvl w:val="4"/>
        <w:rPr>
          <w:rFonts w:hint="eastAsia" w:ascii="宋体" w:hAnsi="宋体" w:cs="宋体"/>
          <w:b/>
          <w:bCs/>
          <w:color w:val="auto"/>
          <w:sz w:val="24"/>
          <w:szCs w:val="24"/>
          <w:highlight w:val="none"/>
        </w:rPr>
      </w:pPr>
      <w:bookmarkStart w:id="6595" w:name="_Toc20878"/>
      <w:bookmarkStart w:id="6596" w:name="_Toc517532295"/>
      <w:bookmarkStart w:id="6597" w:name="_Toc25396"/>
      <w:bookmarkStart w:id="6598" w:name="_Toc14109"/>
      <w:bookmarkStart w:id="6599" w:name="_Toc517531019"/>
      <w:bookmarkStart w:id="6600" w:name="_Toc6661"/>
      <w:bookmarkStart w:id="6601" w:name="_Toc31152"/>
      <w:bookmarkStart w:id="6602" w:name="_Toc9493"/>
      <w:bookmarkStart w:id="6603" w:name="_Toc2118"/>
      <w:bookmarkStart w:id="6604" w:name="_Toc13370"/>
      <w:r>
        <w:rPr>
          <w:rFonts w:hint="eastAsia" w:ascii="宋体" w:hAnsi="宋体" w:cs="宋体"/>
          <w:b/>
          <w:bCs/>
          <w:color w:val="auto"/>
          <w:sz w:val="24"/>
          <w:szCs w:val="24"/>
          <w:highlight w:val="none"/>
        </w:rPr>
        <w:t>（10）进一步处罚措施</w:t>
      </w:r>
      <w:bookmarkEnd w:id="6595"/>
      <w:bookmarkEnd w:id="6596"/>
      <w:bookmarkEnd w:id="6597"/>
      <w:bookmarkEnd w:id="6598"/>
      <w:bookmarkEnd w:id="6599"/>
      <w:bookmarkEnd w:id="6600"/>
      <w:bookmarkEnd w:id="6601"/>
      <w:bookmarkEnd w:id="6602"/>
      <w:bookmarkEnd w:id="6603"/>
      <w:bookmarkEnd w:id="660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若承包人因违反上述泥头车雇用及运输管理规定给发包人造成损失，除按照上述规定支付违约金外还应向发包人赔偿包括但不限于损害赔偿金、违约金、诉讼费、仲裁费、律师费等损失，情形严重的，除上述处罚外，发包人有权解除本工程施工合同，并拒绝其在发包人负责建设的项目中投标。</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6605" w:name="_Toc465237253"/>
      <w:bookmarkStart w:id="6606" w:name="_Toc6401"/>
      <w:bookmarkStart w:id="6607" w:name="_Toc18019"/>
      <w:bookmarkStart w:id="6608" w:name="_Toc31879"/>
      <w:bookmarkStart w:id="6609" w:name="_Toc28657"/>
      <w:bookmarkStart w:id="6610" w:name="_Toc517531020"/>
      <w:bookmarkStart w:id="6611" w:name="_Toc4099"/>
      <w:bookmarkStart w:id="6612" w:name="_Toc6255"/>
      <w:bookmarkStart w:id="6613" w:name="_Toc517528792"/>
      <w:bookmarkStart w:id="6614" w:name="_Toc15238"/>
      <w:bookmarkStart w:id="6615" w:name="_Toc25223"/>
      <w:bookmarkStart w:id="6616" w:name="_Toc517532296"/>
      <w:bookmarkStart w:id="6617" w:name="_Toc517529762"/>
      <w:bookmarkStart w:id="6618" w:name="_Toc29006"/>
      <w:bookmarkStart w:id="6619" w:name="_Toc22470"/>
      <w:bookmarkStart w:id="6620" w:name="_Toc25389"/>
      <w:bookmarkStart w:id="6621" w:name="_Toc465237151"/>
      <w:bookmarkStart w:id="6622" w:name="_Toc13213"/>
      <w:bookmarkStart w:id="6623" w:name="_Toc25535"/>
      <w:bookmarkStart w:id="6624" w:name="_Toc22709"/>
      <w:bookmarkStart w:id="6625" w:name="_Toc16163"/>
      <w:bookmarkStart w:id="6626" w:name="_Toc9602"/>
      <w:bookmarkStart w:id="6627" w:name="_Toc351203639"/>
      <w:bookmarkStart w:id="6628" w:name="_Toc3556"/>
      <w:bookmarkStart w:id="6629" w:name="_Toc10482"/>
      <w:r>
        <w:rPr>
          <w:rFonts w:hint="eastAsia" w:ascii="宋体" w:hAnsi="宋体" w:cs="宋体"/>
          <w:b/>
          <w:bCs/>
          <w:color w:val="auto"/>
          <w:sz w:val="30"/>
          <w:szCs w:val="30"/>
          <w:highlight w:val="none"/>
        </w:rPr>
        <w:t>7. 工期和进度</w:t>
      </w:r>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630" w:name="_Toc29162"/>
      <w:bookmarkStart w:id="6631" w:name="_Toc8243"/>
      <w:bookmarkStart w:id="6632" w:name="_Toc517531021"/>
      <w:bookmarkStart w:id="6633" w:name="_Toc1065"/>
      <w:bookmarkStart w:id="6634" w:name="_Toc22223"/>
      <w:bookmarkStart w:id="6635" w:name="_Toc26563"/>
      <w:bookmarkStart w:id="6636" w:name="_Toc15074"/>
      <w:bookmarkStart w:id="6637" w:name="_Toc15407"/>
      <w:bookmarkStart w:id="6638" w:name="_Toc465237152"/>
      <w:bookmarkStart w:id="6639" w:name="_Toc20257"/>
      <w:bookmarkStart w:id="6640" w:name="_Toc517532297"/>
      <w:bookmarkStart w:id="6641" w:name="_Toc14627"/>
      <w:bookmarkStart w:id="6642" w:name="_Toc4814"/>
      <w:bookmarkStart w:id="6643" w:name="_Toc30073"/>
      <w:bookmarkStart w:id="6644" w:name="_Toc17822"/>
      <w:bookmarkStart w:id="6645" w:name="_Toc1510"/>
      <w:bookmarkStart w:id="6646" w:name="_Toc4664"/>
      <w:bookmarkStart w:id="6647" w:name="_Toc13740"/>
      <w:bookmarkStart w:id="6648" w:name="_Toc517528793"/>
      <w:bookmarkStart w:id="6649" w:name="_Toc10757"/>
      <w:bookmarkStart w:id="6650" w:name="_Toc465237254"/>
      <w:bookmarkStart w:id="6651" w:name="_Toc9649"/>
      <w:bookmarkStart w:id="6652" w:name="_Toc11285"/>
      <w:r>
        <w:rPr>
          <w:rFonts w:hint="eastAsia" w:ascii="宋体" w:hAnsi="宋体" w:cs="宋体"/>
          <w:b/>
          <w:bCs/>
          <w:color w:val="auto"/>
          <w:sz w:val="28"/>
          <w:szCs w:val="28"/>
          <w:highlight w:val="none"/>
        </w:rPr>
        <w:t>7.6工期延误</w:t>
      </w:r>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653" w:name="_Toc11561"/>
      <w:bookmarkStart w:id="6654" w:name="_Toc15289"/>
      <w:bookmarkStart w:id="6655" w:name="_Toc31129"/>
      <w:bookmarkStart w:id="6656" w:name="_Toc1992"/>
      <w:bookmarkStart w:id="6657" w:name="_Toc6876"/>
      <w:bookmarkStart w:id="6658" w:name="_Toc26773"/>
      <w:bookmarkStart w:id="6659" w:name="_Toc4896"/>
      <w:bookmarkStart w:id="6660" w:name="_Toc9697"/>
      <w:bookmarkStart w:id="6661" w:name="_Toc32764"/>
      <w:bookmarkStart w:id="6662" w:name="_Toc24287"/>
      <w:bookmarkStart w:id="6663" w:name="_Toc15862"/>
      <w:bookmarkStart w:id="6664" w:name="_Toc517532298"/>
      <w:bookmarkStart w:id="6665" w:name="_Toc25969"/>
      <w:bookmarkStart w:id="6666" w:name="_Toc31200"/>
      <w:bookmarkStart w:id="6667" w:name="_Toc23508"/>
      <w:bookmarkStart w:id="6668" w:name="_Toc517531022"/>
      <w:bookmarkStart w:id="6669" w:name="_Toc21026"/>
      <w:bookmarkStart w:id="6670" w:name="_Toc8681"/>
      <w:bookmarkStart w:id="6671" w:name="_Toc25956"/>
      <w:bookmarkStart w:id="6672" w:name="_Toc29226"/>
      <w:r>
        <w:rPr>
          <w:rFonts w:ascii="宋体" w:hAnsi="宋体"/>
          <w:bCs/>
          <w:color w:val="auto"/>
          <w:sz w:val="20"/>
          <w:szCs w:val="20"/>
          <w:highlight w:val="none"/>
        </w:rPr>
        <w:object>
          <v:shape id="_x0000_i1100" o:spt="201" type="#_x0000_t201" style="height:18pt;width:12.6pt;" o:ole="t" filled="f" o:preferrelative="t" stroked="f" coordsize="21600,21600">
            <v:path/>
            <v:fill on="f" focussize="0,0"/>
            <v:stroke on="f"/>
            <v:imagedata r:id="rId107" o:title=""/>
            <o:lock v:ext="edit" aspectratio="t"/>
            <w10:wrap type="none"/>
            <w10:anchorlock/>
          </v:shape>
          <w:control r:id="rId106" w:name="CheckBox1303" w:shapeid="_x0000_i1100"/>
        </w:object>
      </w:r>
      <w:r>
        <w:rPr>
          <w:rFonts w:hint="eastAsia" w:ascii="宋体" w:hAnsi="宋体" w:cs="宋体"/>
          <w:b/>
          <w:bCs/>
          <w:color w:val="auto"/>
          <w:sz w:val="24"/>
          <w:szCs w:val="24"/>
          <w:highlight w:val="none"/>
        </w:rPr>
        <w:t>7.6.1</w:t>
      </w:r>
      <w:bookmarkEnd w:id="6653"/>
      <w:bookmarkEnd w:id="6654"/>
      <w:bookmarkEnd w:id="6655"/>
      <w:bookmarkEnd w:id="6656"/>
      <w:bookmarkEnd w:id="6657"/>
      <w:bookmarkEnd w:id="6658"/>
      <w:bookmarkEnd w:id="6659"/>
      <w:bookmarkEnd w:id="6660"/>
      <w:bookmarkEnd w:id="6661"/>
      <w:r>
        <w:rPr>
          <w:rFonts w:hint="eastAsia" w:ascii="宋体" w:hAnsi="宋体" w:cs="宋体"/>
          <w:b/>
          <w:bCs/>
          <w:color w:val="auto"/>
          <w:sz w:val="24"/>
          <w:szCs w:val="24"/>
          <w:highlight w:val="none"/>
        </w:rPr>
        <w:t>工期的延长</w:t>
      </w:r>
      <w:bookmarkEnd w:id="6662"/>
      <w:bookmarkEnd w:id="6663"/>
      <w:bookmarkEnd w:id="6664"/>
      <w:bookmarkEnd w:id="6665"/>
      <w:bookmarkEnd w:id="6666"/>
      <w:bookmarkEnd w:id="6667"/>
      <w:bookmarkEnd w:id="6668"/>
      <w:bookmarkEnd w:id="6669"/>
      <w:bookmarkEnd w:id="6670"/>
      <w:bookmarkEnd w:id="6671"/>
      <w:bookmarkEnd w:id="6672"/>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承包人在基础开挖中，发现实际地质情况与有关地质报告严重不符造成施工难度增加的，承包人可提出延长工期的申请，经监理人、发包人批准同意后可延长工期。</w:t>
      </w:r>
    </w:p>
    <w:p>
      <w:pPr>
        <w:adjustRightInd w:val="0"/>
        <w:snapToGrid w:val="0"/>
        <w:spacing w:line="360" w:lineRule="auto"/>
        <w:ind w:firstLine="420" w:firstLineChars="200"/>
        <w:jc w:val="left"/>
        <w:rPr>
          <w:rFonts w:hint="eastAsia" w:ascii="宋体" w:hAnsi="宋体" w:cs="宋体"/>
          <w:bCs/>
          <w:color w:val="auto"/>
          <w:szCs w:val="21"/>
          <w:highlight w:val="none"/>
          <w:u w:val="single"/>
        </w:rPr>
      </w:pPr>
      <w:r>
        <w:rPr>
          <w:rFonts w:hint="eastAsia" w:ascii="宋体" w:hAnsi="宋体" w:cs="宋体"/>
          <w:bCs/>
          <w:color w:val="auto"/>
          <w:szCs w:val="21"/>
          <w:highlight w:val="none"/>
        </w:rPr>
        <w:t>合同双方关于工期延长的约定：</w:t>
      </w:r>
      <w:r>
        <w:rPr>
          <w:rFonts w:hint="eastAsia" w:ascii="宋体" w:hAnsi="宋体" w:cs="宋体"/>
          <w:bCs/>
          <w:color w:val="auto"/>
          <w:szCs w:val="21"/>
          <w:highlight w:val="none"/>
          <w:u w:val="single"/>
        </w:rPr>
        <w:t xml:space="preserve">                                        。</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6673" w:name="_Toc32072"/>
      <w:bookmarkStart w:id="6674" w:name="_Toc517529763"/>
      <w:bookmarkStart w:id="6675" w:name="_Toc28415"/>
      <w:bookmarkStart w:id="6676" w:name="_Toc517528794"/>
      <w:bookmarkStart w:id="6677" w:name="_Toc22104"/>
      <w:bookmarkStart w:id="6678" w:name="_Toc24909"/>
      <w:bookmarkStart w:id="6679" w:name="_Toc14273"/>
      <w:bookmarkStart w:id="6680" w:name="_Toc465237255"/>
      <w:bookmarkStart w:id="6681" w:name="_Toc24631"/>
      <w:bookmarkStart w:id="6682" w:name="_Toc7133"/>
      <w:bookmarkStart w:id="6683" w:name="_Toc9316"/>
      <w:bookmarkStart w:id="6684" w:name="_Toc94"/>
      <w:bookmarkStart w:id="6685" w:name="_Toc517532299"/>
      <w:bookmarkStart w:id="6686" w:name="_Toc465237153"/>
      <w:bookmarkStart w:id="6687" w:name="_Toc17003"/>
      <w:bookmarkStart w:id="6688" w:name="_Toc7637"/>
      <w:bookmarkStart w:id="6689" w:name="_Toc351203640"/>
      <w:bookmarkStart w:id="6690" w:name="_Toc845"/>
      <w:bookmarkStart w:id="6691" w:name="_Toc25349"/>
      <w:bookmarkStart w:id="6692" w:name="_Toc24871"/>
      <w:bookmarkStart w:id="6693" w:name="_Toc12759"/>
      <w:bookmarkStart w:id="6694" w:name="_Toc517531023"/>
      <w:bookmarkStart w:id="6695" w:name="_Toc6864"/>
      <w:bookmarkStart w:id="6696" w:name="_Toc31547"/>
      <w:bookmarkStart w:id="6697" w:name="_Toc20790"/>
      <w:r>
        <w:rPr>
          <w:rFonts w:hint="eastAsia" w:ascii="宋体" w:hAnsi="宋体" w:cs="宋体"/>
          <w:b/>
          <w:bCs/>
          <w:color w:val="auto"/>
          <w:sz w:val="30"/>
          <w:szCs w:val="30"/>
          <w:highlight w:val="none"/>
        </w:rPr>
        <w:t>8. 材料与设备</w:t>
      </w:r>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698" w:name="_Toc4766"/>
      <w:bookmarkStart w:id="6699" w:name="_Toc15872"/>
      <w:bookmarkStart w:id="6700" w:name="_Toc517528795"/>
      <w:bookmarkStart w:id="6701" w:name="_Toc13257"/>
      <w:bookmarkStart w:id="6702" w:name="_Toc19623"/>
      <w:bookmarkStart w:id="6703" w:name="_Toc8122"/>
      <w:bookmarkStart w:id="6704" w:name="_Toc25408"/>
      <w:bookmarkStart w:id="6705" w:name="_Toc517531024"/>
      <w:bookmarkStart w:id="6706" w:name="_Toc24015"/>
      <w:bookmarkStart w:id="6707" w:name="_Toc16518"/>
      <w:bookmarkStart w:id="6708" w:name="_Toc949"/>
      <w:bookmarkStart w:id="6709" w:name="_Toc27962"/>
      <w:bookmarkStart w:id="6710" w:name="_Toc465237154"/>
      <w:bookmarkStart w:id="6711" w:name="_Toc1242"/>
      <w:bookmarkStart w:id="6712" w:name="_Toc517532300"/>
      <w:bookmarkStart w:id="6713" w:name="_Toc17711"/>
      <w:bookmarkStart w:id="6714" w:name="_Toc19875"/>
      <w:bookmarkStart w:id="6715" w:name="_Toc26696"/>
      <w:bookmarkStart w:id="6716" w:name="_Toc465237256"/>
      <w:bookmarkStart w:id="6717" w:name="_Toc13073"/>
      <w:bookmarkStart w:id="6718" w:name="_Toc18673"/>
      <w:bookmarkStart w:id="6719" w:name="_Toc28894"/>
      <w:bookmarkStart w:id="6720" w:name="_Toc28806"/>
      <w:r>
        <w:rPr>
          <w:rFonts w:hint="eastAsia" w:ascii="宋体" w:hAnsi="宋体" w:cs="宋体"/>
          <w:b/>
          <w:bCs/>
          <w:color w:val="auto"/>
          <w:sz w:val="28"/>
          <w:szCs w:val="28"/>
          <w:highlight w:val="none"/>
        </w:rPr>
        <w:t>8.1承包人采购或提供材料与工程设备</w:t>
      </w:r>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721" w:name="_Toc23347"/>
      <w:bookmarkStart w:id="6722" w:name="_Toc19727"/>
      <w:bookmarkStart w:id="6723" w:name="_Toc5163"/>
      <w:bookmarkStart w:id="6724" w:name="_Toc17733"/>
      <w:bookmarkStart w:id="6725" w:name="_Toc10628"/>
      <w:bookmarkStart w:id="6726" w:name="_Toc23138"/>
      <w:bookmarkStart w:id="6727" w:name="_Toc10631"/>
      <w:bookmarkStart w:id="6728" w:name="_Toc1039"/>
      <w:bookmarkStart w:id="6729" w:name="_Toc4382"/>
      <w:bookmarkStart w:id="6730" w:name="_Toc3856"/>
      <w:bookmarkStart w:id="6731" w:name="_Toc21631"/>
      <w:bookmarkStart w:id="6732" w:name="_Toc21411"/>
      <w:bookmarkStart w:id="6733" w:name="_Toc27724"/>
      <w:bookmarkStart w:id="6734" w:name="_Toc2073"/>
      <w:bookmarkStart w:id="6735" w:name="_Toc517532301"/>
      <w:bookmarkStart w:id="6736" w:name="_Toc15988"/>
      <w:bookmarkStart w:id="6737" w:name="_Toc10120"/>
      <w:bookmarkStart w:id="6738" w:name="_Toc4790"/>
      <w:bookmarkStart w:id="6739" w:name="_Toc9755"/>
      <w:bookmarkStart w:id="6740" w:name="_Toc517531025"/>
      <w:r>
        <w:rPr>
          <w:rFonts w:ascii="宋体" w:hAnsi="宋体"/>
          <w:bCs/>
          <w:color w:val="auto"/>
          <w:sz w:val="20"/>
          <w:szCs w:val="20"/>
          <w:highlight w:val="none"/>
        </w:rPr>
        <w:object>
          <v:shape id="_x0000_i1101" o:spt="201" type="#_x0000_t201" style="height:18pt;width:12.6pt;" o:ole="t" filled="f" o:preferrelative="t" stroked="f" coordsize="21600,21600">
            <v:path/>
            <v:fill on="f" focussize="0,0"/>
            <v:stroke on="f"/>
            <v:imagedata r:id="rId109" o:title=""/>
            <o:lock v:ext="edit" aspectratio="t"/>
            <w10:wrap type="none"/>
            <w10:anchorlock/>
          </v:shape>
          <w:control r:id="rId108" w:name="CheckBox1304" w:shapeid="_x0000_i1101"/>
        </w:object>
      </w:r>
      <w:r>
        <w:rPr>
          <w:rFonts w:hint="eastAsia" w:ascii="宋体" w:hAnsi="宋体" w:cs="宋体"/>
          <w:b/>
          <w:bCs/>
          <w:color w:val="auto"/>
          <w:sz w:val="24"/>
          <w:szCs w:val="24"/>
          <w:highlight w:val="none"/>
        </w:rPr>
        <w:t>8.1.2</w:t>
      </w:r>
      <w:bookmarkEnd w:id="6721"/>
      <w:bookmarkEnd w:id="6722"/>
      <w:bookmarkEnd w:id="6723"/>
      <w:bookmarkEnd w:id="6724"/>
      <w:bookmarkEnd w:id="6725"/>
      <w:bookmarkEnd w:id="6726"/>
      <w:bookmarkEnd w:id="6727"/>
      <w:bookmarkEnd w:id="6728"/>
      <w:bookmarkEnd w:id="6729"/>
      <w:r>
        <w:rPr>
          <w:rFonts w:hint="eastAsia" w:ascii="宋体" w:hAnsi="宋体" w:cs="宋体"/>
          <w:b/>
          <w:bCs/>
          <w:color w:val="auto"/>
          <w:sz w:val="24"/>
          <w:szCs w:val="24"/>
          <w:highlight w:val="none"/>
        </w:rPr>
        <w:t>材料、设备的品牌</w:t>
      </w:r>
      <w:bookmarkEnd w:id="6730"/>
      <w:bookmarkEnd w:id="6731"/>
      <w:bookmarkEnd w:id="6732"/>
      <w:bookmarkEnd w:id="6733"/>
      <w:bookmarkEnd w:id="6734"/>
      <w:bookmarkEnd w:id="6735"/>
      <w:bookmarkEnd w:id="6736"/>
      <w:bookmarkEnd w:id="6737"/>
      <w:bookmarkEnd w:id="6738"/>
      <w:bookmarkEnd w:id="6739"/>
      <w:bookmarkEnd w:id="6740"/>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合同签订之后 90天内，承包人对工程量清单进行复核，复核结果报监理单位、发包人核对确认。如果承包人不在规定时间内完成复核工作，发包人有权对其记录不良行为，或同时予以当期履约评价不合格的处理。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施工图纸、工程量清单、第7篇技术规范及要求、参考品牌之间的技术规格可能存在差异，在实施过程中按以下原则处理：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①设有参考品牌的设备，生产厂家的定型规格中不能满足施工图纸、工程量清单、技术要求的，经发包人认可后可采用参考品牌生产厂家规格最接近的产品替代，结算时价格不作调整；</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②当施工图纸、第7篇技术规范及要求相矛盾时，在施工选用时优先将确保工程质量作为前提，由发包人确定最终的选用规格；</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③如最终选用材料设备适用现有工程量清单单价，则按现有工程量清单单价进行计价，如没有可适用的工程量清单单价，则按10.3条进行定价。</w:t>
      </w:r>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741" w:name="_Toc8053"/>
      <w:bookmarkStart w:id="6742" w:name="_Toc2832"/>
      <w:bookmarkStart w:id="6743" w:name="_Toc15699"/>
      <w:bookmarkStart w:id="6744" w:name="_Toc2192"/>
      <w:bookmarkStart w:id="6745" w:name="_Toc517532302"/>
      <w:bookmarkStart w:id="6746" w:name="_Toc13348"/>
      <w:bookmarkStart w:id="6747" w:name="_Toc23586"/>
      <w:bookmarkStart w:id="6748" w:name="_Toc6808"/>
      <w:bookmarkStart w:id="6749" w:name="_Toc26351"/>
      <w:bookmarkStart w:id="6750" w:name="_Toc28375"/>
      <w:bookmarkStart w:id="6751" w:name="_Toc15330"/>
      <w:bookmarkStart w:id="6752" w:name="_Toc73"/>
      <w:bookmarkStart w:id="6753" w:name="_Toc22654"/>
      <w:bookmarkStart w:id="6754" w:name="_Toc6097"/>
      <w:bookmarkStart w:id="6755" w:name="_Toc18327"/>
      <w:bookmarkStart w:id="6756" w:name="_Toc19276"/>
      <w:bookmarkStart w:id="6757" w:name="_Toc517531026"/>
      <w:bookmarkStart w:id="6758" w:name="_Toc19984"/>
      <w:bookmarkStart w:id="6759" w:name="_Toc6791"/>
      <w:bookmarkStart w:id="6760" w:name="_Toc14902"/>
      <w:r>
        <w:rPr>
          <w:rFonts w:hint="eastAsia" w:ascii="宋体" w:hAnsi="宋体" w:cs="宋体"/>
          <w:b/>
          <w:bCs/>
          <w:color w:val="auto"/>
          <w:sz w:val="24"/>
          <w:szCs w:val="24"/>
          <w:highlight w:val="none"/>
        </w:rPr>
        <w:t>8.1.5为发包人提供交通设施服务</w:t>
      </w:r>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p>
    <w:p>
      <w:pPr>
        <w:adjustRightInd w:val="0"/>
        <w:snapToGrid w:val="0"/>
        <w:spacing w:line="360" w:lineRule="auto"/>
        <w:ind w:firstLine="570"/>
        <w:jc w:val="left"/>
        <w:rPr>
          <w:rFonts w:hint="eastAsia" w:ascii="宋体" w:hAnsi="宋体" w:cs="宋体"/>
          <w:color w:val="auto"/>
          <w:szCs w:val="21"/>
          <w:highlight w:val="none"/>
          <w:u w:val="single"/>
        </w:rPr>
      </w:pPr>
      <w:r>
        <w:rPr>
          <w:rFonts w:hint="eastAsia" w:ascii="宋体" w:hAnsi="宋体" w:cs="宋体"/>
          <w:color w:val="auto"/>
          <w:szCs w:val="21"/>
          <w:highlight w:val="none"/>
        </w:rPr>
        <w:t>(a)为解决发包人管理人员前往工程现场的交通问题，由承包人提供     部车辆供发包人使用，承包人应在合同签订之日起十五天内将车辆交发包人</w:t>
      </w:r>
      <w:r>
        <w:rPr>
          <w:rFonts w:hint="eastAsia" w:ascii="宋体" w:hAnsi="宋体" w:cs="宋体"/>
          <w:color w:val="auto"/>
          <w:szCs w:val="21"/>
          <w:highlight w:val="none"/>
          <w:u w:val="single"/>
        </w:rPr>
        <w:t>（联系人：          ，电话：        ，地址：                ）。</w:t>
      </w:r>
    </w:p>
    <w:p>
      <w:pPr>
        <w:adjustRightInd w:val="0"/>
        <w:snapToGrid w:val="0"/>
        <w:spacing w:line="360" w:lineRule="auto"/>
        <w:ind w:firstLine="570"/>
        <w:jc w:val="left"/>
        <w:rPr>
          <w:rFonts w:hint="eastAsia" w:ascii="宋体" w:hAnsi="宋体" w:cs="宋体"/>
          <w:color w:val="auto"/>
          <w:szCs w:val="21"/>
          <w:highlight w:val="none"/>
        </w:rPr>
      </w:pPr>
      <w:r>
        <w:rPr>
          <w:rFonts w:hint="eastAsia" w:ascii="宋体" w:hAnsi="宋体" w:cs="宋体"/>
          <w:color w:val="auto"/>
          <w:szCs w:val="21"/>
          <w:highlight w:val="none"/>
        </w:rPr>
        <w:t>车辆使用期限为：合同签订之日起</w:t>
      </w:r>
      <w:r>
        <w:rPr>
          <w:rFonts w:hint="eastAsia" w:ascii="宋体" w:hAnsi="宋体" w:cs="宋体"/>
          <w:color w:val="auto"/>
          <w:szCs w:val="21"/>
          <w:highlight w:val="none"/>
          <w:u w:val="single"/>
        </w:rPr>
        <w:t>15</w:t>
      </w:r>
      <w:r>
        <w:rPr>
          <w:rFonts w:hint="eastAsia" w:ascii="宋体" w:hAnsi="宋体" w:cs="宋体"/>
          <w:color w:val="auto"/>
          <w:szCs w:val="21"/>
          <w:highlight w:val="none"/>
        </w:rPr>
        <w:t>天内起至合同工程竣工结算完成后3个月（最长不超过项目竣工后2年）为止，如整项工程的竣工以分段形式及以分段竣工证书确认，使用期以最后的分段竣工证书日期为准。在使用期限内，车辆所有权归承包人，发包人拥有车辆的使用权并承担保管责任；使用期后，车辆将归还予承包人。</w:t>
      </w:r>
    </w:p>
    <w:p>
      <w:pPr>
        <w:adjustRightInd w:val="0"/>
        <w:snapToGrid w:val="0"/>
        <w:spacing w:line="360" w:lineRule="auto"/>
        <w:ind w:firstLine="570"/>
        <w:jc w:val="left"/>
        <w:rPr>
          <w:rFonts w:hint="eastAsia" w:ascii="宋体" w:hAnsi="宋体" w:cs="宋体"/>
          <w:color w:val="auto"/>
          <w:szCs w:val="21"/>
          <w:highlight w:val="none"/>
        </w:rPr>
      </w:pPr>
      <w:r>
        <w:rPr>
          <w:rFonts w:hint="eastAsia" w:ascii="宋体" w:hAnsi="宋体" w:cs="宋体"/>
          <w:color w:val="auto"/>
          <w:szCs w:val="21"/>
          <w:highlight w:val="none"/>
        </w:rPr>
        <w:t>(b)车辆须符合以下要求：</w:t>
      </w:r>
    </w:p>
    <w:p>
      <w:pPr>
        <w:adjustRightInd w:val="0"/>
        <w:snapToGrid w:val="0"/>
        <w:spacing w:line="360" w:lineRule="auto"/>
        <w:ind w:firstLine="570"/>
        <w:jc w:val="left"/>
        <w:rPr>
          <w:rFonts w:hint="eastAsia" w:ascii="宋体" w:hAnsi="宋体" w:cs="宋体"/>
          <w:color w:val="auto"/>
          <w:szCs w:val="21"/>
          <w:highlight w:val="none"/>
        </w:rPr>
      </w:pPr>
      <w:r>
        <w:rPr>
          <w:rFonts w:hint="eastAsia" w:ascii="宋体" w:hAnsi="宋体" w:cs="宋体"/>
          <w:color w:val="auto"/>
          <w:szCs w:val="21"/>
          <w:highlight w:val="none"/>
        </w:rPr>
        <w:t>越野车，车况良好；</w:t>
      </w:r>
    </w:p>
    <w:p>
      <w:pPr>
        <w:adjustRightInd w:val="0"/>
        <w:snapToGrid w:val="0"/>
        <w:spacing w:line="360" w:lineRule="auto"/>
        <w:ind w:firstLine="570"/>
        <w:jc w:val="left"/>
        <w:rPr>
          <w:rFonts w:hint="eastAsia" w:ascii="宋体" w:hAnsi="宋体" w:cs="宋体"/>
          <w:color w:val="auto"/>
          <w:szCs w:val="21"/>
          <w:highlight w:val="none"/>
        </w:rPr>
      </w:pPr>
      <w:r>
        <w:rPr>
          <w:rFonts w:hint="eastAsia" w:ascii="宋体" w:hAnsi="宋体" w:cs="宋体"/>
          <w:color w:val="auto"/>
          <w:szCs w:val="21"/>
          <w:highlight w:val="none"/>
        </w:rPr>
        <w:t>车身价不低于16万元；</w:t>
      </w:r>
    </w:p>
    <w:p>
      <w:pPr>
        <w:adjustRightInd w:val="0"/>
        <w:snapToGrid w:val="0"/>
        <w:spacing w:line="360" w:lineRule="auto"/>
        <w:ind w:firstLine="570"/>
        <w:jc w:val="left"/>
        <w:rPr>
          <w:rFonts w:hint="eastAsia" w:ascii="宋体" w:hAnsi="宋体" w:cs="宋体"/>
          <w:color w:val="auto"/>
          <w:szCs w:val="21"/>
          <w:highlight w:val="none"/>
        </w:rPr>
      </w:pPr>
      <w:r>
        <w:rPr>
          <w:rFonts w:hint="eastAsia" w:ascii="宋体" w:hAnsi="宋体" w:cs="宋体"/>
          <w:color w:val="auto"/>
          <w:szCs w:val="21"/>
          <w:highlight w:val="none"/>
        </w:rPr>
        <w:t>旧车使用年限不超过2年。</w:t>
      </w:r>
    </w:p>
    <w:p>
      <w:pPr>
        <w:adjustRightInd w:val="0"/>
        <w:snapToGrid w:val="0"/>
        <w:spacing w:line="360" w:lineRule="auto"/>
        <w:ind w:firstLine="570"/>
        <w:jc w:val="left"/>
        <w:rPr>
          <w:rFonts w:hint="eastAsia" w:ascii="宋体" w:hAnsi="宋体" w:cs="宋体"/>
          <w:color w:val="auto"/>
          <w:szCs w:val="21"/>
          <w:highlight w:val="none"/>
        </w:rPr>
      </w:pPr>
      <w:r>
        <w:rPr>
          <w:rFonts w:hint="eastAsia" w:ascii="宋体" w:hAnsi="宋体" w:cs="宋体"/>
          <w:color w:val="auto"/>
          <w:szCs w:val="21"/>
          <w:highlight w:val="none"/>
        </w:rPr>
        <w:t>(c)车辆牌照及保险：</w:t>
      </w:r>
    </w:p>
    <w:p>
      <w:pPr>
        <w:adjustRightInd w:val="0"/>
        <w:snapToGrid w:val="0"/>
        <w:spacing w:line="360" w:lineRule="auto"/>
        <w:ind w:firstLine="570"/>
        <w:jc w:val="left"/>
        <w:rPr>
          <w:rFonts w:hint="eastAsia" w:ascii="宋体" w:hAnsi="宋体" w:cs="宋体"/>
          <w:color w:val="auto"/>
          <w:szCs w:val="21"/>
          <w:highlight w:val="none"/>
        </w:rPr>
      </w:pPr>
      <w:r>
        <w:rPr>
          <w:rFonts w:hint="eastAsia" w:ascii="宋体" w:hAnsi="宋体" w:cs="宋体"/>
          <w:color w:val="auto"/>
          <w:szCs w:val="21"/>
          <w:highlight w:val="none"/>
        </w:rPr>
        <w:t>①深圳牌照；</w:t>
      </w:r>
    </w:p>
    <w:p>
      <w:pPr>
        <w:adjustRightInd w:val="0"/>
        <w:snapToGrid w:val="0"/>
        <w:spacing w:line="360" w:lineRule="auto"/>
        <w:ind w:firstLine="570"/>
        <w:jc w:val="left"/>
        <w:rPr>
          <w:rFonts w:hint="eastAsia" w:ascii="宋体" w:hAnsi="宋体" w:cs="宋体"/>
          <w:color w:val="auto"/>
          <w:szCs w:val="21"/>
          <w:highlight w:val="none"/>
        </w:rPr>
      </w:pPr>
      <w:r>
        <w:rPr>
          <w:rFonts w:hint="eastAsia" w:ascii="宋体" w:hAnsi="宋体" w:cs="宋体"/>
          <w:color w:val="auto"/>
          <w:szCs w:val="21"/>
          <w:highlight w:val="none"/>
        </w:rPr>
        <w:t>②承包方须为该车辆购买全保，同时第三者责任险保额不低于50万元。</w:t>
      </w:r>
    </w:p>
    <w:p>
      <w:pPr>
        <w:adjustRightInd w:val="0"/>
        <w:snapToGrid w:val="0"/>
        <w:spacing w:line="360" w:lineRule="auto"/>
        <w:ind w:firstLine="570"/>
        <w:jc w:val="left"/>
        <w:rPr>
          <w:rFonts w:hint="eastAsia" w:ascii="宋体" w:hAnsi="宋体" w:cs="宋体"/>
          <w:color w:val="auto"/>
          <w:szCs w:val="21"/>
          <w:highlight w:val="none"/>
        </w:rPr>
      </w:pPr>
      <w:r>
        <w:rPr>
          <w:rFonts w:hint="eastAsia" w:ascii="宋体" w:hAnsi="宋体" w:cs="宋体"/>
          <w:color w:val="auto"/>
          <w:szCs w:val="21"/>
          <w:highlight w:val="none"/>
        </w:rPr>
        <w:t>(d)车辆经费及保养：</w:t>
      </w:r>
    </w:p>
    <w:p>
      <w:pPr>
        <w:adjustRightInd w:val="0"/>
        <w:snapToGrid w:val="0"/>
        <w:spacing w:line="360" w:lineRule="auto"/>
        <w:ind w:firstLine="570"/>
        <w:jc w:val="left"/>
        <w:rPr>
          <w:rFonts w:hint="eastAsia" w:ascii="宋体" w:hAnsi="宋体" w:cs="宋体"/>
          <w:color w:val="auto"/>
          <w:szCs w:val="21"/>
          <w:highlight w:val="none"/>
        </w:rPr>
      </w:pPr>
      <w:r>
        <w:rPr>
          <w:rFonts w:hint="eastAsia" w:ascii="宋体" w:hAnsi="宋体" w:cs="宋体"/>
          <w:color w:val="auto"/>
          <w:szCs w:val="21"/>
          <w:highlight w:val="none"/>
        </w:rPr>
        <w:t>车辆使用期间的油料、养路费、GPS防盗安装费、服务费、保养及维修费、停车费等其他杂费，由承包人负责。承包人需在收到有效报销凭据后7日内办理报销。</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761" w:name="_Toc25724"/>
      <w:bookmarkStart w:id="6762" w:name="_Toc32027"/>
      <w:bookmarkStart w:id="6763" w:name="_Toc20538"/>
      <w:bookmarkStart w:id="6764" w:name="_Toc22820"/>
      <w:bookmarkStart w:id="6765" w:name="_Toc26479"/>
      <w:bookmarkStart w:id="6766" w:name="_Toc2968"/>
      <w:bookmarkStart w:id="6767" w:name="_Toc465237155"/>
      <w:bookmarkStart w:id="6768" w:name="_Toc7013"/>
      <w:bookmarkStart w:id="6769" w:name="_Toc31706"/>
      <w:bookmarkStart w:id="6770" w:name="_Toc28422"/>
      <w:bookmarkStart w:id="6771" w:name="_Toc17202"/>
      <w:bookmarkStart w:id="6772" w:name="_Toc517531027"/>
      <w:bookmarkStart w:id="6773" w:name="_Toc32435"/>
      <w:bookmarkStart w:id="6774" w:name="_Toc10012"/>
      <w:bookmarkStart w:id="6775" w:name="_Toc22969"/>
      <w:bookmarkStart w:id="6776" w:name="_Toc465237257"/>
      <w:bookmarkStart w:id="6777" w:name="_Toc5323"/>
      <w:bookmarkStart w:id="6778" w:name="_Toc31053"/>
      <w:bookmarkStart w:id="6779" w:name="_Toc27021"/>
      <w:bookmarkStart w:id="6780" w:name="_Toc11559"/>
      <w:bookmarkStart w:id="6781" w:name="_Toc6695"/>
      <w:bookmarkStart w:id="6782" w:name="_Toc517532303"/>
      <w:bookmarkStart w:id="6783" w:name="_Toc517528796"/>
      <w:r>
        <w:rPr>
          <w:rFonts w:hint="eastAsia" w:ascii="宋体" w:hAnsi="宋体" w:cs="宋体"/>
          <w:b/>
          <w:bCs/>
          <w:color w:val="auto"/>
          <w:sz w:val="28"/>
          <w:szCs w:val="28"/>
          <w:highlight w:val="none"/>
        </w:rPr>
        <w:t>8.2材料与工程设备的保管与使用</w:t>
      </w:r>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784" w:name="_Toc19889"/>
      <w:bookmarkStart w:id="6785" w:name="_Toc2526"/>
      <w:bookmarkStart w:id="6786" w:name="_Toc7984"/>
      <w:bookmarkStart w:id="6787" w:name="_Toc24517"/>
      <w:bookmarkStart w:id="6788" w:name="_Toc7009"/>
      <w:bookmarkStart w:id="6789" w:name="_Toc20717"/>
      <w:bookmarkStart w:id="6790" w:name="_Toc23013"/>
      <w:bookmarkStart w:id="6791" w:name="_Toc20957"/>
      <w:bookmarkStart w:id="6792" w:name="_Toc27461"/>
      <w:bookmarkStart w:id="6793" w:name="_Toc517531028"/>
      <w:bookmarkStart w:id="6794" w:name="_Toc21974"/>
      <w:bookmarkStart w:id="6795" w:name="_Toc19015"/>
      <w:bookmarkStart w:id="6796" w:name="_Toc2578"/>
      <w:bookmarkStart w:id="6797" w:name="_Toc18442"/>
      <w:bookmarkStart w:id="6798" w:name="_Toc6048"/>
      <w:bookmarkStart w:id="6799" w:name="_Toc517532304"/>
      <w:bookmarkStart w:id="6800" w:name="_Toc2738"/>
      <w:bookmarkStart w:id="6801" w:name="_Toc26851"/>
      <w:bookmarkStart w:id="6802" w:name="_Toc8663"/>
      <w:bookmarkStart w:id="6803" w:name="_Toc1176"/>
      <w:r>
        <w:rPr>
          <w:rFonts w:ascii="宋体" w:hAnsi="宋体"/>
          <w:bCs/>
          <w:color w:val="auto"/>
          <w:sz w:val="20"/>
          <w:szCs w:val="20"/>
          <w:highlight w:val="none"/>
        </w:rPr>
        <w:object>
          <v:shape id="_x0000_i1102" o:spt="201" type="#_x0000_t201" style="height:18pt;width:12.6pt;" o:ole="t" filled="f" o:preferrelative="t" stroked="f" coordsize="21600,21600">
            <v:path/>
            <v:fill on="f" focussize="0,0"/>
            <v:stroke on="f"/>
            <v:imagedata r:id="rId111" o:title=""/>
            <o:lock v:ext="edit" aspectratio="t"/>
            <w10:wrap type="none"/>
            <w10:anchorlock/>
          </v:shape>
          <w:control r:id="rId110" w:name="CheckBox1305" w:shapeid="_x0000_i1102"/>
        </w:object>
      </w:r>
      <w:r>
        <w:rPr>
          <w:rFonts w:hint="eastAsia" w:ascii="宋体" w:hAnsi="宋体" w:cs="宋体"/>
          <w:b/>
          <w:bCs/>
          <w:color w:val="auto"/>
          <w:sz w:val="24"/>
          <w:szCs w:val="24"/>
          <w:highlight w:val="none"/>
        </w:rPr>
        <w:t>8.2.2</w:t>
      </w:r>
      <w:bookmarkEnd w:id="6784"/>
      <w:bookmarkEnd w:id="6785"/>
      <w:bookmarkEnd w:id="6786"/>
      <w:bookmarkEnd w:id="6787"/>
      <w:bookmarkEnd w:id="6788"/>
      <w:bookmarkEnd w:id="6789"/>
      <w:bookmarkEnd w:id="6790"/>
      <w:bookmarkEnd w:id="6791"/>
      <w:bookmarkEnd w:id="6792"/>
      <w:r>
        <w:rPr>
          <w:rFonts w:hint="eastAsia" w:ascii="宋体" w:hAnsi="宋体" w:cs="宋体"/>
          <w:b/>
          <w:bCs/>
          <w:color w:val="auto"/>
          <w:sz w:val="24"/>
          <w:szCs w:val="24"/>
          <w:highlight w:val="none"/>
        </w:rPr>
        <w:t>承包人在设备、材料管理的责任</w:t>
      </w:r>
      <w:bookmarkEnd w:id="6793"/>
      <w:bookmarkEnd w:id="6794"/>
      <w:bookmarkEnd w:id="6795"/>
      <w:bookmarkEnd w:id="6796"/>
      <w:bookmarkEnd w:id="6797"/>
      <w:bookmarkEnd w:id="6798"/>
      <w:bookmarkEnd w:id="6799"/>
      <w:bookmarkEnd w:id="6800"/>
      <w:bookmarkEnd w:id="6801"/>
      <w:bookmarkEnd w:id="6802"/>
      <w:bookmarkEnd w:id="6803"/>
    </w:p>
    <w:p>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kern w:val="0"/>
          <w:szCs w:val="21"/>
          <w:highlight w:val="none"/>
        </w:rPr>
        <w:t>根据工程实际，部分材料或设备（如等）拆除后需要保留利用的，承包人施工时应对材料或设备进行保护性拆除，同时将拆下来的材料或设备采取相应措施妥善保管，保证材料或设备的正常安装和使用。若承包人拆除或保管不当造成损坏引起费用增加，由承包人自行承担。</w:t>
      </w:r>
    </w:p>
    <w:bookmarkEnd w:id="6287"/>
    <w:bookmarkEnd w:id="6288"/>
    <w:bookmarkEnd w:id="6289"/>
    <w:bookmarkEnd w:id="6290"/>
    <w:bookmarkEnd w:id="6291"/>
    <w:bookmarkEnd w:id="6292"/>
    <w:bookmarkEnd w:id="6293"/>
    <w:bookmarkEnd w:id="6294"/>
    <w:bookmarkEnd w:id="6295"/>
    <w:bookmarkEnd w:id="6296"/>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6804" w:name="_Toc30312"/>
      <w:bookmarkStart w:id="6805" w:name="_Toc517532305"/>
      <w:bookmarkStart w:id="6806" w:name="_Toc29942"/>
      <w:bookmarkStart w:id="6807" w:name="_Toc26962"/>
      <w:bookmarkStart w:id="6808" w:name="_Toc851"/>
      <w:bookmarkStart w:id="6809" w:name="_Toc20281"/>
      <w:bookmarkStart w:id="6810" w:name="_Toc517531029"/>
      <w:bookmarkStart w:id="6811" w:name="_Toc30610"/>
      <w:bookmarkStart w:id="6812" w:name="_Toc31195"/>
      <w:bookmarkStart w:id="6813" w:name="_Toc31525"/>
      <w:bookmarkStart w:id="6814" w:name="_Toc517528797"/>
      <w:bookmarkStart w:id="6815" w:name="_Toc29078"/>
      <w:bookmarkStart w:id="6816" w:name="_Toc23670"/>
      <w:bookmarkStart w:id="6817" w:name="_Toc20311"/>
      <w:bookmarkStart w:id="6818" w:name="_Toc30693"/>
      <w:bookmarkStart w:id="6819" w:name="_Toc302"/>
      <w:bookmarkStart w:id="6820" w:name="_Toc15688"/>
      <w:bookmarkStart w:id="6821" w:name="_Toc6279"/>
      <w:bookmarkStart w:id="6822" w:name="_Toc517529764"/>
      <w:bookmarkStart w:id="6823" w:name="_Toc465237156"/>
      <w:bookmarkStart w:id="6824" w:name="_Toc465237258"/>
      <w:bookmarkStart w:id="6825" w:name="_Toc19061"/>
      <w:bookmarkStart w:id="6826" w:name="_Toc14731"/>
      <w:bookmarkStart w:id="6827" w:name="_Toc24195"/>
      <w:bookmarkStart w:id="6828" w:name="_Toc267251424"/>
      <w:bookmarkStart w:id="6829" w:name="_Toc296891208"/>
      <w:bookmarkStart w:id="6830" w:name="_Toc296944507"/>
      <w:bookmarkStart w:id="6831" w:name="_Toc304295557"/>
      <w:bookmarkStart w:id="6832" w:name="_Toc300934980"/>
      <w:bookmarkStart w:id="6833" w:name="_Toc312678020"/>
      <w:bookmarkStart w:id="6834" w:name="_Toc296503168"/>
      <w:bookmarkStart w:id="6835" w:name="_Toc296890996"/>
      <w:bookmarkStart w:id="6836" w:name="_Toc297120468"/>
      <w:bookmarkStart w:id="6837" w:name="_Toc297048354"/>
      <w:bookmarkStart w:id="6838" w:name="_Toc296346669"/>
      <w:bookmarkStart w:id="6839" w:name="_Toc312677494"/>
      <w:bookmarkStart w:id="6840" w:name="_Toc280868655"/>
      <w:bookmarkStart w:id="6841" w:name="_Toc297216187"/>
      <w:bookmarkStart w:id="6842" w:name="_Toc303539137"/>
      <w:bookmarkStart w:id="6843" w:name="_Toc318581173"/>
      <w:bookmarkStart w:id="6844" w:name="_Toc280868656"/>
      <w:bookmarkStart w:id="6845" w:name="_Toc297123528"/>
      <w:bookmarkStart w:id="6846" w:name="_Toc296347167"/>
      <w:r>
        <w:rPr>
          <w:rFonts w:hint="eastAsia" w:ascii="宋体" w:hAnsi="宋体" w:cs="宋体"/>
          <w:b/>
          <w:bCs/>
          <w:color w:val="auto"/>
          <w:sz w:val="30"/>
          <w:szCs w:val="30"/>
          <w:highlight w:val="none"/>
        </w:rPr>
        <w:t>9. 试验与检验</w:t>
      </w:r>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847" w:name="_Toc26137"/>
      <w:bookmarkStart w:id="6848" w:name="_Toc32362"/>
      <w:bookmarkStart w:id="6849" w:name="_Toc28366"/>
      <w:bookmarkStart w:id="6850" w:name="_Toc18808"/>
      <w:bookmarkStart w:id="6851" w:name="_Toc10262"/>
      <w:bookmarkStart w:id="6852" w:name="_Toc7629"/>
      <w:bookmarkStart w:id="6853" w:name="_Toc38"/>
      <w:bookmarkStart w:id="6854" w:name="_Toc517528798"/>
      <w:bookmarkStart w:id="6855" w:name="_Toc517532306"/>
      <w:bookmarkStart w:id="6856" w:name="_Toc16930"/>
      <w:bookmarkStart w:id="6857" w:name="_Toc11657"/>
      <w:bookmarkStart w:id="6858" w:name="_Toc2926"/>
      <w:bookmarkStart w:id="6859" w:name="_Toc13746"/>
      <w:bookmarkStart w:id="6860" w:name="_Toc106"/>
      <w:bookmarkStart w:id="6861" w:name="_Toc29494"/>
      <w:bookmarkStart w:id="6862" w:name="_Toc16601"/>
      <w:bookmarkStart w:id="6863" w:name="_Toc30908"/>
      <w:bookmarkStart w:id="6864" w:name="_Toc517531030"/>
      <w:r>
        <w:rPr>
          <w:rFonts w:hint="eastAsia" w:ascii="宋体" w:hAnsi="宋体" w:cs="宋体"/>
          <w:b/>
          <w:bCs/>
          <w:color w:val="auto"/>
          <w:sz w:val="28"/>
          <w:szCs w:val="28"/>
          <w:highlight w:val="none"/>
        </w:rPr>
        <w:t>9.7样品</w:t>
      </w:r>
      <w:bookmarkEnd w:id="6823"/>
      <w:bookmarkEnd w:id="6824"/>
      <w:bookmarkEnd w:id="6825"/>
      <w:bookmarkEnd w:id="6826"/>
      <w:bookmarkEnd w:id="6827"/>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865" w:name="_Toc2181"/>
      <w:bookmarkStart w:id="6866" w:name="_Toc2161"/>
      <w:bookmarkStart w:id="6867" w:name="_Toc15360"/>
      <w:bookmarkStart w:id="6868" w:name="_Toc23898"/>
      <w:bookmarkStart w:id="6869" w:name="_Toc5895"/>
      <w:bookmarkStart w:id="6870" w:name="_Toc517531031"/>
      <w:bookmarkStart w:id="6871" w:name="_Toc22799"/>
      <w:bookmarkStart w:id="6872" w:name="_Toc30745"/>
      <w:bookmarkStart w:id="6873" w:name="_Toc4883"/>
      <w:bookmarkStart w:id="6874" w:name="_Toc31362"/>
      <w:bookmarkStart w:id="6875" w:name="_Toc15591"/>
      <w:bookmarkStart w:id="6876" w:name="_Toc26367"/>
      <w:bookmarkStart w:id="6877" w:name="_Toc20604"/>
      <w:bookmarkStart w:id="6878" w:name="_Toc31483"/>
      <w:bookmarkStart w:id="6879" w:name="_Toc27589"/>
      <w:bookmarkStart w:id="6880" w:name="_Toc22634"/>
      <w:bookmarkStart w:id="6881" w:name="_Toc18592"/>
      <w:bookmarkStart w:id="6882" w:name="_Toc2586"/>
      <w:bookmarkStart w:id="6883" w:name="_Toc517532307"/>
      <w:bookmarkStart w:id="6884" w:name="_Toc11093"/>
      <w:r>
        <w:rPr>
          <w:rFonts w:ascii="宋体" w:hAnsi="宋体"/>
          <w:bCs/>
          <w:color w:val="auto"/>
          <w:sz w:val="20"/>
          <w:szCs w:val="20"/>
          <w:highlight w:val="none"/>
        </w:rPr>
        <w:object>
          <v:shape id="_x0000_i1103" o:spt="201" type="#_x0000_t201" style="height:18pt;width:12.6pt;" o:ole="t" filled="f" o:preferrelative="t" stroked="f" coordsize="21600,21600">
            <v:path/>
            <v:fill on="f" focussize="0,0"/>
            <v:stroke on="f"/>
            <v:imagedata r:id="rId109" o:title=""/>
            <o:lock v:ext="edit" aspectratio="t"/>
            <w10:wrap type="none"/>
            <w10:anchorlock/>
          </v:shape>
          <w:control r:id="rId112" w:name="CheckBox1304" w:shapeid="_x0000_i1103"/>
        </w:object>
      </w:r>
      <w:r>
        <w:rPr>
          <w:rFonts w:hint="eastAsia" w:ascii="宋体" w:hAnsi="宋体" w:cs="宋体"/>
          <w:b/>
          <w:bCs/>
          <w:color w:val="auto"/>
          <w:sz w:val="24"/>
          <w:szCs w:val="24"/>
          <w:highlight w:val="none"/>
        </w:rPr>
        <w:t>9.7.1施工样板</w:t>
      </w:r>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根据需要，发包人可要求承包人制作施工样板。承包人制作的样板，经发包人检验合格后，由发包人、承包人双方封存。样板作为发包人竣工验收的实物标准。制作样板的全部费用，由承包人承担。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承包人报价时提供的样板，由发包人、承包人双方封存，作为发包人竣工验收的实物标准。</w:t>
      </w:r>
    </w:p>
    <w:p>
      <w:pPr>
        <w:autoSpaceDE w:val="0"/>
        <w:autoSpaceDN w:val="0"/>
        <w:adjustRightIn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承包人需要使用代用材料时，材料品质和标准、性能不能低于被代用材料，且须经发包人认可后才能使用，超出部分费用由承包人承担。</w:t>
      </w:r>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6885" w:name="_Toc13639"/>
      <w:bookmarkStart w:id="6886" w:name="_Toc517532308"/>
      <w:bookmarkStart w:id="6887" w:name="_Toc23410"/>
      <w:bookmarkStart w:id="6888" w:name="_Toc9347"/>
      <w:bookmarkStart w:id="6889" w:name="_Toc24703"/>
      <w:bookmarkStart w:id="6890" w:name="_Toc22058"/>
      <w:bookmarkStart w:id="6891" w:name="_Toc29803"/>
      <w:bookmarkStart w:id="6892" w:name="_Toc13146"/>
      <w:bookmarkStart w:id="6893" w:name="_Toc1846"/>
      <w:bookmarkStart w:id="6894" w:name="_Toc19941"/>
      <w:bookmarkStart w:id="6895" w:name="_Toc6335"/>
      <w:bookmarkStart w:id="6896" w:name="_Toc26874"/>
      <w:bookmarkStart w:id="6897" w:name="_Toc23033"/>
      <w:bookmarkStart w:id="6898" w:name="_Toc11658"/>
      <w:bookmarkStart w:id="6899" w:name="_Toc31070"/>
      <w:bookmarkStart w:id="6900" w:name="_Toc517531032"/>
      <w:bookmarkStart w:id="6901" w:name="_Toc6184"/>
      <w:bookmarkStart w:id="6902" w:name="_Toc15396"/>
      <w:bookmarkStart w:id="6903" w:name="_Toc10857"/>
      <w:bookmarkStart w:id="6904" w:name="_Toc15675"/>
      <w:r>
        <w:rPr>
          <w:rFonts w:ascii="宋体" w:hAnsi="宋体"/>
          <w:bCs/>
          <w:color w:val="auto"/>
          <w:sz w:val="20"/>
          <w:szCs w:val="20"/>
          <w:highlight w:val="none"/>
        </w:rPr>
        <w:object>
          <v:shape id="_x0000_i1104" o:spt="201" type="#_x0000_t201" style="height:18pt;width:12.6pt;" o:ole="t" filled="f" o:preferrelative="t" stroked="f" coordsize="21600,21600">
            <v:path/>
            <v:fill on="f" focussize="0,0"/>
            <v:stroke on="f"/>
            <v:imagedata r:id="rId109" o:title=""/>
            <o:lock v:ext="edit" aspectratio="t"/>
            <w10:wrap type="none"/>
            <w10:anchorlock/>
          </v:shape>
          <w:control r:id="rId113" w:name="CheckBox1304" w:shapeid="_x0000_i1104"/>
        </w:object>
      </w:r>
      <w:r>
        <w:rPr>
          <w:rFonts w:hint="eastAsia" w:ascii="宋体" w:hAnsi="宋体" w:cs="宋体"/>
          <w:b/>
          <w:bCs/>
          <w:color w:val="auto"/>
          <w:sz w:val="24"/>
          <w:szCs w:val="24"/>
          <w:highlight w:val="none"/>
        </w:rPr>
        <w:t>9.7.2样板引路制度</w:t>
      </w:r>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为了保证操作工艺的质量，实施实物质量样板引路的办法：</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质量样板引路方案的制定：开工前，承包人要根据工程的特点、施工难点、工序的重点、防治工程质量通病措施等方面的要求，组织参与编制和实施工程施工组织设计和专项施工方案的相关技术管理人员，研究制订工程质量样板引路的工作方案。工作方案内容应包括：工程概况与特点、需制作实物质量样板的工序和部位（含样板间）、制作实物质量样板的技术要点与具体要求、将质量样板用于指导施工和质量验收的具体安排、相关人员的工作职责以及根据工程项目特点所制订的其他内容。工作方案经承包人有关部门批准和送项目总监理工程师批准后实施，并报送发包人。实行专业分包的，分包企业应在施工总承包企业的指导下，制定相关的工程质量样板引路工作方案，经施工总承包企业同意后送项目总监理工程师审批后实施，并报送发包人。</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(b)制作的实物质量样板应符合有关技术规范和施工图设计文件的要求，质量样板需经承包人相关部门（或委托该工程项目技术负责人）复核确认，发包人和监理人同意后方可用于技术交底、岗前培训和质量验收。</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(c)制作房屋建筑工程实物质量样板的工序、部位</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05" o:spt="201" type="#_x0000_t201" style="height:18pt;width:12.6pt;" o:ole="t" filled="f" o:preferrelative="t" stroked="f" coordsize="21600,21600">
            <v:path/>
            <v:fill on="f" focussize="0,0"/>
            <v:stroke on="f"/>
            <v:imagedata r:id="rId115" o:title=""/>
            <o:lock v:ext="edit" aspectratio="t"/>
            <w10:wrap type="none"/>
            <w10:anchorlock/>
          </v:shape>
          <w:control r:id="rId114" w:name="CheckBox1308" w:shapeid="_x0000_i1105"/>
        </w:object>
      </w:r>
      <w:r>
        <w:rPr>
          <w:rFonts w:hint="eastAsia" w:ascii="宋体" w:hAnsi="宋体" w:cs="宋体"/>
          <w:color w:val="auto"/>
          <w:szCs w:val="21"/>
          <w:highlight w:val="none"/>
        </w:rPr>
        <w:t>①混凝土结构工程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柱、剪力墙、梁、板、楼梯等钢筋的制作、安装、固定；</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受力纵筋连接（焊接、机械连接等）外观质量；</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模板安装中支撑体系、安装和加固方法、防止胀模、漏浆的技术措施；</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模板的垃圾出口孔制作；</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楼面柱根部清除浮浆、凿毛；</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混凝土施工缝、后浇带、楼面收光处理及养护。</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06" o:spt="201" type="#_x0000_t201" style="height:18pt;width:12.6pt;" o:ole="t" filled="f" o:preferrelative="t" stroked="f" coordsize="21600,21600">
            <v:path/>
            <v:fill on="f" focussize="0,0"/>
            <v:stroke on="f"/>
            <v:imagedata r:id="rId117" o:title=""/>
            <o:lock v:ext="edit" aspectratio="t"/>
            <w10:wrap type="none"/>
            <w10:anchorlock/>
          </v:shape>
          <w:control r:id="rId116" w:name="CheckBox1309" w:shapeid="_x0000_i1106"/>
        </w:object>
      </w:r>
      <w:r>
        <w:rPr>
          <w:rFonts w:hint="eastAsia" w:ascii="宋体" w:hAnsi="宋体" w:cs="宋体"/>
          <w:color w:val="auto"/>
          <w:szCs w:val="21"/>
          <w:highlight w:val="none"/>
        </w:rPr>
        <w:t>②砌体工程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有代表性的部位的砌体的砌筑方法；</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有代表性的门窗洞口的处理；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填充墙底部、顶部的处理；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构造柱、圈梁、过梁的处理。</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07" o:spt="201" type="#_x0000_t201" style="height:18pt;width:12.6pt;" o:ole="t" filled="f" o:preferrelative="t" stroked="f" coordsize="21600,21600">
            <v:path/>
            <v:fill on="f" focussize="0,0"/>
            <v:stroke on="f"/>
            <v:imagedata r:id="rId119" o:title=""/>
            <o:lock v:ext="edit" aspectratio="t"/>
            <w10:wrap type="none"/>
            <w10:anchorlock/>
          </v:shape>
          <w:control r:id="rId118" w:name="CheckBox1310" w:shapeid="_x0000_i1107"/>
        </w:object>
      </w:r>
      <w:r>
        <w:rPr>
          <w:rFonts w:hint="eastAsia" w:ascii="宋体" w:hAnsi="宋体" w:cs="宋体"/>
          <w:color w:val="auto"/>
          <w:szCs w:val="21"/>
          <w:highlight w:val="none"/>
        </w:rPr>
        <w:t>③屋面工程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屋面防水、隔热；</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屋面排水；</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屋面细部。</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08" o:spt="201" type="#_x0000_t201" style="height:18pt;width:12.6pt;" o:ole="t" filled="f" o:preferrelative="t" stroked="f" coordsize="21600,21600">
            <v:path/>
            <v:fill on="f" focussize="0,0"/>
            <v:stroke on="f"/>
            <v:imagedata r:id="rId121" o:title=""/>
            <o:lock v:ext="edit" aspectratio="t"/>
            <w10:wrap type="none"/>
            <w10:anchorlock/>
          </v:shape>
          <w:control r:id="rId120" w:name="CheckBox1311" w:shapeid="_x0000_i1108"/>
        </w:object>
      </w:r>
      <w:r>
        <w:rPr>
          <w:rFonts w:hint="eastAsia" w:ascii="宋体" w:hAnsi="宋体" w:cs="宋体"/>
          <w:color w:val="auto"/>
          <w:szCs w:val="21"/>
          <w:highlight w:val="none"/>
        </w:rPr>
        <w:t>④门窗和幕墙工程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有代表性的门窗安装；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门窗洞的细部处理；</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有代表性的幕墙单元安装。</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09" o:spt="201" type="#_x0000_t201" style="height:18pt;width:12.6pt;" o:ole="t" filled="f" o:preferrelative="t" stroked="f" coordsize="21600,21600">
            <v:path/>
            <v:fill on="f" focussize="0,0"/>
            <v:stroke on="f"/>
            <v:imagedata r:id="rId109" o:title=""/>
            <o:lock v:ext="edit" aspectratio="t"/>
            <w10:wrap type="none"/>
            <w10:anchorlock/>
          </v:shape>
          <w:control r:id="rId122" w:name="CheckBox1304" w:shapeid="_x0000_i1109"/>
        </w:object>
      </w:r>
      <w:r>
        <w:rPr>
          <w:rFonts w:hint="eastAsia" w:ascii="宋体" w:hAnsi="宋体" w:cs="宋体"/>
          <w:color w:val="auto"/>
          <w:szCs w:val="21"/>
          <w:highlight w:val="none"/>
        </w:rPr>
        <w:t>⑤装饰工程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外墙防水；</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外墙饰面；</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内墙抹灰；</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内墙饰面砖铺贴；</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天花安装；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厨、厕间防水；</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有代表性的装饰装修细部。</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10" o:spt="201" type="#_x0000_t201" style="height:18pt;width:12.6pt;" o:ole="t" filled="f" o:preferrelative="t" stroked="f" coordsize="21600,21600">
            <v:path/>
            <v:fill on="f" focussize="0,0"/>
            <v:stroke on="f"/>
            <v:imagedata r:id="rId124" o:title=""/>
            <o:lock v:ext="edit" aspectratio="t"/>
            <w10:wrap type="none"/>
            <w10:anchorlock/>
          </v:shape>
          <w:control r:id="rId123" w:name="CheckBox1313" w:shapeid="_x0000_i1110"/>
        </w:object>
      </w:r>
      <w:r>
        <w:rPr>
          <w:rFonts w:hint="eastAsia" w:ascii="宋体" w:hAnsi="宋体" w:cs="宋体"/>
          <w:color w:val="auto"/>
          <w:szCs w:val="21"/>
          <w:highlight w:val="none"/>
        </w:rPr>
        <w:t>⑥建筑节能工程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有关标准规定需制作样板的部位。</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11" o:spt="201" type="#_x0000_t201" style="height:18pt;width:12.6pt;" o:ole="t" filled="f" o:preferrelative="t" stroked="f" coordsize="21600,21600">
            <v:path/>
            <v:fill on="f" focussize="0,0"/>
            <v:stroke on="f"/>
            <v:imagedata r:id="rId126" o:title=""/>
            <o:lock v:ext="edit" aspectratio="t"/>
            <w10:wrap type="none"/>
            <w10:anchorlock/>
          </v:shape>
          <w:control r:id="rId125" w:name="CheckBox1314" w:shapeid="_x0000_i1111"/>
        </w:object>
      </w:r>
      <w:r>
        <w:rPr>
          <w:rFonts w:hint="eastAsia" w:ascii="宋体" w:hAnsi="宋体" w:cs="宋体"/>
          <w:color w:val="auto"/>
          <w:szCs w:val="21"/>
          <w:highlight w:val="none"/>
        </w:rPr>
        <w:t>⑦给排水工程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穿楼板管道套管安装；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卫生间给排水支管安装；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卫生间洁具安装；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屋面透气管安装；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管井立管安装。</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12" o:spt="201" type="#_x0000_t201" style="height:18pt;width:12.6pt;" o:ole="t" filled="f" o:preferrelative="t" stroked="f" coordsize="21600,21600">
            <v:path/>
            <v:fill on="f" focussize="0,0"/>
            <v:stroke on="f"/>
            <v:imagedata r:id="rId128" o:title=""/>
            <o:lock v:ext="edit" aspectratio="t"/>
            <w10:wrap type="none"/>
            <w10:anchorlock/>
          </v:shape>
          <w:control r:id="rId127" w:name="CheckBox1315" w:shapeid="_x0000_i1112"/>
        </w:object>
      </w:r>
      <w:r>
        <w:rPr>
          <w:rFonts w:hint="eastAsia" w:ascii="宋体" w:hAnsi="宋体" w:cs="宋体"/>
          <w:color w:val="auto"/>
          <w:szCs w:val="21"/>
          <w:highlight w:val="none"/>
        </w:rPr>
        <w:t>⑧建筑电气工程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成套配电柜、控制柜的安装；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照明配电箱的安装；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开关插座、灯具的安装；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电气、防雷接地；</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线路铺设；</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金属线槽、桥架铺设。</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13" o:spt="201" type="#_x0000_t201" style="height:18pt;width:12.6pt;" o:ole="t" filled="f" o:preferrelative="t" stroked="f" coordsize="21600,21600">
            <v:path/>
            <v:fill on="f" focussize="0,0"/>
            <v:stroke on="f"/>
            <v:imagedata r:id="rId130" o:title=""/>
            <o:lock v:ext="edit" aspectratio="t"/>
            <w10:wrap type="none"/>
            <w10:anchorlock/>
          </v:shape>
          <w:control r:id="rId129" w:name="CheckBox1316" w:shapeid="_x0000_i1113"/>
        </w:object>
      </w:r>
      <w:r>
        <w:rPr>
          <w:rFonts w:hint="eastAsia" w:ascii="宋体" w:hAnsi="宋体" w:cs="宋体"/>
          <w:color w:val="auto"/>
          <w:szCs w:val="21"/>
          <w:highlight w:val="none"/>
        </w:rPr>
        <w:t>⑨通风空调工程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标准层风管制作安装；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标准层水管安装；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风机盘管、风口、风阀、百叶安装；</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风管、水管保温。</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制作实物质量样板的工序、部位，不限于以上内容，还包括建设单位、施工和监理企业认为需要制作实物质量样板的其他工序、部位。</w:t>
      </w:r>
    </w:p>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6905" w:name="_Toc26242"/>
      <w:bookmarkStart w:id="6906" w:name="_Toc292559903"/>
      <w:bookmarkStart w:id="6907" w:name="_Toc32484"/>
      <w:bookmarkStart w:id="6908" w:name="_Toc16049"/>
      <w:bookmarkStart w:id="6909" w:name="_Toc12698"/>
      <w:bookmarkStart w:id="6910" w:name="_Toc465237157"/>
      <w:bookmarkStart w:id="6911" w:name="_Toc296346694"/>
      <w:bookmarkStart w:id="6912" w:name="_Toc18371"/>
      <w:bookmarkStart w:id="6913" w:name="_Toc15026"/>
      <w:bookmarkStart w:id="6914" w:name="_Toc297216199"/>
      <w:bookmarkStart w:id="6915" w:name="_Toc517531033"/>
      <w:bookmarkStart w:id="6916" w:name="_Toc296944532"/>
      <w:bookmarkStart w:id="6917" w:name="_Toc30873"/>
      <w:bookmarkStart w:id="6918" w:name="_Toc8858"/>
      <w:bookmarkStart w:id="6919" w:name="_Toc31145"/>
      <w:bookmarkStart w:id="6920" w:name="_Toc296347192"/>
      <w:bookmarkStart w:id="6921" w:name="_Toc134"/>
      <w:bookmarkStart w:id="6922" w:name="_Toc24680"/>
      <w:bookmarkStart w:id="6923" w:name="_Toc909"/>
      <w:bookmarkStart w:id="6924" w:name="_Toc517528799"/>
      <w:bookmarkStart w:id="6925" w:name="_Toc296503193"/>
      <w:bookmarkStart w:id="6926" w:name="_Toc13985"/>
      <w:bookmarkStart w:id="6927" w:name="_Toc30254"/>
      <w:bookmarkStart w:id="6928" w:name="_Toc6935"/>
      <w:bookmarkStart w:id="6929" w:name="_Toc351203642"/>
      <w:bookmarkStart w:id="6930" w:name="_Toc20246"/>
      <w:bookmarkStart w:id="6931" w:name="_Toc300934989"/>
      <w:bookmarkStart w:id="6932" w:name="_Toc20238"/>
      <w:bookmarkStart w:id="6933" w:name="_Toc296891233"/>
      <w:bookmarkStart w:id="6934" w:name="_Toc517529765"/>
      <w:bookmarkStart w:id="6935" w:name="_Toc465237259"/>
      <w:bookmarkStart w:id="6936" w:name="_Toc303539146"/>
      <w:bookmarkStart w:id="6937" w:name="_Toc297123540"/>
      <w:bookmarkStart w:id="6938" w:name="_Toc517532309"/>
      <w:bookmarkStart w:id="6939" w:name="_Toc304295566"/>
      <w:bookmarkStart w:id="6940" w:name="_Toc297048379"/>
      <w:bookmarkStart w:id="6941" w:name="_Toc292559398"/>
      <w:bookmarkStart w:id="6942" w:name="_Toc296891021"/>
      <w:bookmarkStart w:id="6943" w:name="_Toc4675"/>
      <w:bookmarkStart w:id="6944" w:name="_Toc297120493"/>
      <w:bookmarkStart w:id="6945" w:name="_Toc312678025"/>
      <w:bookmarkStart w:id="6946" w:name="_Toc312677499"/>
      <w:bookmarkStart w:id="6947" w:name="_Toc267251435"/>
      <w:bookmarkStart w:id="6948" w:name="_Toc267251437"/>
      <w:bookmarkStart w:id="6949" w:name="_Toc267251440"/>
      <w:bookmarkStart w:id="6950" w:name="_Toc267251441"/>
      <w:bookmarkStart w:id="6951" w:name="_Toc267251439"/>
      <w:bookmarkStart w:id="6952" w:name="_Toc267251433"/>
      <w:bookmarkStart w:id="6953" w:name="_Toc267251442"/>
      <w:r>
        <w:rPr>
          <w:rFonts w:hint="eastAsia" w:ascii="宋体" w:hAnsi="宋体" w:cs="宋体"/>
          <w:b/>
          <w:bCs/>
          <w:color w:val="auto"/>
          <w:sz w:val="30"/>
          <w:szCs w:val="30"/>
          <w:highlight w:val="none"/>
        </w:rPr>
        <w:t>10. 变更</w:t>
      </w:r>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p>
    <w:bookmarkEnd w:id="6945"/>
    <w:bookmarkEnd w:id="6946"/>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6954" w:name="_Toc25180"/>
      <w:bookmarkStart w:id="6955" w:name="_Toc23836"/>
      <w:bookmarkStart w:id="6956" w:name="_Toc517528800"/>
      <w:bookmarkStart w:id="6957" w:name="_Toc20966"/>
      <w:bookmarkStart w:id="6958" w:name="_Toc4497"/>
      <w:bookmarkStart w:id="6959" w:name="_Toc3310"/>
      <w:bookmarkStart w:id="6960" w:name="_Toc26462"/>
      <w:bookmarkStart w:id="6961" w:name="_Toc3696"/>
      <w:bookmarkStart w:id="6962" w:name="_Toc2388"/>
      <w:bookmarkStart w:id="6963" w:name="_Toc517532310"/>
      <w:bookmarkStart w:id="6964" w:name="_Toc19371"/>
      <w:bookmarkStart w:id="6965" w:name="_Toc19431"/>
      <w:bookmarkStart w:id="6966" w:name="_Toc174"/>
      <w:bookmarkStart w:id="6967" w:name="_Toc3852"/>
      <w:bookmarkStart w:id="6968" w:name="_Toc25405"/>
      <w:bookmarkStart w:id="6969" w:name="_Toc8825"/>
      <w:bookmarkStart w:id="6970" w:name="_Toc28566"/>
      <w:bookmarkStart w:id="6971" w:name="_Toc31980"/>
      <w:bookmarkStart w:id="6972" w:name="_Toc16121"/>
      <w:bookmarkStart w:id="6973" w:name="_Toc517531034"/>
      <w:bookmarkStart w:id="6974" w:name="_Toc22206"/>
      <w:bookmarkStart w:id="6975" w:name="_Toc304295567"/>
      <w:bookmarkStart w:id="6976" w:name="_Toc300934990"/>
      <w:bookmarkStart w:id="6977" w:name="_Toc296503194"/>
      <w:bookmarkStart w:id="6978" w:name="_Toc296346695"/>
      <w:bookmarkStart w:id="6979" w:name="_Toc297048380"/>
      <w:bookmarkStart w:id="6980" w:name="_Toc296891234"/>
      <w:bookmarkStart w:id="6981" w:name="_Toc297120494"/>
      <w:bookmarkStart w:id="6982" w:name="_Toc292559904"/>
      <w:bookmarkStart w:id="6983" w:name="_Toc297123541"/>
      <w:bookmarkStart w:id="6984" w:name="_Toc296347193"/>
      <w:bookmarkStart w:id="6985" w:name="_Toc312678026"/>
      <w:bookmarkStart w:id="6986" w:name="_Toc292559399"/>
      <w:bookmarkStart w:id="6987" w:name="_Toc312677500"/>
      <w:bookmarkStart w:id="6988" w:name="_Toc303539147"/>
      <w:bookmarkStart w:id="6989" w:name="_Toc297216200"/>
      <w:bookmarkStart w:id="6990" w:name="_Toc296944533"/>
      <w:bookmarkStart w:id="6991" w:name="_Toc296891022"/>
      <w:r>
        <w:rPr>
          <w:rFonts w:ascii="宋体" w:hAnsi="宋体"/>
          <w:bCs/>
          <w:color w:val="auto"/>
          <w:sz w:val="20"/>
          <w:szCs w:val="20"/>
          <w:highlight w:val="none"/>
        </w:rPr>
        <w:object>
          <v:shape id="_x0000_i1114" o:spt="201" type="#_x0000_t201" style="height:18pt;width:12.6pt;" o:ole="t" filled="f" o:preferrelative="t" stroked="f" coordsize="21600,21600">
            <v:path/>
            <v:fill on="f" focussize="0,0"/>
            <v:stroke on="f"/>
            <v:imagedata r:id="rId132" o:title=""/>
            <o:lock v:ext="edit" aspectratio="t"/>
            <w10:wrap type="none"/>
            <w10:anchorlock/>
          </v:shape>
          <w:control r:id="rId131" w:name="CheckBox1317" w:shapeid="_x0000_i1114"/>
        </w:object>
      </w:r>
      <w:r>
        <w:rPr>
          <w:rFonts w:hint="eastAsia" w:ascii="宋体" w:hAnsi="宋体" w:cs="宋体"/>
          <w:b/>
          <w:bCs/>
          <w:color w:val="auto"/>
          <w:sz w:val="28"/>
          <w:szCs w:val="28"/>
          <w:highlight w:val="none"/>
        </w:rPr>
        <w:t>10.3变更的估价</w:t>
      </w:r>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bookmarkEnd w:id="6971"/>
      <w:bookmarkEnd w:id="6972"/>
      <w:bookmarkEnd w:id="6973"/>
      <w:bookmarkEnd w:id="697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对于实际测出的工程量超过招标清单所列数量25%的（工程量清单漏项、新增工程、设计变更等项目的工程量不计入此项），对超出25%以上的工程量承包人可申请重新确定结算价格。重新确定价格的方法：经监理人审核，发包人审批，报评审中心或发包人指定的第三方审定，以评审中心或发包人指定的第三方审定的综合单价为基准，下浮投标总价净下浮率后作为合同结算价。</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以上涉及工程量清单漏项的内容，不适用于固定总价合同。</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6992" w:name="_Toc1000"/>
      <w:bookmarkStart w:id="6993" w:name="_Toc517529766"/>
      <w:bookmarkStart w:id="6994" w:name="_Toc6226"/>
      <w:bookmarkStart w:id="6995" w:name="_Toc1077"/>
      <w:bookmarkStart w:id="6996" w:name="_Toc6704"/>
      <w:bookmarkStart w:id="6997" w:name="_Toc12862"/>
      <w:bookmarkStart w:id="6998" w:name="_Toc25913"/>
      <w:bookmarkStart w:id="6999" w:name="_Toc13347"/>
      <w:bookmarkStart w:id="7000" w:name="_Toc517532311"/>
      <w:bookmarkStart w:id="7001" w:name="_Toc3009"/>
      <w:bookmarkStart w:id="7002" w:name="_Toc26626"/>
      <w:bookmarkStart w:id="7003" w:name="_Toc517531035"/>
      <w:bookmarkStart w:id="7004" w:name="_Toc30410"/>
      <w:bookmarkStart w:id="7005" w:name="_Toc8904"/>
      <w:bookmarkStart w:id="7006" w:name="_Toc19249"/>
      <w:bookmarkStart w:id="7007" w:name="_Toc517528801"/>
      <w:bookmarkStart w:id="7008" w:name="_Toc14776"/>
      <w:bookmarkStart w:id="7009" w:name="_Toc30121"/>
      <w:bookmarkStart w:id="7010" w:name="_Toc14715"/>
      <w:r>
        <w:rPr>
          <w:rFonts w:hint="eastAsia" w:ascii="宋体" w:hAnsi="宋体" w:cs="宋体"/>
          <w:b/>
          <w:bCs/>
          <w:color w:val="auto"/>
          <w:sz w:val="30"/>
          <w:szCs w:val="30"/>
          <w:highlight w:val="none"/>
        </w:rPr>
        <w:t>11. 价格调整</w:t>
      </w:r>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7011" w:name="_Toc2215"/>
      <w:bookmarkStart w:id="7012" w:name="_Toc2053"/>
      <w:bookmarkStart w:id="7013" w:name="_Toc16546"/>
      <w:bookmarkStart w:id="7014" w:name="_Toc12496"/>
      <w:bookmarkStart w:id="7015" w:name="_Toc13819"/>
      <w:bookmarkStart w:id="7016" w:name="_Toc21263"/>
      <w:bookmarkStart w:id="7017" w:name="_Toc2884"/>
      <w:bookmarkStart w:id="7018" w:name="_Toc19023"/>
      <w:bookmarkStart w:id="7019" w:name="_Toc24283"/>
      <w:bookmarkStart w:id="7020" w:name="_Toc8927"/>
      <w:bookmarkStart w:id="7021" w:name="_Toc10551"/>
      <w:bookmarkStart w:id="7022" w:name="_Toc8821"/>
      <w:bookmarkStart w:id="7023" w:name="_Toc21275"/>
      <w:bookmarkStart w:id="7024" w:name="_Toc517532312"/>
      <w:bookmarkStart w:id="7025" w:name="_Toc16988"/>
      <w:bookmarkStart w:id="7026" w:name="_Toc517531036"/>
      <w:bookmarkStart w:id="7027" w:name="_Toc517528802"/>
      <w:bookmarkStart w:id="7028" w:name="_Toc30469"/>
      <w:r>
        <w:rPr>
          <w:rFonts w:hint="eastAsia" w:ascii="宋体" w:hAnsi="宋体" w:cs="宋体"/>
          <w:b/>
          <w:bCs/>
          <w:color w:val="auto"/>
          <w:sz w:val="28"/>
          <w:szCs w:val="28"/>
          <w:highlight w:val="none"/>
        </w:rPr>
        <w:t>11.1市场变化引起的费用的增加或减少</w:t>
      </w:r>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p>
    <w:p>
      <w:pPr>
        <w:tabs>
          <w:tab w:val="left" w:pos="1260"/>
        </w:tabs>
        <w:adjustRightInd w:val="0"/>
        <w:snapToGrid w:val="0"/>
        <w:spacing w:after="120" w:line="480" w:lineRule="auto"/>
        <w:ind w:left="420" w:leftChars="200" w:firstLine="210" w:firstLineChars="100"/>
        <w:jc w:val="left"/>
        <w:rPr>
          <w:rFonts w:hint="eastAsia" w:ascii="宋体" w:hAnsi="宋体"/>
          <w:color w:val="auto"/>
          <w:highlight w:val="none"/>
        </w:rPr>
      </w:pPr>
      <w:r>
        <w:rPr>
          <w:rFonts w:hint="eastAsia" w:ascii="宋体" w:hAnsi="宋体"/>
          <w:color w:val="auto"/>
          <w:highlight w:val="none"/>
        </w:rPr>
        <w:t xml:space="preserve"> </w:t>
      </w:r>
      <w:r>
        <w:rPr>
          <w:rFonts w:ascii="宋体" w:hAnsi="宋体"/>
          <w:bCs/>
          <w:color w:val="auto"/>
          <w:sz w:val="20"/>
          <w:szCs w:val="20"/>
          <w:highlight w:val="none"/>
        </w:rPr>
        <w:object>
          <v:shape id="_x0000_i1115" o:spt="201" type="#_x0000_t201" style="height:18pt;width:12.6pt;" o:ole="t" filled="f" o:preferrelative="t" stroked="f" coordsize="21600,21600">
            <v:path/>
            <v:fill on="f" focussize="0,0"/>
            <v:stroke on="f"/>
            <v:imagedata r:id="rId109" o:title=""/>
            <o:lock v:ext="edit" aspectratio="t"/>
            <w10:wrap type="none"/>
            <w10:anchorlock/>
          </v:shape>
          <w:control r:id="rId133" w:name="CheckBox1304" w:shapeid="_x0000_i1115"/>
        </w:object>
      </w:r>
      <w:r>
        <w:rPr>
          <w:rFonts w:hint="eastAsia" w:ascii="宋体" w:hAnsi="宋体"/>
          <w:color w:val="auto"/>
          <w:highlight w:val="none"/>
        </w:rPr>
        <w:t>承包人在投标时应考虑到在招标期间及合同有效期间内，由于劳务和（或）材料价格的上涨，以及任何其他事项的价格上涨而引起工程施工成本增加的风险，合同价款不会因此而调整（政府有明文规定的外）。</w:t>
      </w:r>
    </w:p>
    <w:p>
      <w:pPr>
        <w:tabs>
          <w:tab w:val="left" w:pos="945"/>
        </w:tabs>
        <w:adjustRightInd w:val="0"/>
        <w:snapToGrid w:val="0"/>
        <w:spacing w:line="360" w:lineRule="auto"/>
        <w:ind w:firstLine="630" w:firstLineChars="300"/>
        <w:jc w:val="left"/>
        <w:rPr>
          <w:rFonts w:hint="eastAsia" w:ascii="宋体" w:hAnsi="宋体"/>
          <w:color w:val="auto"/>
          <w:highlight w:val="none"/>
        </w:rPr>
      </w:pPr>
      <w:r>
        <w:rPr>
          <w:rFonts w:ascii="宋体" w:hAnsi="宋体"/>
          <w:color w:val="auto"/>
          <w:highlight w:val="none"/>
        </w:rPr>
        <w:object>
          <v:shape id="_x0000_i1116" o:spt="201" type="#_x0000_t201" style="height:14.4pt;width:12pt;" o:ole="t" filled="f" o:preferrelative="t" stroked="f" coordsize="21600,21600">
            <v:path/>
            <v:fill on="f" focussize="0,0"/>
            <v:stroke on="f"/>
            <v:imagedata r:id="rId11" o:title=""/>
            <o:lock v:ext="edit" aspectratio="t"/>
            <w10:wrap type="none"/>
            <w10:anchorlock/>
          </v:shape>
          <w:control r:id="rId134" w:name="CheckBox1196461" w:shapeid="_x0000_i1116"/>
        </w:object>
      </w:r>
      <w:r>
        <w:rPr>
          <w:rFonts w:hint="eastAsia" w:ascii="宋体" w:hAnsi="宋体"/>
          <w:color w:val="auto"/>
          <w:szCs w:val="20"/>
          <w:highlight w:val="none"/>
        </w:rPr>
        <w:t>本款适用于固定单价合同的调差。在合同履行过程中，</w:t>
      </w:r>
      <w:r>
        <w:rPr>
          <w:rFonts w:ascii="宋体" w:hAnsi="宋体"/>
          <w:color w:val="auto"/>
          <w:szCs w:val="23"/>
          <w:highlight w:val="none"/>
        </w:rPr>
        <w:object>
          <v:shape id="_x0000_i1117" o:spt="201" type="#_x0000_t201" style="height:14.4pt;width:12pt;" o:ole="t" filled="f" o:preferrelative="t" stroked="f" coordsize="21600,21600">
            <v:path/>
            <v:fill on="f" focussize="0,0"/>
            <v:stroke on="f"/>
            <v:imagedata r:id="rId11" o:title=""/>
            <o:lock v:ext="edit" aspectratio="t"/>
            <w10:wrap type="none"/>
            <w10:anchorlock/>
          </v:shape>
          <w:control r:id="rId135" w:name="CheckBox119648" w:shapeid="_x0000_i1117"/>
        </w:object>
      </w:r>
      <w:r>
        <w:rPr>
          <w:rFonts w:hint="eastAsia" w:ascii="宋体" w:hAnsi="宋体"/>
          <w:color w:val="auto"/>
          <w:szCs w:val="20"/>
          <w:highlight w:val="none"/>
        </w:rPr>
        <w:t>人工、</w:t>
      </w:r>
      <w:r>
        <w:rPr>
          <w:rFonts w:ascii="宋体" w:hAnsi="宋体"/>
          <w:color w:val="auto"/>
          <w:szCs w:val="23"/>
          <w:highlight w:val="none"/>
        </w:rPr>
        <w:object>
          <v:shape id="_x0000_i1118" o:spt="201" type="#_x0000_t201" style="height:14.4pt;width:12pt;" o:ole="t" filled="f" o:preferrelative="t" stroked="f" coordsize="21600,21600">
            <v:path/>
            <v:fill on="f" focussize="0,0"/>
            <v:stroke on="f"/>
            <v:imagedata r:id="rId11" o:title=""/>
            <o:lock v:ext="edit" aspectratio="t"/>
            <w10:wrap type="none"/>
            <w10:anchorlock/>
          </v:shape>
          <w:control r:id="rId136" w:name="CheckBox119649" w:shapeid="_x0000_i1118"/>
        </w:object>
      </w:r>
      <w:r>
        <w:rPr>
          <w:rFonts w:hint="eastAsia" w:ascii="宋体" w:hAnsi="宋体"/>
          <w:color w:val="auto"/>
          <w:szCs w:val="20"/>
          <w:highlight w:val="none"/>
        </w:rPr>
        <w:t>结构用钢材、</w:t>
      </w:r>
      <w:r>
        <w:rPr>
          <w:rFonts w:ascii="宋体" w:hAnsi="宋体"/>
          <w:color w:val="auto"/>
          <w:szCs w:val="23"/>
          <w:highlight w:val="none"/>
        </w:rPr>
        <w:object>
          <v:shape id="_x0000_i1119" o:spt="201" type="#_x0000_t201" style="height:14.4pt;width:12pt;" o:ole="t" filled="f" o:preferrelative="t" stroked="f" coordsize="21600,21600">
            <v:path/>
            <v:fill on="f" focussize="0,0"/>
            <v:stroke on="f"/>
            <v:imagedata r:id="rId11" o:title=""/>
            <o:lock v:ext="edit" aspectratio="t"/>
            <w10:wrap type="none"/>
            <w10:anchorlock/>
          </v:shape>
          <w:control r:id="rId137" w:name="CheckBox119650" w:shapeid="_x0000_i1119"/>
        </w:object>
      </w:r>
      <w:r>
        <w:rPr>
          <w:rFonts w:hint="eastAsia" w:ascii="宋体" w:hAnsi="宋体"/>
          <w:color w:val="auto"/>
          <w:szCs w:val="20"/>
          <w:highlight w:val="none"/>
        </w:rPr>
        <w:t>混凝土、</w:t>
      </w:r>
      <w:r>
        <w:rPr>
          <w:rFonts w:ascii="宋体" w:hAnsi="宋体"/>
          <w:color w:val="auto"/>
          <w:szCs w:val="23"/>
          <w:highlight w:val="none"/>
        </w:rPr>
        <w:object>
          <v:shape id="_x0000_i1120" o:spt="201" type="#_x0000_t201" style="height:14.4pt;width:12pt;" o:ole="t" filled="f" o:preferrelative="t" stroked="f" coordsize="21600,21600">
            <v:path/>
            <v:fill on="f" focussize="0,0"/>
            <v:stroke on="f"/>
            <v:imagedata r:id="rId11" o:title=""/>
            <o:lock v:ext="edit" aspectratio="t"/>
            <w10:wrap type="none"/>
            <w10:anchorlock/>
          </v:shape>
          <w:control r:id="rId138" w:name="CheckBox1196501" w:shapeid="_x0000_i1120"/>
        </w:object>
      </w:r>
      <w:r>
        <w:rPr>
          <w:rFonts w:hint="eastAsia" w:ascii="宋体" w:hAnsi="宋体"/>
          <w:color w:val="auto"/>
          <w:szCs w:val="20"/>
          <w:highlight w:val="none"/>
        </w:rPr>
        <w:t>沥青混凝土、</w:t>
      </w:r>
      <w:r>
        <w:rPr>
          <w:rFonts w:ascii="宋体" w:hAnsi="宋体"/>
          <w:color w:val="auto"/>
          <w:szCs w:val="23"/>
          <w:highlight w:val="none"/>
        </w:rPr>
        <w:object>
          <v:shape id="_x0000_i1121" o:spt="201" type="#_x0000_t201" style="height:14.4pt;width:12pt;" o:ole="t" filled="f" o:preferrelative="t" stroked="f" coordsize="21600,21600">
            <v:path/>
            <v:fill on="f" focussize="0,0"/>
            <v:stroke on="f"/>
            <v:imagedata r:id="rId11" o:title=""/>
            <o:lock v:ext="edit" aspectratio="t"/>
            <w10:wrap type="none"/>
            <w10:anchorlock/>
          </v:shape>
          <w:control r:id="rId139" w:name="CheckBox119651" w:shapeid="_x0000_i1121"/>
        </w:object>
      </w:r>
      <w:r>
        <w:rPr>
          <w:rFonts w:hint="eastAsia" w:ascii="宋体" w:hAnsi="宋体"/>
          <w:color w:val="auto"/>
          <w:szCs w:val="20"/>
          <w:highlight w:val="none"/>
        </w:rPr>
        <w:t>电</w:t>
      </w:r>
      <w:r>
        <w:rPr>
          <w:rFonts w:hint="eastAsia" w:ascii="宋体" w:hAnsi="宋体"/>
          <w:color w:val="auto"/>
          <w:highlight w:val="none"/>
        </w:rPr>
        <w:t>缆、</w:t>
      </w:r>
      <w:r>
        <w:rPr>
          <w:rFonts w:ascii="宋体" w:hAnsi="宋体"/>
          <w:color w:val="auto"/>
          <w:szCs w:val="23"/>
          <w:highlight w:val="none"/>
        </w:rPr>
        <w:object>
          <v:shape id="_x0000_i1122" o:spt="201" type="#_x0000_t201" style="height:14.4pt;width:12pt;" o:ole="t" filled="f" o:preferrelative="t" stroked="f" coordsize="21600,21600">
            <v:path/>
            <v:fill on="f" focussize="0,0"/>
            <v:stroke on="f"/>
            <v:imagedata r:id="rId11" o:title=""/>
            <o:lock v:ext="edit" aspectratio="t"/>
            <w10:wrap type="none"/>
            <w10:anchorlock/>
          </v:shape>
          <w:control r:id="rId140" w:name="CheckBox119652" w:shapeid="_x0000_i1122"/>
        </w:object>
      </w:r>
      <w:r>
        <w:rPr>
          <w:rFonts w:hint="eastAsia" w:ascii="宋体" w:hAnsi="宋体"/>
          <w:color w:val="auto"/>
          <w:highlight w:val="none"/>
        </w:rPr>
        <w:t>预拌砂浆、</w:t>
      </w:r>
      <w:r>
        <w:rPr>
          <w:rFonts w:ascii="宋体" w:hAnsi="宋体"/>
          <w:color w:val="auto"/>
          <w:szCs w:val="23"/>
          <w:highlight w:val="none"/>
        </w:rPr>
        <w:object>
          <v:shape id="_x0000_i1123" o:spt="201" type="#_x0000_t201" style="height:14.4pt;width:12pt;" o:ole="t" filled="f" o:preferrelative="t" stroked="f" coordsize="21600,21600">
            <v:path/>
            <v:fill on="f" focussize="0,0"/>
            <v:stroke on="f"/>
            <v:imagedata r:id="rId11" o:title=""/>
            <o:lock v:ext="edit" aspectratio="t"/>
            <w10:wrap type="none"/>
            <w10:anchorlock/>
          </v:shape>
          <w:control r:id="rId141" w:name="CheckBox119653" w:shapeid="_x0000_i1123"/>
        </w:object>
      </w:r>
      <w:r>
        <w:rPr>
          <w:rFonts w:hint="eastAsia" w:ascii="宋体" w:hAnsi="宋体"/>
          <w:color w:val="auto"/>
          <w:highlight w:val="none"/>
        </w:rPr>
        <w:t>柴油、</w:t>
      </w:r>
      <w:bookmarkStart w:id="7029" w:name="_1636186720"/>
      <w:bookmarkEnd w:id="7029"/>
      <w:r>
        <w:rPr>
          <w:rFonts w:ascii="宋体" w:hAnsi="宋体"/>
          <w:color w:val="auto"/>
          <w:szCs w:val="23"/>
          <w:highlight w:val="none"/>
        </w:rPr>
        <w:object>
          <v:shape id="_x0000_i1124" o:spt="201" type="#_x0000_t201" style="height:14.4pt;width:12pt;" o:ole="t" filled="f" o:preferrelative="t" stroked="f" coordsize="21600,21600">
            <v:path/>
            <v:fill on="f" focussize="0,0"/>
            <v:stroke on="f"/>
            <v:imagedata r:id="rId11" o:title=""/>
            <o:lock v:ext="edit" aspectratio="t"/>
            <w10:wrap type="none"/>
            <w10:anchorlock/>
          </v:shape>
          <w:control r:id="rId142" w:name="CheckBox119654" w:shapeid="_x0000_i1124"/>
        </w:object>
      </w:r>
      <w:r>
        <w:rPr>
          <w:rFonts w:hint="eastAsia" w:ascii="宋体" w:hAnsi="宋体"/>
          <w:color w:val="auto"/>
          <w:highlight w:val="none"/>
        </w:rPr>
        <w:t>汽油、</w:t>
      </w:r>
      <w:r>
        <w:rPr>
          <w:rFonts w:ascii="宋体" w:hAnsi="宋体"/>
          <w:color w:val="auto"/>
          <w:szCs w:val="23"/>
          <w:highlight w:val="none"/>
        </w:rPr>
        <w:object>
          <v:shape id="_x0000_i1125" o:spt="201" type="#_x0000_t201" style="height:14.4pt;width:12pt;" o:ole="t" filled="f" o:preferrelative="t" stroked="f" coordsize="21600,21600">
            <v:path/>
            <v:fill on="f" focussize="0,0"/>
            <v:stroke on="f"/>
            <v:imagedata r:id="rId11" o:title=""/>
            <o:lock v:ext="edit" aspectratio="t"/>
            <w10:wrap type="none"/>
            <w10:anchorlock/>
          </v:shape>
          <w:control r:id="rId143" w:name="CheckBox1196541" w:shapeid="_x0000_i1125"/>
        </w:object>
      </w:r>
      <w:r>
        <w:rPr>
          <w:rFonts w:hint="eastAsia" w:ascii="宋体" w:hAnsi="宋体"/>
          <w:color w:val="auto"/>
          <w:highlight w:val="none"/>
        </w:rPr>
        <w:t>砌块【含有大型土石方招标时，柴油、汽油调差】价格比截标期信息价格（详见调整公式）涨落超过</w:t>
      </w:r>
      <w:r>
        <w:rPr>
          <w:rFonts w:hint="eastAsia" w:ascii="宋体" w:hAnsi="宋体"/>
          <w:b/>
          <w:color w:val="auto"/>
          <w:highlight w:val="none"/>
          <w:u w:val="single"/>
        </w:rPr>
        <w:t>±5%</w:t>
      </w:r>
      <w:r>
        <w:rPr>
          <w:rFonts w:hint="eastAsia" w:ascii="宋体" w:hAnsi="宋体"/>
          <w:color w:val="auto"/>
          <w:highlight w:val="none"/>
        </w:rPr>
        <w:t>（不含本数）时，其超过部分的人工、材料价格可给予调整。采用施工期信息价或通过市场询价定价的材料，以及措施费中包含的人工、材料，不再进行调差，不适用本款。</w:t>
      </w:r>
    </w:p>
    <w:p>
      <w:pPr>
        <w:tabs>
          <w:tab w:val="left" w:pos="945"/>
        </w:tabs>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olor w:val="auto"/>
          <w:highlight w:val="none"/>
        </w:rPr>
        <w:t>上述人工、材料的调整在与其相关的工程完工后一次性进行，调差比例以施工期内人工、材料加权变动幅度进行计算。调整的金额经确认后，可在随后及时进行支付。例如：房屋建筑总承包工程在主体结构封顶之后，与钢材、混凝土有关的工程就全部完成，之后不再有工程需要使用钢材、混凝土时，就可进行本合同钢材、混凝土的价格调整并办理支付手续；其他人工、材料的价格调整参照上述方法进行。具体调差公式为：</w:t>
      </w:r>
      <w:r>
        <w:rPr>
          <w:rFonts w:hint="eastAsia" w:ascii="宋体" w:hAnsi="宋体" w:cs="宋体"/>
          <w:b/>
          <w:bCs/>
          <w:color w:val="auto"/>
          <w:sz w:val="28"/>
          <w:szCs w:val="28"/>
          <w:highlight w:val="none"/>
        </w:rPr>
        <w:t xml:space="preserve"> </w:t>
      </w:r>
    </w:p>
    <w:p>
      <w:pPr>
        <w:keepNext/>
        <w:keepLines/>
        <w:numPr>
          <w:ilvl w:val="0"/>
          <w:numId w:val="11"/>
        </w:numPr>
        <w:spacing w:before="156" w:beforeLines="50" w:after="156" w:afterLines="50" w:line="360" w:lineRule="auto"/>
        <w:ind w:firstLine="728" w:firstLineChars="302"/>
        <w:outlineLvl w:val="3"/>
        <w:rPr>
          <w:rFonts w:hint="eastAsia" w:ascii="宋体" w:hAnsi="宋体" w:cs="宋体"/>
          <w:b/>
          <w:bCs/>
          <w:color w:val="auto"/>
          <w:sz w:val="24"/>
          <w:szCs w:val="24"/>
          <w:highlight w:val="none"/>
        </w:rPr>
      </w:pPr>
      <w:bookmarkStart w:id="7030" w:name="_Toc9598"/>
      <w:bookmarkStart w:id="7031" w:name="_Toc25982"/>
      <w:bookmarkStart w:id="7032" w:name="_Toc2803"/>
      <w:bookmarkStart w:id="7033" w:name="_Toc11096"/>
      <w:bookmarkStart w:id="7034" w:name="_Toc517531037"/>
      <w:bookmarkStart w:id="7035" w:name="_Toc26855"/>
      <w:bookmarkStart w:id="7036" w:name="_Toc517532313"/>
      <w:bookmarkStart w:id="7037" w:name="_Toc11852"/>
      <w:bookmarkStart w:id="7038" w:name="_Toc30781"/>
      <w:r>
        <w:rPr>
          <w:rFonts w:hint="eastAsia" w:ascii="宋体" w:hAnsi="宋体" w:cs="宋体"/>
          <w:b/>
          <w:bCs/>
          <w:color w:val="auto"/>
          <w:sz w:val="24"/>
          <w:szCs w:val="24"/>
          <w:highlight w:val="none"/>
        </w:rPr>
        <w:t>11.1.1材料调差方法</w:t>
      </w:r>
      <w:bookmarkEnd w:id="7030"/>
      <w:bookmarkEnd w:id="7031"/>
      <w:bookmarkEnd w:id="7032"/>
      <w:bookmarkEnd w:id="7033"/>
      <w:bookmarkEnd w:id="7034"/>
      <w:bookmarkEnd w:id="7035"/>
      <w:bookmarkEnd w:id="7036"/>
      <w:bookmarkEnd w:id="7037"/>
      <w:bookmarkEnd w:id="7038"/>
    </w:p>
    <w:p>
      <w:pPr>
        <w:tabs>
          <w:tab w:val="left" w:pos="1620"/>
          <w:tab w:val="left" w:pos="2340"/>
        </w:tabs>
        <w:snapToGrid w:val="0"/>
        <w:spacing w:line="360" w:lineRule="auto"/>
        <w:ind w:firstLine="1050" w:firstLineChars="500"/>
        <w:rPr>
          <w:rFonts w:hint="eastAsia" w:ascii="宋体" w:hAnsi="宋体"/>
          <w:color w:val="auto"/>
          <w:highlight w:val="none"/>
        </w:rPr>
      </w:pPr>
      <w:r>
        <w:rPr>
          <w:rFonts w:hint="eastAsia" w:ascii="宋体" w:hAnsi="宋体"/>
          <w:color w:val="auto"/>
          <w:highlight w:val="none"/>
        </w:rPr>
        <w:t>当</w:t>
      </w:r>
      <w:r>
        <w:rPr>
          <w:rFonts w:ascii="Cambria" w:hAnsi="Cambria"/>
          <w:i/>
          <w:color w:val="auto"/>
          <w:sz w:val="24"/>
          <w:highlight w:val="none"/>
        </w:rPr>
        <w:sym w:font="Symbol" w:char="F060"/>
      </w:r>
      <w:r>
        <w:rPr>
          <w:rFonts w:ascii="Cambria" w:hAnsi="Cambria"/>
          <w:i/>
          <w:color w:val="auto"/>
          <w:sz w:val="24"/>
          <w:highlight w:val="none"/>
        </w:rPr>
        <w:t>P</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0</w:t>
      </w:r>
      <w:r>
        <w:rPr>
          <w:rFonts w:hint="eastAsia" w:ascii="宋体" w:hAnsi="宋体"/>
          <w:color w:val="auto"/>
          <w:highlight w:val="none"/>
        </w:rPr>
        <w:t>时：</w:t>
      </w:r>
    </w:p>
    <w:p>
      <w:pPr>
        <w:tabs>
          <w:tab w:val="left" w:pos="1620"/>
          <w:tab w:val="left" w:pos="2340"/>
        </w:tabs>
        <w:snapToGrid w:val="0"/>
        <w:spacing w:line="360" w:lineRule="auto"/>
        <w:ind w:firstLine="1200" w:firstLineChars="500"/>
        <w:rPr>
          <w:rFonts w:hint="eastAsia" w:ascii="宋体" w:hAnsi="宋体"/>
          <w:color w:val="auto"/>
          <w:highlight w:val="none"/>
        </w:rPr>
      </w:pPr>
      <w:r>
        <w:rPr>
          <w:rFonts w:hint="eastAsia" w:ascii="Cambria" w:hAnsi="Cambria"/>
          <w:color w:val="auto"/>
          <w:sz w:val="24"/>
          <w:highlight w:val="none"/>
        </w:rPr>
        <w:t>①</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Cambria" w:hAnsi="Cambria"/>
          <w:i/>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0</w:t>
      </w:r>
      <w:r>
        <w:rPr>
          <w:rFonts w:hint="eastAsia" w:ascii="Cambria" w:hAnsi="Cambria"/>
          <w:i/>
          <w:color w:val="auto"/>
          <w:sz w:val="24"/>
          <w:highlight w:val="none"/>
        </w:rPr>
        <w:t>，</w:t>
      </w:r>
      <w:r>
        <w:rPr>
          <w:rFonts w:hint="eastAsia" w:ascii="宋体" w:hAnsi="宋体"/>
          <w:color w:val="auto"/>
          <w:highlight w:val="none"/>
        </w:rPr>
        <w:t>且</w:t>
      </w:r>
      <w:r>
        <w:rPr>
          <w:rFonts w:ascii="Cambria" w:hAnsi="Cambria"/>
          <w:i/>
          <w:color w:val="auto"/>
          <w:sz w:val="24"/>
          <w:highlight w:val="none"/>
        </w:rPr>
        <w:sym w:font="Symbol" w:char="F060"/>
      </w:r>
      <w:r>
        <w:rPr>
          <w:rFonts w:ascii="Cambria" w:hAnsi="Cambria"/>
          <w:i/>
          <w:color w:val="auto"/>
          <w:sz w:val="24"/>
          <w:highlight w:val="none"/>
        </w:rPr>
        <w:t xml:space="preserve">P </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0</w:t>
      </w:r>
      <w:r>
        <w:rPr>
          <w:rFonts w:hint="eastAsia" w:ascii="宋体" w:hAnsi="宋体"/>
          <w:color w:val="auto"/>
          <w:sz w:val="24"/>
          <w:highlight w:val="none"/>
        </w:rPr>
        <w:t>＞1.05</w:t>
      </w:r>
      <w:r>
        <w:rPr>
          <w:rFonts w:hint="eastAsia" w:ascii="宋体" w:hAnsi="宋体"/>
          <w:color w:val="auto"/>
          <w:highlight w:val="none"/>
        </w:rPr>
        <w:t>，则：</w:t>
      </w:r>
    </w:p>
    <w:p>
      <w:pPr>
        <w:tabs>
          <w:tab w:val="left" w:pos="1620"/>
          <w:tab w:val="left" w:pos="2340"/>
        </w:tabs>
        <w:snapToGrid w:val="0"/>
        <w:spacing w:line="360" w:lineRule="auto"/>
        <w:ind w:firstLine="1200" w:firstLineChars="500"/>
        <w:rPr>
          <w:rFonts w:hint="eastAsia" w:ascii="宋体" w:hAnsi="宋体"/>
          <w:color w:val="auto"/>
          <w:sz w:val="24"/>
          <w:highlight w:val="none"/>
        </w:rPr>
      </w:pPr>
      <w:r>
        <w:rPr>
          <w:rFonts w:hint="eastAsia" w:ascii="宋体" w:hAnsi="宋体"/>
          <w:color w:val="auto"/>
          <w:sz w:val="24"/>
          <w:highlight w:val="none"/>
        </w:rPr>
        <w:t>C</w:t>
      </w:r>
      <w:r>
        <w:rPr>
          <w:rFonts w:hint="eastAsia" w:ascii="宋体" w:hAnsi="宋体"/>
          <w:color w:val="auto"/>
          <w:sz w:val="24"/>
          <w:highlight w:val="none"/>
          <w:vertAlign w:val="subscript"/>
        </w:rPr>
        <w:t>增</w:t>
      </w:r>
      <w:r>
        <w:rPr>
          <w:rFonts w:hint="eastAsia" w:ascii="宋体" w:hAnsi="宋体"/>
          <w:color w:val="auto"/>
          <w:sz w:val="24"/>
          <w:highlight w:val="none"/>
        </w:rPr>
        <w:t>=</w:t>
      </w:r>
      <w:r>
        <w:rPr>
          <w:rFonts w:ascii="Cambria" w:hAnsi="Cambria"/>
          <w:i/>
          <w:color w:val="auto"/>
          <w:sz w:val="24"/>
          <w:highlight w:val="none"/>
        </w:rPr>
        <w:t>Q</w:t>
      </w:r>
      <w:r>
        <w:rPr>
          <w:rFonts w:hint="eastAsia" w:ascii="宋体" w:hAnsi="宋体"/>
          <w:color w:val="auto"/>
          <w:sz w:val="24"/>
          <w:highlight w:val="none"/>
          <w:vertAlign w:val="subscript"/>
        </w:rPr>
        <w:t>总</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宋体" w:hAnsi="宋体"/>
          <w:color w:val="auto"/>
          <w:sz w:val="24"/>
          <w:highlight w:val="none"/>
        </w:rPr>
        <w:t>×(</w:t>
      </w:r>
      <w:r>
        <w:rPr>
          <w:rFonts w:ascii="Cambria" w:hAnsi="Cambria"/>
          <w:i/>
          <w:color w:val="auto"/>
          <w:sz w:val="24"/>
          <w:highlight w:val="none"/>
        </w:rPr>
        <w:sym w:font="Symbol" w:char="F060"/>
      </w:r>
      <w:r>
        <w:rPr>
          <w:rFonts w:ascii="Cambria" w:hAnsi="Cambria"/>
          <w:i/>
          <w:color w:val="auto"/>
          <w:sz w:val="24"/>
          <w:highlight w:val="none"/>
        </w:rPr>
        <w:t xml:space="preserve">P </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0</w:t>
      </w:r>
      <w:r>
        <w:rPr>
          <w:rFonts w:hint="eastAsia" w:ascii="宋体" w:hAnsi="宋体"/>
          <w:color w:val="auto"/>
          <w:sz w:val="24"/>
          <w:highlight w:val="none"/>
        </w:rPr>
        <w:t>－1.05)</w:t>
      </w:r>
    </w:p>
    <w:p>
      <w:pPr>
        <w:tabs>
          <w:tab w:val="left" w:pos="1620"/>
          <w:tab w:val="left" w:pos="2340"/>
        </w:tabs>
        <w:snapToGrid w:val="0"/>
        <w:spacing w:line="360" w:lineRule="auto"/>
        <w:ind w:firstLine="1200" w:firstLineChars="500"/>
        <w:rPr>
          <w:rFonts w:hint="eastAsia" w:ascii="宋体" w:hAnsi="宋体"/>
          <w:color w:val="auto"/>
          <w:highlight w:val="none"/>
        </w:rPr>
      </w:pPr>
      <w:r>
        <w:rPr>
          <w:rFonts w:hint="eastAsia" w:ascii="Cambria" w:hAnsi="Cambria"/>
          <w:color w:val="auto"/>
          <w:sz w:val="24"/>
          <w:highlight w:val="none"/>
        </w:rPr>
        <w:t>②</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Cambria" w:hAnsi="Cambria"/>
          <w:i/>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0</w:t>
      </w:r>
      <w:r>
        <w:rPr>
          <w:rFonts w:hint="eastAsia" w:ascii="宋体" w:hAnsi="宋体"/>
          <w:color w:val="auto"/>
          <w:highlight w:val="none"/>
        </w:rPr>
        <w:t>，且</w:t>
      </w:r>
      <w:r>
        <w:rPr>
          <w:rFonts w:ascii="Cambria" w:hAnsi="Cambria"/>
          <w:i/>
          <w:color w:val="auto"/>
          <w:sz w:val="24"/>
          <w:highlight w:val="none"/>
        </w:rPr>
        <w:sym w:font="Symbol" w:char="F060"/>
      </w:r>
      <w:r>
        <w:rPr>
          <w:rFonts w:ascii="Cambria" w:hAnsi="Cambria"/>
          <w:i/>
          <w:color w:val="auto"/>
          <w:sz w:val="24"/>
          <w:highlight w:val="none"/>
        </w:rPr>
        <w:t xml:space="preserve">P </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宋体" w:hAnsi="宋体"/>
          <w:color w:val="auto"/>
          <w:sz w:val="24"/>
          <w:highlight w:val="none"/>
        </w:rPr>
        <w:t>＞1.05</w:t>
      </w:r>
      <w:r>
        <w:rPr>
          <w:rFonts w:hint="eastAsia" w:ascii="宋体" w:hAnsi="宋体"/>
          <w:color w:val="auto"/>
          <w:highlight w:val="none"/>
        </w:rPr>
        <w:t>，则：</w:t>
      </w:r>
    </w:p>
    <w:p>
      <w:pPr>
        <w:tabs>
          <w:tab w:val="left" w:pos="1620"/>
          <w:tab w:val="left" w:pos="2340"/>
        </w:tabs>
        <w:snapToGrid w:val="0"/>
        <w:spacing w:line="360" w:lineRule="auto"/>
        <w:ind w:firstLine="1200" w:firstLineChars="500"/>
        <w:rPr>
          <w:rFonts w:hint="eastAsia" w:ascii="宋体" w:hAnsi="宋体"/>
          <w:color w:val="auto"/>
          <w:sz w:val="24"/>
          <w:highlight w:val="none"/>
        </w:rPr>
      </w:pPr>
      <w:r>
        <w:rPr>
          <w:rFonts w:hint="eastAsia" w:ascii="宋体" w:hAnsi="宋体"/>
          <w:color w:val="auto"/>
          <w:sz w:val="24"/>
          <w:highlight w:val="none"/>
        </w:rPr>
        <w:t>C</w:t>
      </w:r>
      <w:r>
        <w:rPr>
          <w:rFonts w:hint="eastAsia" w:ascii="宋体" w:hAnsi="宋体"/>
          <w:color w:val="auto"/>
          <w:sz w:val="24"/>
          <w:highlight w:val="none"/>
          <w:vertAlign w:val="subscript"/>
        </w:rPr>
        <w:t>增</w:t>
      </w:r>
      <w:r>
        <w:rPr>
          <w:rFonts w:hint="eastAsia" w:ascii="宋体" w:hAnsi="宋体"/>
          <w:color w:val="auto"/>
          <w:sz w:val="24"/>
          <w:highlight w:val="none"/>
        </w:rPr>
        <w:t>=Q</w:t>
      </w:r>
      <w:r>
        <w:rPr>
          <w:rFonts w:hint="eastAsia" w:ascii="宋体" w:hAnsi="宋体"/>
          <w:color w:val="auto"/>
          <w:sz w:val="24"/>
          <w:highlight w:val="none"/>
          <w:vertAlign w:val="subscript"/>
        </w:rPr>
        <w:t>总</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宋体" w:hAnsi="宋体"/>
          <w:color w:val="auto"/>
          <w:sz w:val="24"/>
          <w:highlight w:val="none"/>
        </w:rPr>
        <w:t>×(</w:t>
      </w:r>
      <w:r>
        <w:rPr>
          <w:rFonts w:ascii="Cambria" w:hAnsi="Cambria"/>
          <w:i/>
          <w:color w:val="auto"/>
          <w:sz w:val="24"/>
          <w:highlight w:val="none"/>
        </w:rPr>
        <w:sym w:font="Symbol" w:char="F060"/>
      </w:r>
      <w:r>
        <w:rPr>
          <w:rFonts w:ascii="Cambria" w:hAnsi="Cambria"/>
          <w:i/>
          <w:color w:val="auto"/>
          <w:sz w:val="24"/>
          <w:highlight w:val="none"/>
        </w:rPr>
        <w:t xml:space="preserve">P </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宋体" w:hAnsi="宋体"/>
          <w:color w:val="auto"/>
          <w:sz w:val="24"/>
          <w:highlight w:val="none"/>
        </w:rPr>
        <w:t>－1.05)</w:t>
      </w:r>
    </w:p>
    <w:p>
      <w:pPr>
        <w:tabs>
          <w:tab w:val="left" w:pos="1620"/>
          <w:tab w:val="left" w:pos="2340"/>
        </w:tabs>
        <w:snapToGrid w:val="0"/>
        <w:spacing w:before="156" w:line="360" w:lineRule="auto"/>
        <w:ind w:firstLine="1050" w:firstLineChars="500"/>
        <w:rPr>
          <w:rFonts w:hint="eastAsia" w:ascii="宋体" w:hAnsi="宋体"/>
          <w:color w:val="auto"/>
          <w:highlight w:val="none"/>
        </w:rPr>
      </w:pPr>
      <w:r>
        <w:rPr>
          <w:rFonts w:hint="eastAsia" w:ascii="宋体" w:hAnsi="宋体"/>
          <w:color w:val="auto"/>
          <w:highlight w:val="none"/>
        </w:rPr>
        <w:t>当</w:t>
      </w:r>
      <w:r>
        <w:rPr>
          <w:rFonts w:ascii="Cambria" w:hAnsi="Cambria"/>
          <w:i/>
          <w:color w:val="auto"/>
          <w:sz w:val="24"/>
          <w:highlight w:val="none"/>
        </w:rPr>
        <w:sym w:font="Symbol" w:char="F060"/>
      </w:r>
      <w:r>
        <w:rPr>
          <w:rFonts w:ascii="Cambria" w:hAnsi="Cambria"/>
          <w:i/>
          <w:color w:val="auto"/>
          <w:sz w:val="24"/>
          <w:highlight w:val="none"/>
        </w:rPr>
        <w:t>P</w:t>
      </w:r>
      <w:r>
        <w:rPr>
          <w:rFonts w:hint="eastAsia" w:ascii="Cambria" w:hAnsi="Cambria"/>
          <w:i/>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0</w:t>
      </w:r>
      <w:r>
        <w:rPr>
          <w:rFonts w:hint="eastAsia" w:ascii="宋体" w:hAnsi="宋体"/>
          <w:color w:val="auto"/>
          <w:highlight w:val="none"/>
        </w:rPr>
        <w:t>时：</w:t>
      </w:r>
    </w:p>
    <w:p>
      <w:pPr>
        <w:tabs>
          <w:tab w:val="left" w:pos="1620"/>
          <w:tab w:val="left" w:pos="2340"/>
        </w:tabs>
        <w:snapToGrid w:val="0"/>
        <w:spacing w:line="360" w:lineRule="auto"/>
        <w:ind w:firstLine="1200" w:firstLineChars="500"/>
        <w:rPr>
          <w:rFonts w:hint="eastAsia" w:ascii="宋体" w:hAnsi="宋体"/>
          <w:color w:val="auto"/>
          <w:highlight w:val="none"/>
        </w:rPr>
      </w:pPr>
      <w:r>
        <w:rPr>
          <w:rFonts w:hint="eastAsia" w:ascii="Cambria" w:hAnsi="Cambria"/>
          <w:color w:val="auto"/>
          <w:sz w:val="24"/>
          <w:highlight w:val="none"/>
        </w:rPr>
        <w:t>①</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Cambria" w:hAnsi="Cambria"/>
          <w:i/>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0</w:t>
      </w:r>
      <w:r>
        <w:rPr>
          <w:rFonts w:hint="eastAsia" w:ascii="宋体" w:hAnsi="宋体"/>
          <w:color w:val="auto"/>
          <w:highlight w:val="none"/>
        </w:rPr>
        <w:t>，且</w:t>
      </w:r>
      <w:r>
        <w:rPr>
          <w:rFonts w:ascii="Cambria" w:hAnsi="Cambria"/>
          <w:i/>
          <w:color w:val="auto"/>
          <w:sz w:val="24"/>
          <w:highlight w:val="none"/>
        </w:rPr>
        <w:sym w:font="Symbol" w:char="F060"/>
      </w:r>
      <w:r>
        <w:rPr>
          <w:rFonts w:ascii="Cambria" w:hAnsi="Cambria"/>
          <w:i/>
          <w:color w:val="auto"/>
          <w:sz w:val="24"/>
          <w:highlight w:val="none"/>
        </w:rPr>
        <w:t xml:space="preserve">P </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Cambria" w:hAnsi="Cambria"/>
          <w:color w:val="auto"/>
          <w:sz w:val="24"/>
          <w:highlight w:val="none"/>
        </w:rPr>
        <w:t>＜</w:t>
      </w:r>
      <w:r>
        <w:rPr>
          <w:rFonts w:hint="eastAsia" w:ascii="宋体" w:hAnsi="宋体"/>
          <w:color w:val="auto"/>
          <w:sz w:val="24"/>
          <w:highlight w:val="none"/>
        </w:rPr>
        <w:t>0.95</w:t>
      </w:r>
      <w:r>
        <w:rPr>
          <w:rFonts w:hint="eastAsia" w:ascii="宋体" w:hAnsi="宋体"/>
          <w:color w:val="auto"/>
          <w:highlight w:val="none"/>
        </w:rPr>
        <w:t>，则：</w:t>
      </w:r>
    </w:p>
    <w:p>
      <w:pPr>
        <w:tabs>
          <w:tab w:val="left" w:pos="1620"/>
          <w:tab w:val="left" w:pos="2340"/>
        </w:tabs>
        <w:snapToGrid w:val="0"/>
        <w:spacing w:line="360" w:lineRule="auto"/>
        <w:ind w:firstLine="1200" w:firstLineChars="500"/>
        <w:rPr>
          <w:rFonts w:hint="eastAsia" w:ascii="宋体" w:hAnsi="宋体"/>
          <w:color w:val="auto"/>
          <w:sz w:val="24"/>
          <w:highlight w:val="none"/>
        </w:rPr>
      </w:pPr>
      <w:r>
        <w:rPr>
          <w:rFonts w:hint="eastAsia" w:ascii="宋体" w:hAnsi="宋体"/>
          <w:color w:val="auto"/>
          <w:sz w:val="24"/>
          <w:highlight w:val="none"/>
        </w:rPr>
        <w:t>C</w:t>
      </w:r>
      <w:r>
        <w:rPr>
          <w:rFonts w:hint="eastAsia" w:ascii="宋体" w:hAnsi="宋体"/>
          <w:color w:val="auto"/>
          <w:sz w:val="24"/>
          <w:highlight w:val="none"/>
          <w:vertAlign w:val="subscript"/>
        </w:rPr>
        <w:t>减</w:t>
      </w:r>
      <w:r>
        <w:rPr>
          <w:rFonts w:hint="eastAsia" w:ascii="宋体" w:hAnsi="宋体"/>
          <w:color w:val="auto"/>
          <w:sz w:val="24"/>
          <w:highlight w:val="none"/>
        </w:rPr>
        <w:t>=</w:t>
      </w:r>
      <w:r>
        <w:rPr>
          <w:rFonts w:ascii="Cambria" w:hAnsi="Cambria"/>
          <w:i/>
          <w:color w:val="auto"/>
          <w:sz w:val="24"/>
          <w:highlight w:val="none"/>
        </w:rPr>
        <w:t>Q</w:t>
      </w:r>
      <w:r>
        <w:rPr>
          <w:rFonts w:hint="eastAsia" w:ascii="宋体" w:hAnsi="宋体"/>
          <w:color w:val="auto"/>
          <w:sz w:val="24"/>
          <w:highlight w:val="none"/>
          <w:vertAlign w:val="subscript"/>
        </w:rPr>
        <w:t>总</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宋体" w:hAnsi="宋体"/>
          <w:color w:val="auto"/>
          <w:sz w:val="24"/>
          <w:highlight w:val="none"/>
        </w:rPr>
        <w:t>×(0.95－</w:t>
      </w:r>
      <w:r>
        <w:rPr>
          <w:rFonts w:ascii="Cambria" w:hAnsi="Cambria"/>
          <w:i/>
          <w:color w:val="auto"/>
          <w:sz w:val="24"/>
          <w:highlight w:val="none"/>
        </w:rPr>
        <w:sym w:font="Symbol" w:char="F060"/>
      </w:r>
      <w:r>
        <w:rPr>
          <w:rFonts w:ascii="Cambria" w:hAnsi="Cambria"/>
          <w:i/>
          <w:color w:val="auto"/>
          <w:sz w:val="24"/>
          <w:highlight w:val="none"/>
        </w:rPr>
        <w:t xml:space="preserve">P </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宋体" w:hAnsi="宋体"/>
          <w:color w:val="auto"/>
          <w:sz w:val="24"/>
          <w:highlight w:val="none"/>
        </w:rPr>
        <w:t>)</w:t>
      </w:r>
    </w:p>
    <w:p>
      <w:pPr>
        <w:tabs>
          <w:tab w:val="left" w:pos="1620"/>
          <w:tab w:val="left" w:pos="2340"/>
        </w:tabs>
        <w:snapToGrid w:val="0"/>
        <w:spacing w:line="360" w:lineRule="auto"/>
        <w:ind w:firstLine="1200" w:firstLineChars="500"/>
        <w:rPr>
          <w:rFonts w:hint="eastAsia" w:ascii="宋体" w:hAnsi="宋体"/>
          <w:color w:val="auto"/>
          <w:highlight w:val="none"/>
        </w:rPr>
      </w:pPr>
      <w:r>
        <w:rPr>
          <w:rFonts w:hint="eastAsia" w:ascii="Cambria" w:hAnsi="Cambria"/>
          <w:color w:val="auto"/>
          <w:sz w:val="24"/>
          <w:highlight w:val="none"/>
        </w:rPr>
        <w:t>②</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0</w:t>
      </w:r>
      <w:r>
        <w:rPr>
          <w:rFonts w:hint="eastAsia" w:ascii="宋体" w:hAnsi="宋体"/>
          <w:color w:val="auto"/>
          <w:highlight w:val="none"/>
        </w:rPr>
        <w:t>，且</w:t>
      </w:r>
      <w:r>
        <w:rPr>
          <w:rFonts w:ascii="Cambria" w:hAnsi="Cambria"/>
          <w:i/>
          <w:color w:val="auto"/>
          <w:sz w:val="24"/>
          <w:highlight w:val="none"/>
        </w:rPr>
        <w:sym w:font="Symbol" w:char="F060"/>
      </w:r>
      <w:r>
        <w:rPr>
          <w:rFonts w:ascii="Cambria" w:hAnsi="Cambria"/>
          <w:i/>
          <w:color w:val="auto"/>
          <w:sz w:val="24"/>
          <w:highlight w:val="none"/>
        </w:rPr>
        <w:t>P</w:t>
      </w:r>
      <w:r>
        <w:rPr>
          <w:color w:val="auto"/>
          <w:highlight w:val="none"/>
        </w:rPr>
        <w:t xml:space="preserve"> </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0</w:t>
      </w:r>
      <w:r>
        <w:rPr>
          <w:rFonts w:hint="eastAsia" w:ascii="Cambria" w:hAnsi="Cambria"/>
          <w:color w:val="auto"/>
          <w:sz w:val="24"/>
          <w:highlight w:val="none"/>
        </w:rPr>
        <w:t>＜</w:t>
      </w:r>
      <w:r>
        <w:rPr>
          <w:rFonts w:hint="eastAsia" w:ascii="宋体" w:hAnsi="宋体"/>
          <w:color w:val="auto"/>
          <w:sz w:val="24"/>
          <w:highlight w:val="none"/>
        </w:rPr>
        <w:t>0.95</w:t>
      </w:r>
      <w:r>
        <w:rPr>
          <w:rFonts w:hint="eastAsia" w:ascii="宋体" w:hAnsi="宋体"/>
          <w:color w:val="auto"/>
          <w:highlight w:val="none"/>
        </w:rPr>
        <w:t>，则：</w:t>
      </w:r>
    </w:p>
    <w:p>
      <w:pPr>
        <w:tabs>
          <w:tab w:val="left" w:pos="1620"/>
          <w:tab w:val="left" w:pos="2340"/>
        </w:tabs>
        <w:snapToGrid w:val="0"/>
        <w:spacing w:line="360" w:lineRule="auto"/>
        <w:ind w:firstLine="1200" w:firstLineChars="500"/>
        <w:rPr>
          <w:rFonts w:hint="eastAsia" w:ascii="宋体" w:hAnsi="宋体"/>
          <w:color w:val="auto"/>
          <w:sz w:val="24"/>
          <w:highlight w:val="none"/>
        </w:rPr>
      </w:pPr>
      <w:r>
        <w:rPr>
          <w:rFonts w:hint="eastAsia" w:ascii="宋体" w:hAnsi="宋体"/>
          <w:color w:val="auto"/>
          <w:sz w:val="24"/>
          <w:highlight w:val="none"/>
        </w:rPr>
        <w:t>C</w:t>
      </w:r>
      <w:r>
        <w:rPr>
          <w:rFonts w:hint="eastAsia" w:ascii="宋体" w:hAnsi="宋体"/>
          <w:color w:val="auto"/>
          <w:sz w:val="24"/>
          <w:highlight w:val="none"/>
          <w:vertAlign w:val="subscript"/>
        </w:rPr>
        <w:t>减</w:t>
      </w:r>
      <w:r>
        <w:rPr>
          <w:rFonts w:hint="eastAsia" w:ascii="宋体" w:hAnsi="宋体"/>
          <w:color w:val="auto"/>
          <w:sz w:val="24"/>
          <w:highlight w:val="none"/>
        </w:rPr>
        <w:t>=</w:t>
      </w:r>
      <w:r>
        <w:rPr>
          <w:rFonts w:ascii="Cambria" w:hAnsi="Cambria"/>
          <w:i/>
          <w:color w:val="auto"/>
          <w:sz w:val="24"/>
          <w:highlight w:val="none"/>
        </w:rPr>
        <w:t>Q</w:t>
      </w:r>
      <w:r>
        <w:rPr>
          <w:rFonts w:hint="eastAsia" w:ascii="宋体" w:hAnsi="宋体"/>
          <w:color w:val="auto"/>
          <w:sz w:val="24"/>
          <w:highlight w:val="none"/>
          <w:vertAlign w:val="subscript"/>
        </w:rPr>
        <w:t>总</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t</w:t>
      </w:r>
      <w:r>
        <w:rPr>
          <w:rFonts w:hint="eastAsia" w:ascii="宋体" w:hAnsi="宋体"/>
          <w:color w:val="auto"/>
          <w:sz w:val="24"/>
          <w:highlight w:val="none"/>
        </w:rPr>
        <w:t>×(0.95－</w:t>
      </w:r>
      <w:r>
        <w:rPr>
          <w:rFonts w:ascii="Cambria" w:hAnsi="Cambria"/>
          <w:i/>
          <w:color w:val="auto"/>
          <w:sz w:val="24"/>
          <w:highlight w:val="none"/>
        </w:rPr>
        <w:sym w:font="Symbol" w:char="F060"/>
      </w:r>
      <w:r>
        <w:rPr>
          <w:rFonts w:ascii="Cambria" w:hAnsi="Cambria"/>
          <w:i/>
          <w:color w:val="auto"/>
          <w:sz w:val="24"/>
          <w:highlight w:val="none"/>
        </w:rPr>
        <w:t xml:space="preserve">P </w:t>
      </w:r>
      <w:r>
        <w:rPr>
          <w:rFonts w:hint="eastAsia" w:ascii="宋体" w:hAnsi="宋体"/>
          <w:color w:val="auto"/>
          <w:sz w:val="24"/>
          <w:highlight w:val="none"/>
        </w:rPr>
        <w:t>/</w:t>
      </w:r>
      <w:r>
        <w:rPr>
          <w:rFonts w:ascii="Cambria" w:hAnsi="Cambria"/>
          <w:i/>
          <w:color w:val="auto"/>
          <w:sz w:val="24"/>
          <w:highlight w:val="none"/>
        </w:rPr>
        <w:t>P</w:t>
      </w:r>
      <w:r>
        <w:rPr>
          <w:rFonts w:ascii="Cambria" w:hAnsi="Cambria"/>
          <w:i/>
          <w:color w:val="auto"/>
          <w:sz w:val="24"/>
          <w:highlight w:val="none"/>
          <w:vertAlign w:val="subscript"/>
        </w:rPr>
        <w:t>0</w:t>
      </w:r>
      <w:r>
        <w:rPr>
          <w:rFonts w:hint="eastAsia" w:ascii="宋体" w:hAnsi="宋体"/>
          <w:color w:val="auto"/>
          <w:sz w:val="24"/>
          <w:highlight w:val="none"/>
        </w:rPr>
        <w:t>)</w:t>
      </w:r>
    </w:p>
    <w:p>
      <w:pPr>
        <w:tabs>
          <w:tab w:val="left" w:pos="1620"/>
          <w:tab w:val="left" w:pos="2340"/>
        </w:tabs>
        <w:spacing w:before="156" w:line="360" w:lineRule="auto"/>
        <w:ind w:left="1260"/>
        <w:rPr>
          <w:rFonts w:hint="eastAsia" w:ascii="宋体" w:hAnsi="宋体"/>
          <w:color w:val="auto"/>
          <w:highlight w:val="none"/>
        </w:rPr>
      </w:pPr>
      <w:r>
        <w:rPr>
          <w:rFonts w:hint="eastAsia" w:ascii="宋体" w:hAnsi="宋体"/>
          <w:color w:val="auto"/>
          <w:highlight w:val="none"/>
        </w:rPr>
        <w:t>式中：</w:t>
      </w:r>
    </w:p>
    <w:p>
      <w:pPr>
        <w:tabs>
          <w:tab w:val="left" w:pos="1620"/>
          <w:tab w:val="left" w:pos="2340"/>
        </w:tabs>
        <w:snapToGrid w:val="0"/>
        <w:spacing w:line="360" w:lineRule="auto"/>
        <w:ind w:left="1440"/>
        <w:rPr>
          <w:rFonts w:hint="eastAsia" w:ascii="宋体" w:hAnsi="宋体"/>
          <w:color w:val="auto"/>
          <w:highlight w:val="none"/>
        </w:rPr>
      </w:pPr>
      <w:r>
        <w:rPr>
          <w:rFonts w:hint="eastAsia" w:ascii="宋体" w:hAnsi="宋体"/>
          <w:color w:val="auto"/>
          <w:sz w:val="24"/>
          <w:highlight w:val="none"/>
        </w:rPr>
        <w:t>P</w:t>
      </w:r>
      <w:r>
        <w:rPr>
          <w:rFonts w:hint="eastAsia" w:ascii="宋体" w:hAnsi="宋体"/>
          <w:color w:val="auto"/>
          <w:sz w:val="24"/>
          <w:highlight w:val="none"/>
          <w:vertAlign w:val="subscript"/>
        </w:rPr>
        <w:t>0</w:t>
      </w:r>
      <w:r>
        <w:rPr>
          <w:rFonts w:hint="eastAsia" w:ascii="宋体" w:hAnsi="宋体"/>
          <w:color w:val="auto"/>
          <w:highlight w:val="none"/>
        </w:rPr>
        <w:t>－投标截止日期已出版的最新一期或约定一期《深圳市建设工程价格信息》发布的某材料价格。示例：如《深圳市建设工程价格信息》2015年第6期出版时间是2015年6月5日，投标截止日期如果是2015年6月4日或6月5日，则</w:t>
      </w:r>
      <w:r>
        <w:rPr>
          <w:rFonts w:hint="eastAsia" w:ascii="宋体" w:hAnsi="宋体"/>
          <w:color w:val="auto"/>
          <w:sz w:val="24"/>
          <w:highlight w:val="none"/>
        </w:rPr>
        <w:t>P</w:t>
      </w:r>
      <w:r>
        <w:rPr>
          <w:rFonts w:hint="eastAsia" w:ascii="宋体" w:hAnsi="宋体"/>
          <w:color w:val="auto"/>
          <w:sz w:val="24"/>
          <w:highlight w:val="none"/>
          <w:vertAlign w:val="subscript"/>
        </w:rPr>
        <w:t>0</w:t>
      </w:r>
      <w:r>
        <w:rPr>
          <w:rFonts w:hint="eastAsia" w:ascii="宋体" w:hAnsi="宋体"/>
          <w:color w:val="auto"/>
          <w:highlight w:val="none"/>
        </w:rPr>
        <w:t>对应的信息价是指2015年第5期《深圳市建设工程价格信息》，投标截止日期如果是2015年6月6日，则</w:t>
      </w:r>
      <w:r>
        <w:rPr>
          <w:rFonts w:hint="eastAsia" w:ascii="宋体" w:hAnsi="宋体"/>
          <w:color w:val="auto"/>
          <w:sz w:val="24"/>
          <w:highlight w:val="none"/>
        </w:rPr>
        <w:t>P</w:t>
      </w:r>
      <w:r>
        <w:rPr>
          <w:rFonts w:hint="eastAsia" w:ascii="宋体" w:hAnsi="宋体"/>
          <w:color w:val="auto"/>
          <w:sz w:val="24"/>
          <w:highlight w:val="none"/>
          <w:vertAlign w:val="subscript"/>
        </w:rPr>
        <w:t>0</w:t>
      </w:r>
      <w:r>
        <w:rPr>
          <w:rFonts w:hint="eastAsia" w:ascii="宋体" w:hAnsi="宋体"/>
          <w:color w:val="auto"/>
          <w:highlight w:val="none"/>
        </w:rPr>
        <w:t>对应的信息价是指2015年第6期《深圳市建设工程价格信息》。</w:t>
      </w:r>
    </w:p>
    <w:p>
      <w:pPr>
        <w:tabs>
          <w:tab w:val="left" w:pos="1620"/>
          <w:tab w:val="left" w:pos="2340"/>
        </w:tabs>
        <w:snapToGrid w:val="0"/>
        <w:spacing w:line="360" w:lineRule="auto"/>
        <w:ind w:left="1440"/>
        <w:rPr>
          <w:rFonts w:hint="eastAsia" w:ascii="宋体" w:hAnsi="宋体"/>
          <w:color w:val="auto"/>
          <w:highlight w:val="none"/>
        </w:rPr>
      </w:pPr>
      <w:r>
        <w:rPr>
          <w:rFonts w:hint="eastAsia" w:ascii="宋体" w:hAnsi="宋体"/>
          <w:color w:val="auto"/>
          <w:sz w:val="24"/>
          <w:highlight w:val="none"/>
        </w:rPr>
        <w:t>P</w:t>
      </w:r>
      <w:r>
        <w:rPr>
          <w:rFonts w:hint="eastAsia" w:ascii="宋体" w:hAnsi="宋体"/>
          <w:color w:val="auto"/>
          <w:sz w:val="24"/>
          <w:highlight w:val="none"/>
          <w:vertAlign w:val="subscript"/>
        </w:rPr>
        <w:t>t</w:t>
      </w:r>
      <w:r>
        <w:rPr>
          <w:rFonts w:hint="eastAsia" w:ascii="宋体" w:hAnsi="宋体"/>
          <w:color w:val="auto"/>
          <w:highlight w:val="none"/>
        </w:rPr>
        <w:t>－承包人投标文件商务标书中某材料的投标单价，如投标报价中无法确认某材料的单价时，则P</w:t>
      </w:r>
      <w:r>
        <w:rPr>
          <w:rFonts w:hint="eastAsia" w:ascii="宋体" w:hAnsi="宋体"/>
          <w:color w:val="auto"/>
          <w:highlight w:val="none"/>
          <w:vertAlign w:val="subscript"/>
        </w:rPr>
        <w:t>t</w:t>
      </w:r>
      <w:r>
        <w:rPr>
          <w:rFonts w:hint="eastAsia" w:ascii="宋体" w:hAnsi="宋体"/>
          <w:color w:val="auto"/>
          <w:highlight w:val="none"/>
        </w:rPr>
        <w:t>取值为P</w:t>
      </w:r>
      <w:r>
        <w:rPr>
          <w:rFonts w:hint="eastAsia" w:ascii="宋体" w:hAnsi="宋体"/>
          <w:color w:val="auto"/>
          <w:highlight w:val="none"/>
          <w:vertAlign w:val="subscript"/>
        </w:rPr>
        <w:t>0</w:t>
      </w:r>
      <w:r>
        <w:rPr>
          <w:rFonts w:hint="eastAsia" w:ascii="宋体" w:hAnsi="宋体"/>
          <w:color w:val="auto"/>
          <w:sz w:val="24"/>
          <w:highlight w:val="none"/>
        </w:rPr>
        <w:t>×</w:t>
      </w:r>
      <w:r>
        <w:rPr>
          <w:rFonts w:hint="eastAsia" w:ascii="宋体" w:hAnsi="宋体"/>
          <w:color w:val="auto"/>
          <w:highlight w:val="none"/>
        </w:rPr>
        <w:t>（1-投标总价净下浮率）；</w:t>
      </w:r>
    </w:p>
    <w:p>
      <w:pPr>
        <w:tabs>
          <w:tab w:val="left" w:pos="1620"/>
          <w:tab w:val="left" w:pos="2340"/>
        </w:tabs>
        <w:snapToGrid w:val="0"/>
        <w:spacing w:line="360" w:lineRule="auto"/>
        <w:ind w:left="1440"/>
        <w:rPr>
          <w:rFonts w:hint="eastAsia" w:ascii="宋体" w:hAnsi="宋体"/>
          <w:color w:val="auto"/>
          <w:highlight w:val="none"/>
        </w:rPr>
      </w:pPr>
      <w:r>
        <w:rPr>
          <w:rFonts w:hint="eastAsia" w:ascii="宋体" w:hAnsi="宋体"/>
          <w:color w:val="auto"/>
          <w:sz w:val="24"/>
          <w:highlight w:val="none"/>
        </w:rPr>
        <w:t>C</w:t>
      </w:r>
      <w:r>
        <w:rPr>
          <w:rFonts w:hint="eastAsia" w:ascii="宋体" w:hAnsi="宋体"/>
          <w:color w:val="auto"/>
          <w:sz w:val="24"/>
          <w:highlight w:val="none"/>
          <w:vertAlign w:val="subscript"/>
        </w:rPr>
        <w:t>增</w:t>
      </w:r>
      <w:r>
        <w:rPr>
          <w:rFonts w:hint="eastAsia" w:ascii="宋体" w:hAnsi="宋体"/>
          <w:color w:val="auto"/>
          <w:highlight w:val="none"/>
        </w:rPr>
        <w:t>－调增合同价格；</w:t>
      </w:r>
    </w:p>
    <w:p>
      <w:pPr>
        <w:tabs>
          <w:tab w:val="left" w:pos="1620"/>
          <w:tab w:val="left" w:pos="2340"/>
        </w:tabs>
        <w:snapToGrid w:val="0"/>
        <w:spacing w:line="360" w:lineRule="auto"/>
        <w:ind w:left="1440"/>
        <w:rPr>
          <w:rFonts w:hint="eastAsia" w:ascii="宋体" w:hAnsi="宋体"/>
          <w:color w:val="auto"/>
          <w:highlight w:val="none"/>
        </w:rPr>
      </w:pPr>
      <w:r>
        <w:rPr>
          <w:rFonts w:hint="eastAsia" w:ascii="宋体" w:hAnsi="宋体"/>
          <w:color w:val="auto"/>
          <w:sz w:val="24"/>
          <w:highlight w:val="none"/>
        </w:rPr>
        <w:t>C</w:t>
      </w:r>
      <w:r>
        <w:rPr>
          <w:rFonts w:hint="eastAsia" w:ascii="宋体" w:hAnsi="宋体"/>
          <w:color w:val="auto"/>
          <w:sz w:val="24"/>
          <w:highlight w:val="none"/>
          <w:vertAlign w:val="subscript"/>
        </w:rPr>
        <w:t>减</w:t>
      </w:r>
      <w:r>
        <w:rPr>
          <w:rFonts w:hint="eastAsia" w:ascii="宋体" w:hAnsi="宋体"/>
          <w:color w:val="auto"/>
          <w:highlight w:val="none"/>
        </w:rPr>
        <w:t>－调减合同价格；</w:t>
      </w:r>
    </w:p>
    <w:p>
      <w:pPr>
        <w:tabs>
          <w:tab w:val="left" w:pos="1620"/>
          <w:tab w:val="left" w:pos="2340"/>
        </w:tabs>
        <w:snapToGrid w:val="0"/>
        <w:spacing w:line="360" w:lineRule="auto"/>
        <w:ind w:left="1440"/>
        <w:rPr>
          <w:rFonts w:hint="eastAsia" w:ascii="宋体" w:hAnsi="宋体"/>
          <w:color w:val="auto"/>
          <w:highlight w:val="none"/>
        </w:rPr>
      </w:pPr>
      <w:r>
        <w:rPr>
          <w:rFonts w:hint="eastAsia" w:ascii="宋体" w:hAnsi="宋体"/>
          <w:color w:val="auto"/>
          <w:sz w:val="24"/>
          <w:highlight w:val="none"/>
        </w:rPr>
        <w:t>Q</w:t>
      </w:r>
      <w:r>
        <w:rPr>
          <w:rFonts w:hint="eastAsia" w:ascii="宋体" w:hAnsi="宋体"/>
          <w:color w:val="auto"/>
          <w:sz w:val="24"/>
          <w:highlight w:val="none"/>
          <w:vertAlign w:val="subscript"/>
        </w:rPr>
        <w:t>总</w:t>
      </w:r>
      <w:r>
        <w:rPr>
          <w:rFonts w:hint="eastAsia" w:ascii="宋体" w:hAnsi="宋体"/>
          <w:color w:val="auto"/>
          <w:highlight w:val="none"/>
        </w:rPr>
        <w:t>－本工程某材料根据图纸计算并考虑投标报价中材料消耗量之后的总工程量。</w:t>
      </w:r>
    </w:p>
    <w:p>
      <w:pPr>
        <w:tabs>
          <w:tab w:val="left" w:pos="1620"/>
          <w:tab w:val="left" w:pos="2340"/>
        </w:tabs>
        <w:snapToGrid w:val="0"/>
        <w:spacing w:before="156" w:beforeLines="50" w:line="360" w:lineRule="auto"/>
        <w:ind w:firstLine="1050" w:firstLineChars="500"/>
        <w:rPr>
          <w:rFonts w:hint="eastAsia" w:ascii="宋体" w:hAnsi="宋体"/>
          <w:color w:val="auto"/>
          <w:kern w:val="0"/>
          <w:highlight w:val="none"/>
        </w:rPr>
      </w:pPr>
      <w:r>
        <w:rPr>
          <w:color w:val="auto"/>
          <w:highlight w:val="none"/>
        </w:rPr>
        <w:t xml:space="preserve">   </w:t>
      </w:r>
      <w:r>
        <w:rPr>
          <w:rFonts w:ascii="Cambria" w:hAnsi="Cambria"/>
          <w:i/>
          <w:color w:val="auto"/>
          <w:sz w:val="24"/>
          <w:highlight w:val="none"/>
        </w:rPr>
        <w:sym w:font="Symbol" w:char="F060"/>
      </w:r>
      <w:r>
        <w:rPr>
          <w:rFonts w:ascii="Cambria" w:hAnsi="Cambria"/>
          <w:i/>
          <w:color w:val="auto"/>
          <w:sz w:val="24"/>
          <w:highlight w:val="none"/>
        </w:rPr>
        <w:t>P</w:t>
      </w:r>
      <w:r>
        <w:rPr>
          <w:rFonts w:hint="eastAsia" w:ascii="宋体" w:hAnsi="宋体"/>
          <w:color w:val="auto"/>
          <w:highlight w:val="none"/>
        </w:rPr>
        <w:t>－</w:t>
      </w:r>
      <w:r>
        <w:rPr>
          <w:rFonts w:hint="eastAsia"/>
          <w:color w:val="auto"/>
          <w:highlight w:val="none"/>
        </w:rPr>
        <w:t>计算方式如下（或按另行约定的方法）：</w:t>
      </w:r>
    </w:p>
    <w:p>
      <w:pPr>
        <w:tabs>
          <w:tab w:val="left" w:pos="1620"/>
          <w:tab w:val="left" w:pos="2340"/>
        </w:tabs>
        <w:snapToGrid w:val="0"/>
        <w:spacing w:before="156" w:beforeLines="50" w:line="360" w:lineRule="auto"/>
        <w:ind w:firstLine="1200" w:firstLineChars="500"/>
        <w:rPr>
          <w:rFonts w:hint="eastAsia" w:ascii="宋体" w:hAnsi="宋体"/>
          <w:color w:val="auto"/>
          <w:kern w:val="0"/>
          <w:highlight w:val="none"/>
        </w:rPr>
      </w:pPr>
      <w:r>
        <w:rPr>
          <w:rFonts w:hint="eastAsia" w:ascii="Cambria" w:hAnsi="Cambria"/>
          <w:color w:val="auto"/>
          <w:sz w:val="24"/>
          <w:highlight w:val="none"/>
        </w:rPr>
        <w:t>①</w:t>
      </w:r>
      <w:r>
        <w:rPr>
          <w:rFonts w:hint="eastAsia" w:ascii="宋体" w:hAnsi="宋体"/>
          <w:color w:val="auto"/>
          <w:kern w:val="0"/>
          <w:highlight w:val="none"/>
        </w:rPr>
        <w:t>加权平均法：</w:t>
      </w:r>
    </w:p>
    <w:p>
      <w:pPr>
        <w:snapToGrid w:val="0"/>
        <w:spacing w:line="360" w:lineRule="auto"/>
        <w:ind w:left="1440"/>
        <w:rPr>
          <w:rFonts w:hint="eastAsia" w:ascii="宋体" w:hAnsi="宋体"/>
          <w:color w:val="auto"/>
          <w:kern w:val="0"/>
          <w:highlight w:val="none"/>
        </w:rPr>
      </w:pPr>
      <w:r>
        <w:rPr>
          <w:rFonts w:ascii="Cambria" w:hAnsi="Cambria"/>
          <w:i/>
          <w:color w:val="auto"/>
          <w:sz w:val="24"/>
          <w:highlight w:val="none"/>
        </w:rPr>
        <w:sym w:font="Symbol" w:char="F060"/>
      </w:r>
      <w:r>
        <w:rPr>
          <w:rFonts w:ascii="Cambria" w:hAnsi="Cambria"/>
          <w:i/>
          <w:color w:val="auto"/>
          <w:sz w:val="24"/>
          <w:highlight w:val="none"/>
        </w:rPr>
        <w:t>P</w:t>
      </w:r>
      <w:r>
        <w:rPr>
          <w:color w:val="auto"/>
          <w:highlight w:val="none"/>
        </w:rPr>
        <w:t xml:space="preserve"> </w:t>
      </w:r>
      <w:r>
        <w:rPr>
          <w:rFonts w:hint="eastAsia" w:ascii="宋体" w:hAnsi="宋体"/>
          <w:color w:val="auto"/>
          <w:sz w:val="24"/>
          <w:highlight w:val="none"/>
        </w:rPr>
        <w:t>-</w:t>
      </w:r>
      <w:r>
        <w:rPr>
          <w:rFonts w:hint="eastAsia" w:ascii="宋体" w:hAnsi="宋体"/>
          <w:color w:val="auto"/>
          <w:highlight w:val="none"/>
        </w:rPr>
        <w:t>施工期加权平均价格，即</w:t>
      </w:r>
      <w:r>
        <w:rPr>
          <w:rFonts w:hint="eastAsia" w:ascii="宋体" w:hAnsi="宋体"/>
          <w:color w:val="auto"/>
          <w:sz w:val="24"/>
          <w:highlight w:val="none"/>
        </w:rPr>
        <w:t>∑(Q</w:t>
      </w:r>
      <w:r>
        <w:rPr>
          <w:rFonts w:hint="eastAsia" w:ascii="宋体" w:hAnsi="宋体"/>
          <w:color w:val="auto"/>
          <w:sz w:val="24"/>
          <w:highlight w:val="none"/>
          <w:vertAlign w:val="subscript"/>
        </w:rPr>
        <w:t>i</w:t>
      </w:r>
      <w:r>
        <w:rPr>
          <w:rFonts w:hint="eastAsia" w:ascii="宋体" w:hAnsi="宋体"/>
          <w:color w:val="auto"/>
          <w:sz w:val="24"/>
          <w:highlight w:val="none"/>
        </w:rPr>
        <w:t>×P</w:t>
      </w:r>
      <w:r>
        <w:rPr>
          <w:rFonts w:hint="eastAsia" w:ascii="宋体" w:hAnsi="宋体"/>
          <w:color w:val="auto"/>
          <w:sz w:val="24"/>
          <w:highlight w:val="none"/>
          <w:vertAlign w:val="subscript"/>
        </w:rPr>
        <w:t>i</w:t>
      </w:r>
      <w:r>
        <w:rPr>
          <w:rFonts w:hint="eastAsia" w:ascii="宋体" w:hAnsi="宋体"/>
          <w:color w:val="auto"/>
          <w:sz w:val="24"/>
          <w:highlight w:val="none"/>
        </w:rPr>
        <w:t>)/Q</w:t>
      </w:r>
      <w:r>
        <w:rPr>
          <w:rFonts w:hint="eastAsia" w:ascii="宋体" w:hAnsi="宋体"/>
          <w:color w:val="auto"/>
          <w:sz w:val="24"/>
          <w:highlight w:val="none"/>
          <w:vertAlign w:val="subscript"/>
        </w:rPr>
        <w:t>总</w:t>
      </w:r>
      <w:r>
        <w:rPr>
          <w:rFonts w:hint="eastAsia" w:ascii="宋体" w:hAnsi="宋体"/>
          <w:color w:val="auto"/>
          <w:sz w:val="24"/>
          <w:highlight w:val="none"/>
        </w:rPr>
        <w:t>，其中Q</w:t>
      </w:r>
      <w:r>
        <w:rPr>
          <w:rFonts w:hint="eastAsia" w:ascii="宋体" w:hAnsi="宋体"/>
          <w:color w:val="auto"/>
          <w:sz w:val="24"/>
          <w:highlight w:val="none"/>
          <w:vertAlign w:val="subscript"/>
        </w:rPr>
        <w:t>i</w:t>
      </w:r>
      <w:r>
        <w:rPr>
          <w:rFonts w:hint="eastAsia" w:ascii="宋体" w:hAnsi="宋体"/>
          <w:color w:val="auto"/>
          <w:highlight w:val="none"/>
        </w:rPr>
        <w:t>为施工期第i个月某材料用量，该用量为当月已计量工程中，某材料根据图纸计算并考虑投标报价中材料消耗量之后的工程量；</w:t>
      </w:r>
      <w:r>
        <w:rPr>
          <w:rFonts w:hint="eastAsia" w:ascii="宋体" w:hAnsi="宋体"/>
          <w:color w:val="auto"/>
          <w:sz w:val="24"/>
          <w:highlight w:val="none"/>
        </w:rPr>
        <w:t>P</w:t>
      </w:r>
      <w:r>
        <w:rPr>
          <w:rFonts w:hint="eastAsia" w:ascii="宋体" w:hAnsi="宋体"/>
          <w:color w:val="auto"/>
          <w:sz w:val="24"/>
          <w:highlight w:val="none"/>
          <w:vertAlign w:val="subscript"/>
        </w:rPr>
        <w:t>i</w:t>
      </w:r>
      <w:r>
        <w:rPr>
          <w:rFonts w:hint="eastAsia" w:ascii="宋体" w:hAnsi="宋体"/>
          <w:color w:val="auto"/>
          <w:highlight w:val="none"/>
        </w:rPr>
        <w:t>为施工期第i个月当期《深圳市建设工程价格信息》发布的某材料价格。例如施工期第i个月是2015年7月，则对应《深圳市建设工程价格信息》2015年第7期。</w:t>
      </w:r>
    </w:p>
    <w:p>
      <w:pPr>
        <w:tabs>
          <w:tab w:val="left" w:pos="1620"/>
          <w:tab w:val="left" w:pos="2340"/>
        </w:tabs>
        <w:snapToGrid w:val="0"/>
        <w:spacing w:before="156" w:beforeLines="50" w:line="360" w:lineRule="auto"/>
        <w:ind w:firstLine="1200" w:firstLineChars="500"/>
        <w:rPr>
          <w:rFonts w:hint="eastAsia" w:ascii="宋体" w:hAnsi="宋体"/>
          <w:color w:val="auto"/>
          <w:highlight w:val="none"/>
        </w:rPr>
      </w:pPr>
      <w:r>
        <w:rPr>
          <w:rFonts w:hint="eastAsia" w:ascii="Cambria" w:hAnsi="Cambria"/>
          <w:color w:val="auto"/>
          <w:sz w:val="24"/>
          <w:highlight w:val="none"/>
        </w:rPr>
        <w:t>或者②</w:t>
      </w:r>
      <w:r>
        <w:rPr>
          <w:rFonts w:hint="eastAsia" w:ascii="宋体" w:hAnsi="宋体"/>
          <w:color w:val="auto"/>
          <w:highlight w:val="none"/>
        </w:rPr>
        <w:t>算术平均法：</w:t>
      </w:r>
    </w:p>
    <w:p>
      <w:pPr>
        <w:snapToGrid w:val="0"/>
        <w:spacing w:line="360" w:lineRule="auto"/>
        <w:ind w:left="1440"/>
        <w:rPr>
          <w:rFonts w:hint="eastAsia" w:ascii="宋体" w:hAnsi="宋体"/>
          <w:color w:val="auto"/>
          <w:highlight w:val="none"/>
        </w:rPr>
      </w:pPr>
      <w:r>
        <w:rPr>
          <w:rFonts w:ascii="Cambria" w:hAnsi="Cambria"/>
          <w:i/>
          <w:color w:val="auto"/>
          <w:sz w:val="24"/>
          <w:highlight w:val="none"/>
        </w:rPr>
        <w:sym w:font="Symbol" w:char="F060"/>
      </w:r>
      <w:r>
        <w:rPr>
          <w:rFonts w:ascii="Cambria" w:hAnsi="Cambria"/>
          <w:i/>
          <w:color w:val="auto"/>
          <w:sz w:val="24"/>
          <w:highlight w:val="none"/>
        </w:rPr>
        <w:t>P</w:t>
      </w:r>
      <w:r>
        <w:rPr>
          <w:color w:val="auto"/>
          <w:highlight w:val="none"/>
        </w:rPr>
        <w:t xml:space="preserve"> </w:t>
      </w:r>
      <w:r>
        <w:rPr>
          <w:rFonts w:hint="eastAsia" w:ascii="宋体" w:hAnsi="宋体"/>
          <w:color w:val="auto"/>
          <w:sz w:val="24"/>
          <w:highlight w:val="none"/>
        </w:rPr>
        <w:t>-</w:t>
      </w:r>
      <w:r>
        <w:rPr>
          <w:rFonts w:hint="eastAsia" w:ascii="宋体" w:hAnsi="宋体"/>
          <w:color w:val="auto"/>
          <w:highlight w:val="none"/>
        </w:rPr>
        <w:t>本工程有某材料投入月份对应《深圳市建设工程价格信息》发布某材料价格的算术平均值。例如有某材料投入月份是指2015年5至7月，则对应《深圳市建设工程价格信息》2015年第5至7期价格信息之和除以3。</w:t>
      </w:r>
    </w:p>
    <w:p>
      <w:pPr>
        <w:keepNext/>
        <w:keepLines/>
        <w:spacing w:before="156" w:beforeLines="50" w:after="156" w:afterLines="50" w:line="360" w:lineRule="auto"/>
        <w:outlineLvl w:val="3"/>
        <w:rPr>
          <w:rFonts w:hint="eastAsia" w:ascii="宋体" w:hAnsi="宋体" w:cs="宋体"/>
          <w:b/>
          <w:bCs/>
          <w:color w:val="auto"/>
          <w:sz w:val="24"/>
          <w:szCs w:val="24"/>
          <w:highlight w:val="none"/>
        </w:rPr>
      </w:pPr>
      <w:bookmarkStart w:id="7039" w:name="_Toc517532314"/>
      <w:bookmarkStart w:id="7040" w:name="_Toc22242"/>
      <w:bookmarkStart w:id="7041" w:name="_Toc7106"/>
      <w:bookmarkStart w:id="7042" w:name="_Toc10236"/>
      <w:bookmarkStart w:id="7043" w:name="_Toc517531038"/>
      <w:bookmarkStart w:id="7044" w:name="_Toc15953"/>
      <w:bookmarkStart w:id="7045" w:name="_Toc27156"/>
      <w:bookmarkStart w:id="7046" w:name="_Toc21637"/>
      <w:bookmarkStart w:id="7047" w:name="_Toc9880"/>
      <w:r>
        <w:rPr>
          <w:rFonts w:hint="eastAsia" w:ascii="宋体" w:hAnsi="宋体" w:cs="宋体"/>
          <w:b/>
          <w:bCs/>
          <w:color w:val="auto"/>
          <w:sz w:val="24"/>
          <w:szCs w:val="24"/>
          <w:highlight w:val="none"/>
        </w:rPr>
        <w:t>11.1.2人工、机械使用调差方法</w:t>
      </w:r>
      <w:bookmarkEnd w:id="7039"/>
      <w:bookmarkEnd w:id="7040"/>
      <w:bookmarkEnd w:id="7041"/>
      <w:bookmarkEnd w:id="7042"/>
      <w:bookmarkEnd w:id="7043"/>
      <w:bookmarkEnd w:id="7044"/>
      <w:bookmarkEnd w:id="7045"/>
      <w:bookmarkEnd w:id="7046"/>
      <w:bookmarkEnd w:id="7047"/>
    </w:p>
    <w:p>
      <w:pPr>
        <w:tabs>
          <w:tab w:val="left" w:pos="1620"/>
          <w:tab w:val="left" w:pos="2340"/>
        </w:tabs>
        <w:spacing w:before="156" w:after="156" w:line="360" w:lineRule="auto"/>
        <w:ind w:left="899"/>
        <w:jc w:val="left"/>
        <w:rPr>
          <w:rFonts w:hint="eastAsia" w:ascii="宋体" w:hAnsi="宋体"/>
          <w:color w:val="auto"/>
          <w:kern w:val="0"/>
          <w:highlight w:val="none"/>
        </w:rPr>
      </w:pPr>
      <w:r>
        <w:rPr>
          <w:rFonts w:hint="eastAsia" w:ascii="宋体" w:hAnsi="宋体"/>
          <w:color w:val="auto"/>
          <w:kern w:val="0"/>
          <w:highlight w:val="none"/>
        </w:rPr>
        <w:t>⑴用于本工程的机械使用发生价格波动时，按照11.1.1款调差公式，将公式中的材料价格替换为机械使用价格，调整合同价格。</w:t>
      </w:r>
    </w:p>
    <w:p>
      <w:pPr>
        <w:tabs>
          <w:tab w:val="left" w:pos="1620"/>
          <w:tab w:val="left" w:pos="2340"/>
        </w:tabs>
        <w:spacing w:before="156" w:after="156" w:line="360" w:lineRule="auto"/>
        <w:ind w:left="899"/>
        <w:jc w:val="left"/>
        <w:rPr>
          <w:rFonts w:hint="eastAsia" w:ascii="宋体" w:hAnsi="宋体"/>
          <w:color w:val="auto"/>
          <w:kern w:val="0"/>
          <w:highlight w:val="none"/>
        </w:rPr>
      </w:pPr>
      <w:r>
        <w:rPr>
          <w:rFonts w:hint="eastAsia" w:ascii="宋体" w:hAnsi="宋体"/>
          <w:color w:val="auto"/>
          <w:kern w:val="0"/>
          <w:highlight w:val="none"/>
        </w:rPr>
        <w:t>⑵用于本工程的人工发生价格波动时，调差方式：</w:t>
      </w:r>
    </w:p>
    <w:p>
      <w:pPr>
        <w:tabs>
          <w:tab w:val="left" w:pos="1620"/>
          <w:tab w:val="left" w:pos="2340"/>
        </w:tabs>
        <w:spacing w:before="156" w:after="156" w:line="360" w:lineRule="auto"/>
        <w:ind w:left="899"/>
        <w:jc w:val="left"/>
        <w:rPr>
          <w:rFonts w:hint="eastAsia" w:ascii="宋体" w:hAnsi="宋体"/>
          <w:color w:val="auto"/>
          <w:kern w:val="0"/>
          <w:highlight w:val="none"/>
        </w:rPr>
      </w:pPr>
      <w:r>
        <w:rPr>
          <w:rFonts w:hint="eastAsia" w:ascii="宋体" w:hAnsi="宋体"/>
          <w:color w:val="auto"/>
          <w:kern w:val="0"/>
          <w:highlight w:val="none"/>
        </w:rPr>
        <w:t>①按照11.1.1款调差公式，将公式中的材料价格替换为人工价格，即</w:t>
      </w:r>
      <w:r>
        <w:rPr>
          <w:rFonts w:hint="eastAsia" w:ascii="宋体" w:hAnsi="宋体"/>
          <w:color w:val="auto"/>
          <w:sz w:val="24"/>
          <w:highlight w:val="none"/>
        </w:rPr>
        <w:t>P</w:t>
      </w:r>
      <w:r>
        <w:rPr>
          <w:rFonts w:hint="eastAsia" w:ascii="宋体" w:hAnsi="宋体"/>
          <w:color w:val="auto"/>
          <w:sz w:val="24"/>
          <w:highlight w:val="none"/>
          <w:vertAlign w:val="subscript"/>
        </w:rPr>
        <w:t>0</w:t>
      </w:r>
      <w:r>
        <w:rPr>
          <w:rFonts w:hint="eastAsia" w:ascii="宋体" w:hAnsi="宋体"/>
          <w:color w:val="auto"/>
          <w:sz w:val="24"/>
          <w:highlight w:val="none"/>
        </w:rPr>
        <w:t>、P</w:t>
      </w:r>
      <w:r>
        <w:rPr>
          <w:rFonts w:hint="eastAsia" w:ascii="宋体" w:hAnsi="宋体"/>
          <w:color w:val="auto"/>
          <w:sz w:val="24"/>
          <w:highlight w:val="none"/>
          <w:vertAlign w:val="subscript"/>
        </w:rPr>
        <w:t>i</w:t>
      </w:r>
      <w:r>
        <w:rPr>
          <w:rFonts w:hint="eastAsia" w:ascii="宋体" w:hAnsi="宋体"/>
          <w:color w:val="auto"/>
          <w:kern w:val="0"/>
          <w:highlight w:val="none"/>
        </w:rPr>
        <w:t>分别为投标截止日期、施工期第i个月《深圳建设工程价格信息》发布的某人工工日单价</w:t>
      </w:r>
      <w:r>
        <w:rPr>
          <w:rFonts w:hint="eastAsia" w:ascii="宋体" w:hAnsi="宋体"/>
          <w:color w:val="auto"/>
          <w:highlight w:val="none"/>
        </w:rPr>
        <w:t>，</w:t>
      </w:r>
      <w:r>
        <w:rPr>
          <w:rFonts w:hint="eastAsia" w:ascii="宋体" w:hAnsi="宋体"/>
          <w:color w:val="auto"/>
          <w:kern w:val="0"/>
          <w:highlight w:val="none"/>
        </w:rPr>
        <w:t>调整合同价格。</w:t>
      </w:r>
    </w:p>
    <w:p>
      <w:pPr>
        <w:tabs>
          <w:tab w:val="left" w:pos="1620"/>
          <w:tab w:val="left" w:pos="2340"/>
        </w:tabs>
        <w:spacing w:before="156" w:after="156" w:line="360" w:lineRule="auto"/>
        <w:ind w:left="899"/>
        <w:jc w:val="left"/>
        <w:rPr>
          <w:rFonts w:hint="eastAsia" w:ascii="宋体" w:hAnsi="宋体"/>
          <w:color w:val="auto"/>
          <w:kern w:val="0"/>
          <w:highlight w:val="none"/>
        </w:rPr>
      </w:pPr>
      <w:r>
        <w:rPr>
          <w:rFonts w:hint="eastAsia" w:ascii="宋体" w:hAnsi="宋体"/>
          <w:color w:val="auto"/>
          <w:kern w:val="0"/>
          <w:highlight w:val="none"/>
        </w:rPr>
        <w:t>或</w:t>
      </w:r>
    </w:p>
    <w:p>
      <w:pPr>
        <w:snapToGrid w:val="0"/>
        <w:spacing w:line="360" w:lineRule="auto"/>
        <w:ind w:firstLine="945" w:firstLineChars="450"/>
        <w:rPr>
          <w:rFonts w:hint="eastAsia"/>
          <w:color w:val="auto"/>
          <w:highlight w:val="none"/>
        </w:rPr>
      </w:pPr>
      <w:r>
        <w:rPr>
          <w:rFonts w:hint="eastAsia" w:ascii="宋体" w:hAnsi="宋体"/>
          <w:color w:val="auto"/>
          <w:szCs w:val="21"/>
          <w:highlight w:val="none"/>
        </w:rPr>
        <w:t>②按照人工费指数调差：</w:t>
      </w:r>
    </w:p>
    <w:p>
      <w:pPr>
        <w:snapToGrid w:val="0"/>
        <w:spacing w:line="360" w:lineRule="auto"/>
        <w:ind w:firstLine="945" w:firstLineChars="450"/>
        <w:rPr>
          <w:rFonts w:ascii="宋体" w:hAnsi="宋体"/>
          <w:color w:val="auto"/>
          <w:szCs w:val="21"/>
          <w:highlight w:val="none"/>
        </w:rPr>
      </w:pPr>
      <w:r>
        <w:rPr>
          <w:rFonts w:hint="eastAsia" w:ascii="宋体" w:hAnsi="宋体"/>
          <w:color w:val="auto"/>
          <w:szCs w:val="21"/>
          <w:highlight w:val="none"/>
        </w:rPr>
        <w:t>当</w:t>
      </w:r>
      <w:r>
        <w:rPr>
          <w:rFonts w:ascii="宋体" w:hAnsi="宋体"/>
          <w:color w:val="auto"/>
          <w:szCs w:val="21"/>
          <w:highlight w:val="none"/>
        </w:rPr>
        <w:sym w:font="Symbol" w:char="F060"/>
      </w:r>
      <w:r>
        <w:rPr>
          <w:rFonts w:ascii="Cambria" w:hAnsi="Cambria"/>
          <w:i/>
          <w:color w:val="auto"/>
          <w:szCs w:val="21"/>
          <w:highlight w:val="none"/>
        </w:rPr>
        <w:t xml:space="preserve">I </w:t>
      </w:r>
      <w:r>
        <w:rPr>
          <w:rFonts w:hint="eastAsia" w:ascii="宋体" w:hAnsi="宋体"/>
          <w:color w:val="auto"/>
          <w:szCs w:val="21"/>
          <w:highlight w:val="none"/>
        </w:rPr>
        <w:t>/I</w:t>
      </w:r>
      <w:r>
        <w:rPr>
          <w:rFonts w:hint="eastAsia" w:ascii="宋体" w:hAnsi="宋体"/>
          <w:color w:val="auto"/>
          <w:szCs w:val="21"/>
          <w:highlight w:val="none"/>
          <w:vertAlign w:val="subscript"/>
        </w:rPr>
        <w:t>o</w:t>
      </w:r>
      <w:r>
        <w:rPr>
          <w:rFonts w:hint="eastAsia" w:ascii="宋体" w:hAnsi="宋体"/>
          <w:color w:val="auto"/>
          <w:szCs w:val="21"/>
          <w:highlight w:val="none"/>
        </w:rPr>
        <w:t>﹥1.05时，则：C</w:t>
      </w:r>
      <w:r>
        <w:rPr>
          <w:rFonts w:hint="eastAsia" w:ascii="宋体" w:hAnsi="宋体"/>
          <w:color w:val="auto"/>
          <w:szCs w:val="21"/>
          <w:highlight w:val="none"/>
          <w:vertAlign w:val="subscript"/>
        </w:rPr>
        <w:t>增</w:t>
      </w:r>
      <w:r>
        <w:rPr>
          <w:rFonts w:hint="eastAsia" w:ascii="宋体" w:hAnsi="宋体"/>
          <w:color w:val="auto"/>
          <w:szCs w:val="21"/>
          <w:highlight w:val="none"/>
        </w:rPr>
        <w:t>=L</w:t>
      </w:r>
      <w:r>
        <w:rPr>
          <w:rFonts w:hint="eastAsia" w:ascii="宋体" w:hAnsi="宋体"/>
          <w:color w:val="auto"/>
          <w:szCs w:val="21"/>
          <w:highlight w:val="none"/>
          <w:vertAlign w:val="subscript"/>
        </w:rPr>
        <w:t>总</w:t>
      </w:r>
      <w:r>
        <w:rPr>
          <w:rFonts w:hint="eastAsia" w:ascii="宋体" w:hAnsi="宋体"/>
          <w:color w:val="auto"/>
          <w:szCs w:val="21"/>
          <w:highlight w:val="none"/>
        </w:rPr>
        <w:t>×(</w:t>
      </w:r>
      <w:r>
        <w:rPr>
          <w:rFonts w:ascii="宋体" w:hAnsi="宋体"/>
          <w:color w:val="auto"/>
          <w:szCs w:val="21"/>
          <w:highlight w:val="none"/>
        </w:rPr>
        <w:sym w:font="Symbol" w:char="F060"/>
      </w:r>
      <w:r>
        <w:rPr>
          <w:rFonts w:ascii="Cambria" w:hAnsi="Cambria"/>
          <w:i/>
          <w:color w:val="auto"/>
          <w:szCs w:val="21"/>
          <w:highlight w:val="none"/>
        </w:rPr>
        <w:t xml:space="preserve">I </w:t>
      </w:r>
      <w:r>
        <w:rPr>
          <w:rFonts w:hint="eastAsia" w:ascii="宋体" w:hAnsi="宋体"/>
          <w:color w:val="auto"/>
          <w:szCs w:val="21"/>
          <w:highlight w:val="none"/>
        </w:rPr>
        <w:t>/I</w:t>
      </w:r>
      <w:r>
        <w:rPr>
          <w:rFonts w:hint="eastAsia" w:ascii="宋体" w:hAnsi="宋体"/>
          <w:color w:val="auto"/>
          <w:szCs w:val="21"/>
          <w:highlight w:val="none"/>
          <w:vertAlign w:val="subscript"/>
        </w:rPr>
        <w:t>o</w:t>
      </w:r>
      <w:r>
        <w:rPr>
          <w:rFonts w:hint="eastAsia" w:ascii="宋体" w:hAnsi="宋体"/>
          <w:color w:val="auto"/>
          <w:szCs w:val="21"/>
          <w:highlight w:val="none"/>
        </w:rPr>
        <w:t>-1.05)；</w:t>
      </w:r>
    </w:p>
    <w:p>
      <w:pPr>
        <w:snapToGrid w:val="0"/>
        <w:spacing w:line="360" w:lineRule="auto"/>
        <w:ind w:firstLine="945" w:firstLineChars="450"/>
        <w:rPr>
          <w:rFonts w:hint="eastAsia" w:ascii="宋体" w:hAnsi="宋体"/>
          <w:color w:val="auto"/>
          <w:szCs w:val="21"/>
          <w:highlight w:val="none"/>
        </w:rPr>
      </w:pPr>
      <w:r>
        <w:rPr>
          <w:rFonts w:hint="eastAsia" w:ascii="宋体" w:hAnsi="宋体"/>
          <w:color w:val="auto"/>
          <w:szCs w:val="21"/>
          <w:highlight w:val="none"/>
        </w:rPr>
        <w:t>当</w:t>
      </w:r>
      <w:r>
        <w:rPr>
          <w:rFonts w:ascii="宋体" w:hAnsi="宋体"/>
          <w:color w:val="auto"/>
          <w:szCs w:val="21"/>
          <w:highlight w:val="none"/>
        </w:rPr>
        <w:sym w:font="Symbol" w:char="F060"/>
      </w:r>
      <w:r>
        <w:rPr>
          <w:rFonts w:ascii="Cambria" w:hAnsi="Cambria"/>
          <w:i/>
          <w:color w:val="auto"/>
          <w:szCs w:val="21"/>
          <w:highlight w:val="none"/>
        </w:rPr>
        <w:t xml:space="preserve">I </w:t>
      </w:r>
      <w:r>
        <w:rPr>
          <w:rFonts w:hint="eastAsia" w:ascii="宋体" w:hAnsi="宋体"/>
          <w:color w:val="auto"/>
          <w:szCs w:val="21"/>
          <w:highlight w:val="none"/>
        </w:rPr>
        <w:t>/I</w:t>
      </w:r>
      <w:r>
        <w:rPr>
          <w:rFonts w:hint="eastAsia" w:ascii="宋体" w:hAnsi="宋体"/>
          <w:color w:val="auto"/>
          <w:szCs w:val="21"/>
          <w:highlight w:val="none"/>
          <w:vertAlign w:val="subscript"/>
        </w:rPr>
        <w:t>o</w:t>
      </w:r>
      <w:r>
        <w:rPr>
          <w:rFonts w:hint="eastAsia" w:ascii="宋体" w:hAnsi="宋体"/>
          <w:color w:val="auto"/>
          <w:szCs w:val="21"/>
          <w:highlight w:val="none"/>
        </w:rPr>
        <w:t>﹤0.95时，则：C</w:t>
      </w:r>
      <w:r>
        <w:rPr>
          <w:rFonts w:hint="eastAsia" w:ascii="宋体" w:hAnsi="宋体"/>
          <w:color w:val="auto"/>
          <w:szCs w:val="21"/>
          <w:highlight w:val="none"/>
          <w:vertAlign w:val="subscript"/>
        </w:rPr>
        <w:t>减</w:t>
      </w:r>
      <w:r>
        <w:rPr>
          <w:rFonts w:hint="eastAsia" w:ascii="宋体" w:hAnsi="宋体"/>
          <w:color w:val="auto"/>
          <w:szCs w:val="21"/>
          <w:highlight w:val="none"/>
        </w:rPr>
        <w:t>=L</w:t>
      </w:r>
      <w:r>
        <w:rPr>
          <w:rFonts w:hint="eastAsia" w:ascii="宋体" w:hAnsi="宋体"/>
          <w:color w:val="auto"/>
          <w:szCs w:val="21"/>
          <w:highlight w:val="none"/>
          <w:vertAlign w:val="subscript"/>
        </w:rPr>
        <w:t>总</w:t>
      </w:r>
      <w:r>
        <w:rPr>
          <w:rFonts w:hint="eastAsia" w:ascii="宋体" w:hAnsi="宋体"/>
          <w:color w:val="auto"/>
          <w:szCs w:val="21"/>
          <w:highlight w:val="none"/>
        </w:rPr>
        <w:t>×(0.95-</w:t>
      </w:r>
      <w:r>
        <w:rPr>
          <w:rFonts w:ascii="宋体" w:hAnsi="宋体"/>
          <w:color w:val="auto"/>
          <w:szCs w:val="21"/>
          <w:highlight w:val="none"/>
        </w:rPr>
        <w:sym w:font="Symbol" w:char="F060"/>
      </w:r>
      <w:r>
        <w:rPr>
          <w:rFonts w:ascii="Cambria" w:hAnsi="Cambria"/>
          <w:i/>
          <w:color w:val="auto"/>
          <w:szCs w:val="21"/>
          <w:highlight w:val="none"/>
        </w:rPr>
        <w:t xml:space="preserve">I </w:t>
      </w:r>
      <w:r>
        <w:rPr>
          <w:rFonts w:hint="eastAsia" w:ascii="宋体" w:hAnsi="宋体"/>
          <w:color w:val="auto"/>
          <w:szCs w:val="21"/>
          <w:highlight w:val="none"/>
        </w:rPr>
        <w:t>/I</w:t>
      </w:r>
      <w:r>
        <w:rPr>
          <w:rFonts w:hint="eastAsia" w:ascii="宋体" w:hAnsi="宋体"/>
          <w:color w:val="auto"/>
          <w:szCs w:val="21"/>
          <w:highlight w:val="none"/>
          <w:vertAlign w:val="subscript"/>
        </w:rPr>
        <w:t>o</w:t>
      </w:r>
      <w:r>
        <w:rPr>
          <w:rFonts w:hint="eastAsia" w:ascii="宋体" w:hAnsi="宋体"/>
          <w:color w:val="auto"/>
          <w:szCs w:val="21"/>
          <w:highlight w:val="none"/>
        </w:rPr>
        <w:t>)</w:t>
      </w:r>
    </w:p>
    <w:p>
      <w:pPr>
        <w:spacing w:line="360" w:lineRule="auto"/>
        <w:ind w:firstLine="945" w:firstLineChars="450"/>
        <w:rPr>
          <w:rFonts w:hint="eastAsia" w:ascii="宋体" w:hAnsi="宋体"/>
          <w:color w:val="auto"/>
          <w:szCs w:val="21"/>
          <w:highlight w:val="none"/>
        </w:rPr>
      </w:pPr>
      <w:r>
        <w:rPr>
          <w:rFonts w:hint="eastAsia" w:ascii="宋体" w:hAnsi="宋体"/>
          <w:color w:val="auto"/>
          <w:szCs w:val="21"/>
          <w:highlight w:val="none"/>
        </w:rPr>
        <w:t>式中：</w:t>
      </w:r>
    </w:p>
    <w:p>
      <w:pPr>
        <w:snapToGrid w:val="0"/>
        <w:spacing w:line="360" w:lineRule="auto"/>
        <w:ind w:left="1050" w:leftChars="500"/>
        <w:rPr>
          <w:rFonts w:hint="eastAsia" w:ascii="宋体" w:hAnsi="宋体"/>
          <w:color w:val="auto"/>
          <w:highlight w:val="none"/>
        </w:rPr>
      </w:pPr>
      <w:r>
        <w:rPr>
          <w:rFonts w:ascii="宋体" w:hAnsi="宋体"/>
          <w:color w:val="auto"/>
          <w:szCs w:val="21"/>
          <w:highlight w:val="none"/>
        </w:rPr>
        <w:sym w:font="Symbol" w:char="F060"/>
      </w:r>
      <w:r>
        <w:rPr>
          <w:rFonts w:ascii="Cambria" w:hAnsi="Cambria"/>
          <w:i/>
          <w:color w:val="auto"/>
          <w:szCs w:val="21"/>
          <w:highlight w:val="none"/>
        </w:rPr>
        <w:t xml:space="preserve">I </w:t>
      </w:r>
      <w:r>
        <w:rPr>
          <w:color w:val="auto"/>
          <w:highlight w:val="none"/>
        </w:rPr>
        <w:fldChar w:fldCharType="begin"/>
      </w:r>
      <w:r>
        <w:rPr>
          <w:rFonts w:hint="eastAsia" w:ascii="宋体" w:hAnsi="宋体"/>
          <w:color w:val="auto"/>
          <w:sz w:val="24"/>
          <w:highlight w:val="none"/>
        </w:rPr>
        <w:instrText xml:space="preserve"> QUOTE </w:instrText>
      </w:r>
      <w:r>
        <w:rPr>
          <w:color w:val="auto"/>
          <w:position w:val="-5"/>
          <w:highlight w:val="none"/>
        </w:rPr>
        <w:drawing>
          <wp:inline distT="0" distB="0" distL="114300" distR="114300">
            <wp:extent cx="95250" cy="200025"/>
            <wp:effectExtent l="0" t="0" r="0" b="7620"/>
            <wp:docPr id="7"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5"/>
                    <pic:cNvPicPr>
                      <a:picLocks noChangeAspect="1"/>
                    </pic:cNvPicPr>
                  </pic:nvPicPr>
                  <pic:blipFill>
                    <a:blip r:embed="rId144">
                      <a:clrChange>
                        <a:clrFrom>
                          <a:srgbClr val="FFFFFF"/>
                        </a:clrFrom>
                        <a:clrTo>
                          <a:srgbClr val="FFFFFF">
                            <a:alpha val="0"/>
                          </a:srgbClr>
                        </a:clrTo>
                      </a:clrChange>
                    </a:blip>
                    <a:stretch>
                      <a:fillRect/>
                    </a:stretch>
                  </pic:blipFill>
                  <pic:spPr>
                    <a:xfrm>
                      <a:off x="0" y="0"/>
                      <a:ext cx="95250" cy="200025"/>
                    </a:xfrm>
                    <a:prstGeom prst="rect">
                      <a:avLst/>
                    </a:prstGeom>
                    <a:noFill/>
                    <a:ln>
                      <a:noFill/>
                    </a:ln>
                  </pic:spPr>
                </pic:pic>
              </a:graphicData>
            </a:graphic>
          </wp:inline>
        </w:drawing>
      </w:r>
      <w:r>
        <w:rPr>
          <w:rFonts w:hint="eastAsia" w:ascii="宋体" w:hAnsi="宋体"/>
          <w:color w:val="auto"/>
          <w:sz w:val="24"/>
          <w:highlight w:val="none"/>
        </w:rPr>
        <w:instrText xml:space="preserve"> </w:instrText>
      </w:r>
      <w:r>
        <w:rPr>
          <w:color w:val="auto"/>
          <w:highlight w:val="none"/>
        </w:rPr>
        <w:fldChar w:fldCharType="separate"/>
      </w:r>
      <w:r>
        <w:rPr>
          <w:rFonts w:hint="eastAsia"/>
          <w:b/>
          <w:bCs/>
          <w:color w:val="auto"/>
          <w:highlight w:val="none"/>
        </w:rPr>
        <w:t>错误!未找到引用源。</w:t>
      </w:r>
      <w:r>
        <w:rPr>
          <w:color w:val="auto"/>
          <w:highlight w:val="none"/>
        </w:rPr>
        <w:fldChar w:fldCharType="end"/>
      </w:r>
      <w:r>
        <w:rPr>
          <w:rFonts w:hint="eastAsia" w:ascii="宋体" w:hAnsi="宋体"/>
          <w:color w:val="auto"/>
          <w:sz w:val="24"/>
          <w:highlight w:val="none"/>
        </w:rPr>
        <w:t>-</w:t>
      </w:r>
      <w:r>
        <w:rPr>
          <w:rFonts w:hint="eastAsia" w:ascii="宋体" w:hAnsi="宋体"/>
          <w:color w:val="auto"/>
          <w:highlight w:val="none"/>
        </w:rPr>
        <w:t>施工期平均人工费指数（即</w:t>
      </w:r>
      <w:r>
        <w:rPr>
          <w:rFonts w:hint="eastAsia" w:ascii="宋体" w:hAnsi="宋体"/>
          <w:color w:val="auto"/>
          <w:sz w:val="24"/>
          <w:highlight w:val="none"/>
        </w:rPr>
        <w:t>∑</w:t>
      </w:r>
      <w:r>
        <w:rPr>
          <w:rFonts w:hint="eastAsia" w:ascii="宋体" w:hAnsi="宋体"/>
          <w:color w:val="auto"/>
          <w:szCs w:val="21"/>
          <w:highlight w:val="none"/>
        </w:rPr>
        <w:t>(L</w:t>
      </w:r>
      <w:r>
        <w:rPr>
          <w:rFonts w:hint="eastAsia" w:ascii="宋体" w:hAnsi="宋体"/>
          <w:color w:val="auto"/>
          <w:szCs w:val="21"/>
          <w:highlight w:val="none"/>
          <w:vertAlign w:val="subscript"/>
        </w:rPr>
        <w:t>i</w:t>
      </w:r>
      <w:r>
        <w:rPr>
          <w:rFonts w:hint="eastAsia" w:ascii="宋体" w:hAnsi="宋体"/>
          <w:color w:val="auto"/>
          <w:szCs w:val="21"/>
          <w:highlight w:val="none"/>
        </w:rPr>
        <w:t>×I</w:t>
      </w:r>
      <w:r>
        <w:rPr>
          <w:rFonts w:hint="eastAsia" w:ascii="宋体" w:hAnsi="宋体"/>
          <w:color w:val="auto"/>
          <w:szCs w:val="21"/>
          <w:highlight w:val="none"/>
          <w:vertAlign w:val="subscript"/>
        </w:rPr>
        <w:t>i</w:t>
      </w:r>
      <w:r>
        <w:rPr>
          <w:rFonts w:hint="eastAsia" w:ascii="宋体" w:hAnsi="宋体"/>
          <w:color w:val="auto"/>
          <w:szCs w:val="21"/>
          <w:highlight w:val="none"/>
        </w:rPr>
        <w:t>)/L</w:t>
      </w:r>
      <w:r>
        <w:rPr>
          <w:rFonts w:hint="eastAsia" w:ascii="宋体" w:hAnsi="宋体"/>
          <w:color w:val="auto"/>
          <w:szCs w:val="21"/>
          <w:highlight w:val="none"/>
          <w:vertAlign w:val="subscript"/>
        </w:rPr>
        <w:t>总</w:t>
      </w:r>
      <w:r>
        <w:rPr>
          <w:rFonts w:hint="eastAsia" w:ascii="宋体" w:hAnsi="宋体"/>
          <w:color w:val="auto"/>
          <w:szCs w:val="21"/>
          <w:highlight w:val="none"/>
        </w:rPr>
        <w:t>，L</w:t>
      </w:r>
      <w:r>
        <w:rPr>
          <w:rFonts w:hint="eastAsia" w:ascii="宋体" w:hAnsi="宋体"/>
          <w:color w:val="auto"/>
          <w:szCs w:val="21"/>
          <w:highlight w:val="none"/>
          <w:vertAlign w:val="subscript"/>
        </w:rPr>
        <w:t>i</w:t>
      </w:r>
      <w:r>
        <w:rPr>
          <w:rFonts w:hint="eastAsia" w:ascii="宋体" w:hAnsi="宋体"/>
          <w:color w:val="auto"/>
          <w:szCs w:val="21"/>
          <w:highlight w:val="none"/>
        </w:rPr>
        <w:t>为施工期第i个月某工种人工费（调差前）</w:t>
      </w:r>
      <w:r>
        <w:rPr>
          <w:rFonts w:hint="eastAsia" w:ascii="宋体" w:hAnsi="宋体"/>
          <w:color w:val="auto"/>
          <w:sz w:val="24"/>
          <w:highlight w:val="none"/>
        </w:rPr>
        <w:t>，</w:t>
      </w:r>
      <w:r>
        <w:rPr>
          <w:rFonts w:hint="eastAsia" w:ascii="宋体" w:hAnsi="宋体"/>
          <w:color w:val="auto"/>
          <w:szCs w:val="21"/>
          <w:highlight w:val="none"/>
        </w:rPr>
        <w:t>I</w:t>
      </w:r>
      <w:r>
        <w:rPr>
          <w:rFonts w:hint="eastAsia" w:ascii="宋体" w:hAnsi="宋体"/>
          <w:color w:val="auto"/>
          <w:szCs w:val="21"/>
          <w:highlight w:val="none"/>
          <w:vertAlign w:val="subscript"/>
        </w:rPr>
        <w:t>i</w:t>
      </w:r>
      <w:r>
        <w:rPr>
          <w:rFonts w:hint="eastAsia" w:ascii="宋体" w:hAnsi="宋体"/>
          <w:color w:val="auto"/>
          <w:szCs w:val="21"/>
          <w:highlight w:val="none"/>
        </w:rPr>
        <w:t>为施工期第i个月当期《深圳市建设工程价格信息》发布的某工种人工费指数</w:t>
      </w:r>
      <w:r>
        <w:rPr>
          <w:rFonts w:hint="eastAsia" w:ascii="宋体" w:hAnsi="宋体"/>
          <w:color w:val="auto"/>
          <w:highlight w:val="none"/>
        </w:rPr>
        <w:t>）；</w:t>
      </w:r>
    </w:p>
    <w:p>
      <w:pPr>
        <w:spacing w:line="360" w:lineRule="auto"/>
        <w:ind w:left="1050" w:leftChars="500"/>
        <w:rPr>
          <w:rFonts w:hint="eastAsia" w:ascii="宋体" w:hAnsi="宋体"/>
          <w:color w:val="auto"/>
          <w:szCs w:val="21"/>
          <w:highlight w:val="none"/>
        </w:rPr>
      </w:pPr>
      <w:r>
        <w:rPr>
          <w:rFonts w:hint="eastAsia" w:ascii="宋体" w:hAnsi="宋体"/>
          <w:color w:val="auto"/>
          <w:szCs w:val="21"/>
          <w:highlight w:val="none"/>
        </w:rPr>
        <w:t>I</w:t>
      </w:r>
      <w:r>
        <w:rPr>
          <w:rFonts w:hint="eastAsia" w:ascii="宋体" w:hAnsi="宋体"/>
          <w:color w:val="auto"/>
          <w:szCs w:val="21"/>
          <w:highlight w:val="none"/>
          <w:vertAlign w:val="subscript"/>
        </w:rPr>
        <w:t>o</w:t>
      </w:r>
      <w:r>
        <w:rPr>
          <w:rFonts w:hint="eastAsia" w:ascii="宋体" w:hAnsi="宋体"/>
          <w:color w:val="auto"/>
          <w:szCs w:val="21"/>
          <w:highlight w:val="none"/>
        </w:rPr>
        <w:t>─投标截止日期已出版的最新一期或</w:t>
      </w:r>
      <w:r>
        <w:rPr>
          <w:rFonts w:hint="eastAsia" w:ascii="宋体" w:hAnsi="宋体"/>
          <w:b/>
          <w:i/>
          <w:color w:val="auto"/>
          <w:szCs w:val="21"/>
          <w:highlight w:val="none"/>
        </w:rPr>
        <w:t>专用条款</w:t>
      </w:r>
      <w:r>
        <w:rPr>
          <w:rFonts w:hint="eastAsia" w:ascii="宋体" w:hAnsi="宋体"/>
          <w:color w:val="auto"/>
          <w:szCs w:val="21"/>
          <w:highlight w:val="none"/>
        </w:rPr>
        <w:t>约定的一期《深圳市建设工程价格信息》发布的某工种人工费指数；</w:t>
      </w:r>
    </w:p>
    <w:p>
      <w:pPr>
        <w:spacing w:line="360" w:lineRule="auto"/>
        <w:ind w:firstLine="1050" w:firstLineChars="500"/>
        <w:rPr>
          <w:rFonts w:hint="eastAsia" w:ascii="宋体" w:hAnsi="宋体"/>
          <w:color w:val="auto"/>
          <w:szCs w:val="21"/>
          <w:highlight w:val="none"/>
        </w:rPr>
      </w:pPr>
      <w:r>
        <w:rPr>
          <w:rFonts w:hint="eastAsia" w:ascii="宋体" w:hAnsi="宋体"/>
          <w:color w:val="auto"/>
          <w:szCs w:val="21"/>
          <w:highlight w:val="none"/>
        </w:rPr>
        <w:t>C</w:t>
      </w:r>
      <w:r>
        <w:rPr>
          <w:rFonts w:hint="eastAsia" w:ascii="宋体" w:hAnsi="宋体"/>
          <w:color w:val="auto"/>
          <w:szCs w:val="21"/>
          <w:highlight w:val="none"/>
          <w:vertAlign w:val="subscript"/>
        </w:rPr>
        <w:t>增</w:t>
      </w:r>
      <w:r>
        <w:rPr>
          <w:rFonts w:hint="eastAsia" w:ascii="宋体" w:hAnsi="宋体"/>
          <w:color w:val="auto"/>
          <w:szCs w:val="21"/>
          <w:highlight w:val="none"/>
        </w:rPr>
        <w:t>─调增合同价格；</w:t>
      </w:r>
    </w:p>
    <w:p>
      <w:pPr>
        <w:spacing w:line="360" w:lineRule="auto"/>
        <w:ind w:firstLine="1050" w:firstLineChars="500"/>
        <w:rPr>
          <w:rFonts w:hint="eastAsia" w:ascii="宋体" w:hAnsi="宋体"/>
          <w:color w:val="auto"/>
          <w:szCs w:val="21"/>
          <w:highlight w:val="none"/>
        </w:rPr>
      </w:pPr>
      <w:r>
        <w:rPr>
          <w:rFonts w:hint="eastAsia" w:ascii="宋体" w:hAnsi="宋体"/>
          <w:color w:val="auto"/>
          <w:szCs w:val="21"/>
          <w:highlight w:val="none"/>
        </w:rPr>
        <w:t>C</w:t>
      </w:r>
      <w:r>
        <w:rPr>
          <w:rFonts w:hint="eastAsia" w:ascii="宋体" w:hAnsi="宋体"/>
          <w:color w:val="auto"/>
          <w:szCs w:val="21"/>
          <w:highlight w:val="none"/>
          <w:vertAlign w:val="subscript"/>
        </w:rPr>
        <w:t>减</w:t>
      </w:r>
      <w:r>
        <w:rPr>
          <w:rFonts w:hint="eastAsia" w:ascii="宋体" w:hAnsi="宋体"/>
          <w:color w:val="auto"/>
          <w:szCs w:val="21"/>
          <w:highlight w:val="none"/>
        </w:rPr>
        <w:t>─调减合同价格；</w:t>
      </w:r>
    </w:p>
    <w:p>
      <w:pPr>
        <w:tabs>
          <w:tab w:val="left" w:pos="1620"/>
          <w:tab w:val="left" w:pos="2340"/>
        </w:tabs>
        <w:spacing w:after="156" w:line="360" w:lineRule="auto"/>
        <w:ind w:firstLine="1050" w:firstLineChars="500"/>
        <w:jc w:val="left"/>
        <w:rPr>
          <w:rFonts w:hint="eastAsia" w:ascii="宋体" w:hAnsi="宋体"/>
          <w:color w:val="auto"/>
          <w:kern w:val="0"/>
          <w:highlight w:val="none"/>
        </w:rPr>
      </w:pPr>
      <w:r>
        <w:rPr>
          <w:rFonts w:hint="eastAsia" w:ascii="宋体" w:hAnsi="宋体"/>
          <w:color w:val="auto"/>
          <w:szCs w:val="21"/>
          <w:highlight w:val="none"/>
        </w:rPr>
        <w:t>L</w:t>
      </w:r>
      <w:r>
        <w:rPr>
          <w:rFonts w:hint="eastAsia" w:ascii="宋体" w:hAnsi="宋体"/>
          <w:color w:val="auto"/>
          <w:szCs w:val="21"/>
          <w:highlight w:val="none"/>
          <w:vertAlign w:val="subscript"/>
        </w:rPr>
        <w:t>总</w:t>
      </w:r>
      <w:r>
        <w:rPr>
          <w:rFonts w:hint="eastAsia" w:ascii="宋体" w:hAnsi="宋体"/>
          <w:color w:val="auto"/>
          <w:szCs w:val="21"/>
          <w:highlight w:val="none"/>
        </w:rPr>
        <w:t>─承包人投标文件商务标书中某工种总人工费。</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7048" w:name="_Toc26357"/>
      <w:bookmarkStart w:id="7049" w:name="_Toc28952"/>
      <w:bookmarkStart w:id="7050" w:name="_Toc24778"/>
      <w:bookmarkStart w:id="7051" w:name="_Toc25340"/>
      <w:bookmarkStart w:id="7052" w:name="_Toc11441"/>
      <w:bookmarkStart w:id="7053" w:name="_Toc21574"/>
      <w:bookmarkStart w:id="7054" w:name="_Toc517532315"/>
      <w:bookmarkStart w:id="7055" w:name="_Toc28697"/>
      <w:bookmarkStart w:id="7056" w:name="_Toc27954"/>
      <w:bookmarkStart w:id="7057" w:name="_Toc25965"/>
      <w:bookmarkStart w:id="7058" w:name="_Toc19539"/>
      <w:bookmarkStart w:id="7059" w:name="_Toc27260"/>
      <w:bookmarkStart w:id="7060" w:name="_Toc25510"/>
      <w:bookmarkStart w:id="7061" w:name="_Toc4542"/>
      <w:bookmarkStart w:id="7062" w:name="_Toc517531039"/>
      <w:bookmarkStart w:id="7063" w:name="_Toc28274"/>
      <w:bookmarkStart w:id="7064" w:name="_Toc3855"/>
      <w:bookmarkStart w:id="7065" w:name="_Toc517528803"/>
      <w:r>
        <w:rPr>
          <w:rFonts w:ascii="宋体" w:hAnsi="宋体"/>
          <w:bCs/>
          <w:color w:val="auto"/>
          <w:sz w:val="20"/>
          <w:szCs w:val="20"/>
          <w:highlight w:val="none"/>
        </w:rPr>
        <w:object>
          <v:shape id="_x0000_i1126" o:spt="201" type="#_x0000_t201" style="height:18pt;width:12.6pt;" o:ole="t" filled="f" o:preferrelative="t" stroked="f" coordsize="21600,21600">
            <v:path/>
            <v:fill on="f" focussize="0,0"/>
            <v:stroke on="f"/>
            <v:imagedata r:id="rId109" o:title=""/>
            <o:lock v:ext="edit" aspectratio="t"/>
            <w10:wrap type="none"/>
            <w10:anchorlock/>
          </v:shape>
          <w:control r:id="rId145" w:name="CheckBox1304" w:shapeid="_x0000_i1126"/>
        </w:object>
      </w:r>
      <w:r>
        <w:rPr>
          <w:rFonts w:hint="eastAsia" w:ascii="宋体" w:hAnsi="宋体" w:cs="宋体"/>
          <w:b/>
          <w:bCs/>
          <w:color w:val="auto"/>
          <w:sz w:val="28"/>
          <w:szCs w:val="28"/>
          <w:highlight w:val="none"/>
        </w:rPr>
        <w:t>11.2法规变更的影响</w:t>
      </w:r>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r>
        <w:rPr>
          <w:rFonts w:hint="eastAsia" w:ascii="宋体" w:hAnsi="宋体" w:cs="宋体"/>
          <w:b/>
          <w:bCs/>
          <w:color w:val="auto"/>
          <w:sz w:val="28"/>
          <w:szCs w:val="28"/>
          <w:highlight w:val="none"/>
        </w:rPr>
        <w:t xml:space="preserve"> </w:t>
      </w:r>
    </w:p>
    <w:p>
      <w:pPr>
        <w:adjustRightInd w:val="0"/>
        <w:snapToGrid w:val="0"/>
        <w:spacing w:line="360" w:lineRule="auto"/>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承包人在投标报价中应考虑到国家和(或)本市颁布的法律、法规、法令、规章或条例在合同执行期间发生变更而产生的费用增加的风险，合同价款不会因此而调整。</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7066" w:name="_Toc517528804"/>
      <w:bookmarkStart w:id="7067" w:name="_Toc15860"/>
      <w:bookmarkStart w:id="7068" w:name="_Toc6759"/>
      <w:bookmarkStart w:id="7069" w:name="_Toc839"/>
      <w:bookmarkStart w:id="7070" w:name="_Toc517531040"/>
      <w:bookmarkStart w:id="7071" w:name="_Toc31350"/>
      <w:bookmarkStart w:id="7072" w:name="_Toc3407"/>
      <w:bookmarkStart w:id="7073" w:name="_Toc17115"/>
      <w:bookmarkStart w:id="7074" w:name="_Toc6493"/>
      <w:bookmarkStart w:id="7075" w:name="_Toc15728"/>
      <w:bookmarkStart w:id="7076" w:name="_Toc517532316"/>
      <w:r>
        <w:rPr>
          <w:rFonts w:hint="eastAsia" w:ascii="宋体" w:hAnsi="宋体" w:cs="宋体"/>
          <w:b/>
          <w:bCs/>
          <w:color w:val="auto"/>
          <w:sz w:val="28"/>
          <w:szCs w:val="28"/>
          <w:highlight w:val="none"/>
        </w:rPr>
        <w:t>11.3合同价格的调整方式</w:t>
      </w:r>
      <w:bookmarkEnd w:id="7066"/>
      <w:bookmarkEnd w:id="7067"/>
      <w:bookmarkEnd w:id="7068"/>
      <w:bookmarkEnd w:id="7069"/>
      <w:bookmarkEnd w:id="7070"/>
      <w:bookmarkEnd w:id="7071"/>
      <w:bookmarkEnd w:id="7072"/>
      <w:bookmarkEnd w:id="7073"/>
      <w:bookmarkEnd w:id="7074"/>
      <w:bookmarkEnd w:id="7075"/>
      <w:bookmarkEnd w:id="7076"/>
    </w:p>
    <w:p>
      <w:pPr>
        <w:adjustRightInd w:val="0"/>
        <w:snapToGrid w:val="0"/>
        <w:spacing w:line="360" w:lineRule="auto"/>
        <w:ind w:firstLine="428" w:firstLineChars="200"/>
        <w:jc w:val="left"/>
        <w:rPr>
          <w:rFonts w:hint="eastAsia" w:ascii="宋体" w:hAnsi="宋体" w:cs="宋体"/>
          <w:bCs/>
          <w:color w:val="auto"/>
          <w:spacing w:val="2"/>
          <w:szCs w:val="21"/>
          <w:highlight w:val="none"/>
        </w:rPr>
      </w:pPr>
      <w:r>
        <w:rPr>
          <w:rFonts w:hint="eastAsia" w:ascii="宋体" w:hAnsi="宋体" w:cs="宋体"/>
          <w:bCs/>
          <w:color w:val="auto"/>
          <w:spacing w:val="2"/>
          <w:szCs w:val="21"/>
          <w:highlight w:val="none"/>
        </w:rPr>
        <w:t>固定总价合同或固定单价合同中包含的分项固定合价工程存在下列情况的，还应从固定总价或固定合价中扣减相应的价款：</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27" o:spt="201" type="#_x0000_t201" style="height:18pt;width:12.6pt;" o:ole="t" filled="f" o:preferrelative="t" stroked="f" coordsize="21600,21600">
            <v:path/>
            <v:fill on="f" focussize="0,0"/>
            <v:stroke on="f"/>
            <v:imagedata r:id="rId147" o:title=""/>
            <o:lock v:ext="edit" aspectratio="t"/>
            <w10:wrap type="none"/>
            <w10:anchorlock/>
          </v:shape>
          <w:control r:id="rId146" w:name="CheckBox1326" w:shapeid="_x0000_i1127"/>
        </w:object>
      </w:r>
      <w:r>
        <w:rPr>
          <w:rFonts w:hint="eastAsia" w:ascii="宋体" w:hAnsi="宋体" w:cs="宋体"/>
          <w:color w:val="auto"/>
          <w:szCs w:val="21"/>
          <w:highlight w:val="none"/>
        </w:rPr>
        <w:t>（a）发包人取消的发包内容；</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28" o:spt="201" type="#_x0000_t201" style="height:18pt;width:12.6pt;" o:ole="t" filled="f" o:preferrelative="t" stroked="f" coordsize="21600,21600">
            <v:path/>
            <v:fill on="f" focussize="0,0"/>
            <v:stroke on="f"/>
            <v:imagedata r:id="rId147" o:title=""/>
            <o:lock v:ext="edit" aspectratio="t"/>
            <w10:wrap type="none"/>
            <w10:anchorlock/>
          </v:shape>
          <w:control r:id="rId148" w:name="CheckBox1326" w:shapeid="_x0000_i1128"/>
        </w:object>
      </w:r>
      <w:r>
        <w:rPr>
          <w:rFonts w:hint="eastAsia" w:ascii="宋体" w:hAnsi="宋体" w:cs="宋体"/>
          <w:color w:val="auto"/>
          <w:szCs w:val="21"/>
          <w:highlight w:val="none"/>
        </w:rPr>
        <w:t>（b）设计变更减少的承包内容；</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29" o:spt="201" type="#_x0000_t201" style="height:18pt;width:12.6pt;" o:ole="t" filled="f" o:preferrelative="t" stroked="f" coordsize="21600,21600">
            <v:path/>
            <v:fill on="f" focussize="0,0"/>
            <v:stroke on="f"/>
            <v:imagedata r:id="rId147" o:title=""/>
            <o:lock v:ext="edit" aspectratio="t"/>
            <w10:wrap type="none"/>
            <w10:anchorlock/>
          </v:shape>
          <w:control r:id="rId149" w:name="CheckBox1326" w:shapeid="_x0000_i1129"/>
        </w:object>
      </w:r>
      <w:r>
        <w:rPr>
          <w:rFonts w:hint="eastAsia" w:ascii="宋体" w:hAnsi="宋体" w:cs="宋体"/>
          <w:color w:val="auto"/>
          <w:szCs w:val="21"/>
          <w:highlight w:val="none"/>
        </w:rPr>
        <w:t>（c）承包人未按招标文件或招标图纸完成相应承包内容。</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固定总价合同或固定单价合同中包含的分项固定合价工程的调价原则：</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30" o:spt="201" type="#_x0000_t201" style="height:18pt;width:12.6pt;" o:ole="t" filled="f" o:preferrelative="t" stroked="f" coordsize="21600,21600">
            <v:path/>
            <v:fill on="f" focussize="0,0"/>
            <v:stroke on="f"/>
            <v:imagedata r:id="rId147" o:title=""/>
            <o:lock v:ext="edit" aspectratio="t"/>
            <w10:wrap type="none"/>
            <w10:anchorlock/>
          </v:shape>
          <w:control r:id="rId150" w:name="CheckBox1326" w:shapeid="_x0000_i1130"/>
        </w:object>
      </w:r>
      <w:r>
        <w:rPr>
          <w:rFonts w:hint="eastAsia" w:ascii="宋体" w:hAnsi="宋体" w:cs="宋体"/>
          <w:color w:val="auto"/>
          <w:szCs w:val="21"/>
          <w:highlight w:val="none"/>
        </w:rPr>
        <w:t>（a）深化设计不予调价；</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31" o:spt="201" type="#_x0000_t201" style="height:18pt;width:12.6pt;" o:ole="t" filled="f" o:preferrelative="t" stroked="f" coordsize="21600,21600">
            <v:path/>
            <v:fill on="f" focussize="0,0"/>
            <v:stroke on="f"/>
            <v:imagedata r:id="rId147" o:title=""/>
            <o:lock v:ext="edit" aspectratio="t"/>
            <w10:wrap type="none"/>
            <w10:anchorlock/>
          </v:shape>
          <w:control r:id="rId151" w:name="CheckBox1326" w:shapeid="_x0000_i1131"/>
        </w:object>
      </w:r>
      <w:r>
        <w:rPr>
          <w:rFonts w:hint="eastAsia" w:ascii="宋体" w:hAnsi="宋体" w:cs="宋体"/>
          <w:color w:val="auto"/>
          <w:szCs w:val="21"/>
          <w:highlight w:val="none"/>
        </w:rPr>
        <w:t>（b）优化设计不予调价；</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32" o:spt="201" type="#_x0000_t201" style="height:18pt;width:12.6pt;" o:ole="t" filled="f" o:preferrelative="t" stroked="f" coordsize="21600,21600">
            <v:path/>
            <v:fill on="f" focussize="0,0"/>
            <v:stroke on="f"/>
            <v:imagedata r:id="rId147" o:title=""/>
            <o:lock v:ext="edit" aspectratio="t"/>
            <w10:wrap type="none"/>
            <w10:anchorlock/>
          </v:shape>
          <w:control r:id="rId152" w:name="CheckBox1326" w:shapeid="_x0000_i1132"/>
        </w:object>
      </w:r>
      <w:r>
        <w:rPr>
          <w:rFonts w:hint="eastAsia" w:ascii="宋体" w:hAnsi="宋体" w:cs="宋体"/>
          <w:color w:val="auto"/>
          <w:szCs w:val="21"/>
          <w:highlight w:val="none"/>
        </w:rPr>
        <w:t>（c）增加或减少承包范围的予以调价；</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33" o:spt="201" type="#_x0000_t201" style="height:18pt;width:12.6pt;" o:ole="t" filled="f" o:preferrelative="t" stroked="f" coordsize="21600,21600">
            <v:path/>
            <v:fill on="f" focussize="0,0"/>
            <v:stroke on="f"/>
            <v:imagedata r:id="rId147" o:title=""/>
            <o:lock v:ext="edit" aspectratio="t"/>
            <w10:wrap type="none"/>
            <w10:anchorlock/>
          </v:shape>
          <w:control r:id="rId153" w:name="CheckBox1326" w:shapeid="_x0000_i1133"/>
        </w:object>
      </w:r>
      <w:r>
        <w:rPr>
          <w:rFonts w:hint="eastAsia" w:ascii="宋体" w:hAnsi="宋体" w:cs="宋体"/>
          <w:color w:val="auto"/>
          <w:szCs w:val="21"/>
          <w:highlight w:val="none"/>
        </w:rPr>
        <w:t>（d）发包人确认的设计变更予以调价；</w:t>
      </w:r>
    </w:p>
    <w:p>
      <w:pPr>
        <w:adjustRightInd w:val="0"/>
        <w:snapToGrid w:val="0"/>
        <w:spacing w:line="360" w:lineRule="auto"/>
        <w:ind w:firstLine="1050" w:firstLineChars="500"/>
        <w:jc w:val="left"/>
        <w:rPr>
          <w:rFonts w:hint="eastAsia" w:ascii="宋体" w:hAnsi="宋体" w:cs="宋体"/>
          <w:color w:val="auto"/>
          <w:szCs w:val="21"/>
          <w:highlight w:val="none"/>
        </w:rPr>
      </w:pPr>
      <w:r>
        <w:rPr>
          <w:rFonts w:hint="eastAsia" w:ascii="宋体" w:hAnsi="宋体" w:cs="宋体"/>
          <w:color w:val="auto"/>
          <w:szCs w:val="21"/>
          <w:highlight w:val="none"/>
        </w:rPr>
        <w:t>（c）、（d）款扣减项目执行投标报价，增加项目价格执行10.3条。</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7077" w:name="_Toc517532317"/>
      <w:bookmarkStart w:id="7078" w:name="_Toc3989"/>
      <w:bookmarkStart w:id="7079" w:name="_Toc21937"/>
      <w:bookmarkStart w:id="7080" w:name="_Toc517528805"/>
      <w:bookmarkStart w:id="7081" w:name="_Toc23147"/>
      <w:bookmarkStart w:id="7082" w:name="_Toc6099"/>
      <w:bookmarkStart w:id="7083" w:name="_Toc28553"/>
      <w:bookmarkStart w:id="7084" w:name="_Toc19071"/>
      <w:bookmarkStart w:id="7085" w:name="_Toc4329"/>
      <w:bookmarkStart w:id="7086" w:name="_Toc3200"/>
      <w:bookmarkStart w:id="7087" w:name="_Toc27924"/>
      <w:bookmarkStart w:id="7088" w:name="_Toc12433"/>
      <w:bookmarkStart w:id="7089" w:name="_Toc17601"/>
      <w:bookmarkStart w:id="7090" w:name="_Toc517531041"/>
      <w:bookmarkStart w:id="7091" w:name="_Toc28522"/>
      <w:bookmarkStart w:id="7092" w:name="_Toc21540"/>
      <w:bookmarkStart w:id="7093" w:name="_Toc23322"/>
      <w:bookmarkStart w:id="7094" w:name="_Toc12916"/>
      <w:r>
        <w:rPr>
          <w:rFonts w:ascii="宋体" w:hAnsi="宋体"/>
          <w:bCs/>
          <w:color w:val="auto"/>
          <w:sz w:val="20"/>
          <w:szCs w:val="20"/>
          <w:highlight w:val="none"/>
        </w:rPr>
        <w:object>
          <v:shape id="_x0000_i1134" o:spt="201" type="#_x0000_t201" style="height:18pt;width:12.6pt;" o:ole="t" filled="f" o:preferrelative="t" stroked="f" coordsize="21600,21600">
            <v:path/>
            <v:fill on="f" focussize="0,0"/>
            <v:stroke on="f"/>
            <v:imagedata r:id="rId147" o:title=""/>
            <o:lock v:ext="edit" aspectratio="t"/>
            <w10:wrap type="none"/>
            <w10:anchorlock/>
          </v:shape>
          <w:control r:id="rId154" w:name="CheckBox1326" w:shapeid="_x0000_i1134"/>
        </w:object>
      </w:r>
      <w:r>
        <w:rPr>
          <w:rFonts w:hint="eastAsia" w:ascii="宋体" w:hAnsi="宋体" w:cs="宋体"/>
          <w:b/>
          <w:bCs/>
          <w:color w:val="auto"/>
          <w:sz w:val="28"/>
          <w:szCs w:val="28"/>
          <w:highlight w:val="none"/>
        </w:rPr>
        <w:t>11.4不平衡报价的调整</w:t>
      </w:r>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在工程实施的整个过程中，发包人均可依据投标人须知第27.1款的规定对承包人不平衡报价进行调整。</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7095" w:name="_Toc11756"/>
      <w:bookmarkStart w:id="7096" w:name="_Toc22825"/>
      <w:bookmarkStart w:id="7097" w:name="_Toc15372"/>
      <w:bookmarkStart w:id="7098" w:name="_Toc14700"/>
      <w:bookmarkStart w:id="7099" w:name="_Toc517531042"/>
      <w:bookmarkStart w:id="7100" w:name="_Toc14352"/>
      <w:bookmarkStart w:id="7101" w:name="_Toc13030"/>
      <w:bookmarkStart w:id="7102" w:name="_Toc15195"/>
      <w:bookmarkStart w:id="7103" w:name="_Toc29210"/>
      <w:bookmarkStart w:id="7104" w:name="_Toc6153"/>
      <w:bookmarkStart w:id="7105" w:name="_Toc15250"/>
      <w:bookmarkStart w:id="7106" w:name="_Toc29793"/>
      <w:bookmarkStart w:id="7107" w:name="_Toc23199"/>
      <w:bookmarkStart w:id="7108" w:name="_Toc8750"/>
      <w:bookmarkStart w:id="7109" w:name="_Toc23748"/>
      <w:bookmarkStart w:id="7110" w:name="_Toc31450"/>
      <w:bookmarkStart w:id="7111" w:name="_Toc517528806"/>
      <w:bookmarkStart w:id="7112" w:name="_Toc517532318"/>
      <w:r>
        <w:rPr>
          <w:rFonts w:hint="eastAsia" w:ascii="宋体" w:hAnsi="宋体" w:cs="宋体"/>
          <w:b/>
          <w:bCs/>
          <w:color w:val="auto"/>
          <w:sz w:val="28"/>
          <w:szCs w:val="28"/>
          <w:highlight w:val="none"/>
        </w:rPr>
        <w:t>11.5措施费的调整</w:t>
      </w:r>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发生下列情形之一的，其措施费可根据实际情况由承包人提出申请，报发包人确认批准并经评审中心评审或发包人指定的第三方审定后予以适当调整：</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35" o:spt="201" type="#_x0000_t201" style="height:18pt;width:12.6pt;" o:ole="t" filled="f" o:preferrelative="t" stroked="f" coordsize="21600,21600">
            <v:path/>
            <v:fill on="f" focussize="0,0"/>
            <v:stroke on="f"/>
            <v:imagedata r:id="rId147" o:title=""/>
            <o:lock v:ext="edit" aspectratio="t"/>
            <w10:wrap type="none"/>
            <w10:anchorlock/>
          </v:shape>
          <w:control r:id="rId155" w:name="CheckBox1326" w:shapeid="_x0000_i1135"/>
        </w:object>
      </w:r>
      <w:r>
        <w:rPr>
          <w:rFonts w:hint="eastAsia" w:ascii="宋体" w:hAnsi="宋体" w:cs="宋体"/>
          <w:color w:val="auto"/>
          <w:szCs w:val="21"/>
          <w:highlight w:val="none"/>
        </w:rPr>
        <w:t xml:space="preserve"> (a)发包人要求调整工期且工期提前28天及以上或延后84天及以上的；</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36" o:spt="201" type="#_x0000_t201" style="height:18pt;width:12.6pt;" o:ole="t" filled="f" o:preferrelative="t" stroked="f" coordsize="21600,21600">
            <v:path/>
            <v:fill on="f" focussize="0,0"/>
            <v:stroke on="f"/>
            <v:imagedata r:id="rId147" o:title=""/>
            <o:lock v:ext="edit" aspectratio="t"/>
            <w10:wrap type="none"/>
            <w10:anchorlock/>
          </v:shape>
          <w:control r:id="rId156" w:name="CheckBox1326" w:shapeid="_x0000_i1136"/>
        </w:object>
      </w:r>
      <w:r>
        <w:rPr>
          <w:rFonts w:hint="eastAsia" w:ascii="宋体" w:hAnsi="宋体" w:cs="宋体"/>
          <w:color w:val="auto"/>
          <w:szCs w:val="21"/>
          <w:highlight w:val="none"/>
        </w:rPr>
        <w:t xml:space="preserve"> (b)承包范围以外的新增工程；</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37" o:spt="201" type="#_x0000_t201" style="height:18pt;width:12.6pt;" o:ole="t" filled="f" o:preferrelative="t" stroked="f" coordsize="21600,21600">
            <v:path/>
            <v:fill on="f" focussize="0,0"/>
            <v:stroke on="f"/>
            <v:imagedata r:id="rId158" o:title=""/>
            <o:lock v:ext="edit" aspectratio="t"/>
            <w10:wrap type="none"/>
            <w10:anchorlock/>
          </v:shape>
          <w:control r:id="rId157" w:name="CheckBox1329" w:shapeid="_x0000_i1137"/>
        </w:object>
      </w:r>
      <w:r>
        <w:rPr>
          <w:rFonts w:hint="eastAsia" w:ascii="宋体" w:hAnsi="宋体" w:cs="宋体"/>
          <w:color w:val="auto"/>
          <w:szCs w:val="21"/>
          <w:highlight w:val="none"/>
        </w:rPr>
        <w:t xml:space="preserve"> (c)暂估价工程；</w:t>
      </w:r>
    </w:p>
    <w:p>
      <w:pPr>
        <w:adjustRightInd w:val="0"/>
        <w:snapToGrid w:val="0"/>
        <w:spacing w:line="360" w:lineRule="auto"/>
        <w:ind w:firstLine="400" w:firstLineChars="200"/>
        <w:jc w:val="left"/>
        <w:rPr>
          <w:rFonts w:hint="eastAsia" w:ascii="宋体" w:hAnsi="宋体" w:cs="宋体"/>
          <w:color w:val="auto"/>
          <w:szCs w:val="21"/>
          <w:highlight w:val="none"/>
        </w:rPr>
      </w:pPr>
      <w:r>
        <w:rPr>
          <w:rFonts w:ascii="宋体" w:hAnsi="宋体"/>
          <w:bCs/>
          <w:color w:val="auto"/>
          <w:sz w:val="20"/>
          <w:szCs w:val="20"/>
          <w:highlight w:val="none"/>
        </w:rPr>
        <w:object>
          <v:shape id="_x0000_i1138" o:spt="201" type="#_x0000_t201" style="height:18pt;width:12.6pt;" o:ole="t" filled="f" o:preferrelative="t" stroked="f" coordsize="21600,21600">
            <v:path/>
            <v:fill on="f" focussize="0,0"/>
            <v:stroke on="f"/>
            <v:imagedata r:id="rId160" o:title=""/>
            <o:lock v:ext="edit" aspectratio="t"/>
            <w10:wrap type="none"/>
            <w10:anchorlock/>
          </v:shape>
          <w:control r:id="rId159" w:name="CheckBox1330" w:shapeid="_x0000_i1138"/>
        </w:object>
      </w:r>
      <w:r>
        <w:rPr>
          <w:rFonts w:hint="eastAsia" w:ascii="宋体" w:hAnsi="宋体" w:cs="宋体"/>
          <w:color w:val="auto"/>
          <w:szCs w:val="21"/>
          <w:highlight w:val="none"/>
        </w:rPr>
        <w:t xml:space="preserve"> (d)经发包人（技术委员会）批准的重大设计变更且需要增加措施费用的；</w:t>
      </w:r>
    </w:p>
    <w:p>
      <w:pPr>
        <w:adjustRightInd w:val="0"/>
        <w:snapToGrid w:val="0"/>
        <w:spacing w:line="360" w:lineRule="auto"/>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 xml:space="preserve">    重大设计变更是指：</w:t>
      </w:r>
      <w:r>
        <w:rPr>
          <w:rFonts w:hint="eastAsia" w:ascii="宋体" w:hAnsi="宋体" w:cs="宋体"/>
          <w:color w:val="auto"/>
          <w:szCs w:val="21"/>
          <w:highlight w:val="none"/>
          <w:u w:val="single"/>
        </w:rPr>
        <w:t xml:space="preserve">                                          。</w:t>
      </w:r>
    </w:p>
    <w:p>
      <w:pPr>
        <w:spacing w:line="360" w:lineRule="auto"/>
        <w:ind w:firstLine="400" w:firstLineChars="200"/>
        <w:rPr>
          <w:rFonts w:hint="eastAsia" w:ascii="宋体" w:hAnsi="宋体" w:cs="宋体"/>
          <w:color w:val="auto"/>
          <w:szCs w:val="21"/>
          <w:highlight w:val="none"/>
        </w:rPr>
      </w:pPr>
      <w:r>
        <w:rPr>
          <w:rFonts w:ascii="宋体" w:hAnsi="宋体"/>
          <w:bCs/>
          <w:color w:val="auto"/>
          <w:sz w:val="20"/>
          <w:szCs w:val="20"/>
          <w:highlight w:val="none"/>
        </w:rPr>
        <w:object>
          <v:shape id="_x0000_i1139" o:spt="201" type="#_x0000_t201" style="height:18pt;width:12.6pt;" o:ole="t" filled="f" o:preferrelative="t" stroked="f" coordsize="21600,21600">
            <v:path/>
            <v:fill on="f" focussize="0,0"/>
            <v:stroke on="f"/>
            <v:imagedata r:id="rId162" o:title=""/>
            <o:lock v:ext="edit" aspectratio="t"/>
            <w10:wrap type="none"/>
            <w10:anchorlock/>
          </v:shape>
          <w:control r:id="rId161" w:name="CheckBox1331" w:shapeid="_x0000_i1139"/>
        </w:object>
      </w:r>
      <w:r>
        <w:rPr>
          <w:rFonts w:hint="eastAsia" w:ascii="宋体" w:hAnsi="宋体" w:cs="宋体"/>
          <w:color w:val="auto"/>
          <w:szCs w:val="21"/>
          <w:highlight w:val="none"/>
        </w:rPr>
        <w:t xml:space="preserve"> (e)现场存在混凝土构件模板支撑高度超过8m，或搭设跨度超过18m的高大模板支撑系统（支架），且支撑系统（支架）方案经相关单位审批及专家论证。</w:t>
      </w:r>
    </w:p>
    <w:p>
      <w:pPr>
        <w:spacing w:line="360" w:lineRule="auto"/>
        <w:ind w:firstLine="400" w:firstLineChars="200"/>
        <w:rPr>
          <w:rFonts w:hint="eastAsia" w:ascii="宋体" w:hAnsi="宋体" w:cs="宋体"/>
          <w:color w:val="auto"/>
          <w:szCs w:val="21"/>
          <w:highlight w:val="none"/>
        </w:rPr>
      </w:pPr>
      <w:r>
        <w:rPr>
          <w:rFonts w:ascii="宋体" w:hAnsi="宋体"/>
          <w:bCs/>
          <w:color w:val="auto"/>
          <w:sz w:val="20"/>
          <w:szCs w:val="20"/>
          <w:highlight w:val="none"/>
        </w:rPr>
        <w:object>
          <v:shape id="_x0000_i1140" o:spt="201" type="#_x0000_t201" style="height:18pt;width:12.6pt;" o:ole="t" filled="f" o:preferrelative="t" stroked="f" coordsize="21600,21600">
            <v:path/>
            <v:fill on="f" focussize="0,0"/>
            <v:stroke on="f"/>
            <v:imagedata r:id="rId164" o:title=""/>
            <o:lock v:ext="edit" aspectratio="t"/>
            <w10:wrap type="none"/>
            <w10:anchorlock/>
          </v:shape>
          <w:control r:id="rId163" w:name="CheckBox1332" w:shapeid="_x0000_i1140"/>
        </w:object>
      </w:r>
      <w:r>
        <w:rPr>
          <w:rFonts w:hint="eastAsia" w:hAnsi="宋体"/>
          <w:color w:val="auto"/>
          <w:sz w:val="23"/>
          <w:szCs w:val="23"/>
          <w:highlight w:val="none"/>
        </w:rPr>
        <w:t>（</w:t>
      </w:r>
      <w:r>
        <w:rPr>
          <w:rFonts w:hAnsi="宋体"/>
          <w:color w:val="auto"/>
          <w:sz w:val="23"/>
          <w:szCs w:val="23"/>
          <w:highlight w:val="none"/>
        </w:rPr>
        <w:t>f</w:t>
      </w:r>
      <w:r>
        <w:rPr>
          <w:rFonts w:hint="eastAsia" w:hAnsi="宋体"/>
          <w:color w:val="auto"/>
          <w:sz w:val="23"/>
          <w:szCs w:val="23"/>
          <w:highlight w:val="none"/>
        </w:rPr>
        <w:t>）其他：</w:t>
      </w:r>
      <w:r>
        <w:rPr>
          <w:rFonts w:hAnsi="宋体"/>
          <w:color w:val="auto"/>
          <w:sz w:val="23"/>
          <w:szCs w:val="23"/>
          <w:highlight w:val="none"/>
          <w:u w:val="single"/>
        </w:rPr>
        <w:t xml:space="preserve">                                     </w:t>
      </w:r>
      <w:r>
        <w:rPr>
          <w:rFonts w:hint="eastAsia" w:hAnsi="宋体"/>
          <w:color w:val="auto"/>
          <w:sz w:val="23"/>
          <w:szCs w:val="23"/>
          <w:highlight w:val="none"/>
          <w:u w:val="single"/>
        </w:rPr>
        <w:t>。</w:t>
      </w:r>
    </w:p>
    <w:bookmarkEnd w:id="6947"/>
    <w:bookmarkEnd w:id="6948"/>
    <w:bookmarkEnd w:id="6949"/>
    <w:bookmarkEnd w:id="6950"/>
    <w:bookmarkEnd w:id="6951"/>
    <w:bookmarkEnd w:id="6952"/>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7113" w:name="_Toc296891245"/>
      <w:bookmarkStart w:id="7114" w:name="_Toc297120505"/>
      <w:bookmarkStart w:id="7115" w:name="_Toc292559410"/>
      <w:bookmarkStart w:id="7116" w:name="_Toc296347204"/>
      <w:bookmarkStart w:id="7117" w:name="_Toc297048391"/>
      <w:bookmarkStart w:id="7118" w:name="_Toc296944544"/>
      <w:bookmarkStart w:id="7119" w:name="_Toc296503205"/>
      <w:bookmarkStart w:id="7120" w:name="_Toc296891033"/>
      <w:bookmarkStart w:id="7121" w:name="_Toc292559915"/>
      <w:bookmarkStart w:id="7122" w:name="_Toc296346706"/>
      <w:bookmarkStart w:id="7123" w:name="_Toc31593"/>
      <w:bookmarkStart w:id="7124" w:name="_Toc9698"/>
      <w:bookmarkStart w:id="7125" w:name="_Toc31928"/>
      <w:bookmarkStart w:id="7126" w:name="_Toc517529767"/>
      <w:bookmarkStart w:id="7127" w:name="_Toc15235"/>
      <w:bookmarkStart w:id="7128" w:name="_Toc465237158"/>
      <w:bookmarkStart w:id="7129" w:name="_Toc517528807"/>
      <w:bookmarkStart w:id="7130" w:name="_Toc20571"/>
      <w:bookmarkStart w:id="7131" w:name="_Toc8487"/>
      <w:bookmarkStart w:id="7132" w:name="_Toc517532319"/>
      <w:bookmarkStart w:id="7133" w:name="_Toc465237260"/>
      <w:bookmarkStart w:id="7134" w:name="_Toc351203644"/>
      <w:bookmarkStart w:id="7135" w:name="_Toc12092"/>
      <w:bookmarkStart w:id="7136" w:name="_Toc12287"/>
      <w:bookmarkStart w:id="7137" w:name="_Toc12593"/>
      <w:bookmarkStart w:id="7138" w:name="_Toc7423"/>
      <w:bookmarkStart w:id="7139" w:name="_Toc29421"/>
      <w:bookmarkStart w:id="7140" w:name="_Toc517531043"/>
      <w:bookmarkStart w:id="7141" w:name="_Toc13911"/>
      <w:bookmarkStart w:id="7142" w:name="_Toc21866"/>
      <w:bookmarkStart w:id="7143" w:name="_Toc16986"/>
      <w:bookmarkStart w:id="7144" w:name="_Toc22694"/>
      <w:bookmarkStart w:id="7145" w:name="_Toc11376"/>
      <w:bookmarkStart w:id="7146" w:name="_Toc26582"/>
      <w:bookmarkStart w:id="7147" w:name="_Toc13217"/>
      <w:bookmarkStart w:id="7148" w:name="_Toc304295579"/>
      <w:bookmarkStart w:id="7149" w:name="_Toc297123552"/>
      <w:bookmarkStart w:id="7150" w:name="_Toc300935002"/>
      <w:bookmarkStart w:id="7151" w:name="_Toc297216211"/>
      <w:bookmarkStart w:id="7152" w:name="_Toc312678040"/>
      <w:bookmarkStart w:id="7153" w:name="_Toc303539159"/>
      <w:r>
        <w:rPr>
          <w:rFonts w:hint="eastAsia" w:ascii="宋体" w:hAnsi="宋体" w:cs="宋体"/>
          <w:b/>
          <w:bCs/>
          <w:color w:val="auto"/>
          <w:sz w:val="30"/>
          <w:szCs w:val="30"/>
          <w:highlight w:val="none"/>
        </w:rPr>
        <w:t xml:space="preserve">12. </w:t>
      </w:r>
      <w:bookmarkEnd w:id="7113"/>
      <w:bookmarkEnd w:id="7114"/>
      <w:bookmarkEnd w:id="7115"/>
      <w:bookmarkEnd w:id="7116"/>
      <w:bookmarkEnd w:id="7117"/>
      <w:bookmarkEnd w:id="7118"/>
      <w:bookmarkEnd w:id="7119"/>
      <w:bookmarkEnd w:id="7120"/>
      <w:bookmarkEnd w:id="7121"/>
      <w:bookmarkEnd w:id="7122"/>
      <w:r>
        <w:rPr>
          <w:rFonts w:hint="eastAsia" w:ascii="宋体" w:hAnsi="宋体" w:cs="宋体"/>
          <w:b/>
          <w:bCs/>
          <w:color w:val="auto"/>
          <w:sz w:val="30"/>
          <w:szCs w:val="30"/>
          <w:highlight w:val="none"/>
        </w:rPr>
        <w:t>合同价格、计量与支付</w:t>
      </w:r>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p>
    <w:bookmarkEnd w:id="7148"/>
    <w:bookmarkEnd w:id="7149"/>
    <w:bookmarkEnd w:id="7150"/>
    <w:bookmarkEnd w:id="7151"/>
    <w:bookmarkEnd w:id="7152"/>
    <w:bookmarkEnd w:id="7153"/>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7154" w:name="_Toc3553"/>
      <w:bookmarkStart w:id="7155" w:name="_Toc517531044"/>
      <w:bookmarkStart w:id="7156" w:name="_Toc517532320"/>
      <w:bookmarkStart w:id="7157" w:name="_Toc20021"/>
      <w:bookmarkStart w:id="7158" w:name="_Toc31906"/>
      <w:bookmarkStart w:id="7159" w:name="_Toc517528808"/>
      <w:bookmarkStart w:id="7160" w:name="_Toc24269"/>
      <w:bookmarkStart w:id="7161" w:name="_Toc10357"/>
      <w:bookmarkStart w:id="7162" w:name="_Toc32654"/>
      <w:bookmarkStart w:id="7163" w:name="_Toc982"/>
      <w:bookmarkStart w:id="7164" w:name="_Toc20747"/>
      <w:bookmarkStart w:id="7165" w:name="_Toc12816"/>
      <w:bookmarkStart w:id="7166" w:name="_Toc16717"/>
      <w:bookmarkStart w:id="7167" w:name="_Toc8266"/>
      <w:bookmarkStart w:id="7168" w:name="_Toc8097"/>
      <w:bookmarkStart w:id="7169" w:name="_Toc32724"/>
      <w:bookmarkStart w:id="7170" w:name="_Toc19878"/>
      <w:bookmarkStart w:id="7171" w:name="_Toc18965"/>
      <w:bookmarkStart w:id="7172" w:name="_Toc465237262"/>
      <w:bookmarkStart w:id="7173" w:name="_Toc28936"/>
      <w:bookmarkStart w:id="7174" w:name="_Toc23365"/>
      <w:bookmarkStart w:id="7175" w:name="_Toc25086"/>
      <w:bookmarkStart w:id="7176" w:name="_Toc465237160"/>
      <w:r>
        <w:rPr>
          <w:rFonts w:hint="eastAsia" w:ascii="宋体" w:hAnsi="宋体" w:cs="宋体"/>
          <w:b/>
          <w:bCs/>
          <w:color w:val="auto"/>
          <w:sz w:val="28"/>
          <w:szCs w:val="28"/>
          <w:highlight w:val="none"/>
        </w:rPr>
        <w:t>12.1 合同价格和费用</w:t>
      </w:r>
      <w:bookmarkEnd w:id="7154"/>
      <w:bookmarkEnd w:id="7155"/>
      <w:bookmarkEnd w:id="7156"/>
      <w:bookmarkEnd w:id="7157"/>
      <w:bookmarkEnd w:id="7158"/>
      <w:bookmarkEnd w:id="7159"/>
      <w:bookmarkEnd w:id="7160"/>
      <w:bookmarkEnd w:id="7161"/>
      <w:bookmarkEnd w:id="7162"/>
      <w:bookmarkEnd w:id="7163"/>
    </w:p>
    <w:p>
      <w:pPr>
        <w:keepNext/>
        <w:keepLines/>
        <w:spacing w:before="156" w:beforeLines="50" w:after="156" w:afterLines="50" w:line="360" w:lineRule="auto"/>
        <w:ind w:left="634" w:leftChars="302"/>
        <w:outlineLvl w:val="3"/>
        <w:rPr>
          <w:rFonts w:hint="eastAsia" w:ascii="宋体" w:hAnsi="宋体" w:cs="宋体"/>
          <w:b/>
          <w:bCs/>
          <w:color w:val="auto"/>
          <w:sz w:val="24"/>
          <w:szCs w:val="24"/>
          <w:highlight w:val="none"/>
        </w:rPr>
      </w:pPr>
      <w:bookmarkStart w:id="7177" w:name="_Toc21688"/>
      <w:bookmarkStart w:id="7178" w:name="_Toc14223"/>
      <w:bookmarkStart w:id="7179" w:name="_Toc17261"/>
      <w:bookmarkStart w:id="7180" w:name="_Toc517531045"/>
      <w:bookmarkStart w:id="7181" w:name="_Toc7303"/>
      <w:bookmarkStart w:id="7182" w:name="_Toc31820"/>
      <w:bookmarkStart w:id="7183" w:name="_Toc517532321"/>
      <w:bookmarkStart w:id="7184" w:name="_Toc30162"/>
      <w:bookmarkStart w:id="7185" w:name="_Toc10742"/>
      <w:r>
        <w:rPr>
          <w:rFonts w:hint="eastAsia" w:ascii="宋体" w:hAnsi="宋体" w:cs="宋体"/>
          <w:b/>
          <w:bCs/>
          <w:color w:val="auto"/>
          <w:sz w:val="24"/>
          <w:szCs w:val="24"/>
          <w:highlight w:val="none"/>
        </w:rPr>
        <w:t>12.1.4材料设备暂估价的最后确定</w:t>
      </w:r>
      <w:bookmarkEnd w:id="7177"/>
      <w:bookmarkEnd w:id="7178"/>
      <w:bookmarkEnd w:id="7179"/>
      <w:bookmarkEnd w:id="7180"/>
      <w:bookmarkEnd w:id="7181"/>
      <w:bookmarkEnd w:id="7182"/>
      <w:bookmarkEnd w:id="7183"/>
      <w:bookmarkEnd w:id="7184"/>
      <w:bookmarkEnd w:id="7185"/>
    </w:p>
    <w:p>
      <w:pPr>
        <w:spacing w:line="360" w:lineRule="auto"/>
        <w:ind w:firstLine="428" w:firstLineChars="200"/>
        <w:rPr>
          <w:rFonts w:hint="eastAsia" w:ascii="宋体" w:hAnsi="宋体" w:cs="宋体"/>
          <w:color w:val="auto"/>
          <w:spacing w:val="2"/>
          <w:szCs w:val="21"/>
          <w:highlight w:val="none"/>
        </w:rPr>
      </w:pPr>
      <w:r>
        <w:rPr>
          <w:rFonts w:hint="eastAsia" w:ascii="宋体" w:hAnsi="宋体" w:cs="宋体"/>
          <w:color w:val="auto"/>
          <w:spacing w:val="2"/>
          <w:szCs w:val="21"/>
          <w:highlight w:val="none"/>
        </w:rPr>
        <w:t>深圳市相关主管部门的规定有：</w:t>
      </w:r>
    </w:p>
    <w:p>
      <w:pPr>
        <w:spacing w:line="360" w:lineRule="auto"/>
        <w:ind w:firstLine="856" w:firstLineChars="400"/>
        <w:rPr>
          <w:rFonts w:hint="eastAsia" w:ascii="宋体" w:hAnsi="宋体" w:cs="宋体"/>
          <w:color w:val="auto"/>
          <w:spacing w:val="2"/>
          <w:szCs w:val="21"/>
          <w:highlight w:val="none"/>
        </w:rPr>
      </w:pPr>
      <w:r>
        <w:rPr>
          <w:rFonts w:hint="eastAsia" w:ascii="宋体" w:hAnsi="宋体" w:cs="宋体"/>
          <w:color w:val="auto"/>
          <w:spacing w:val="2"/>
          <w:szCs w:val="21"/>
          <w:highlight w:val="none"/>
        </w:rPr>
        <w:t>《深圳市建设工程造价管理规定》</w:t>
      </w:r>
    </w:p>
    <w:p>
      <w:pPr>
        <w:spacing w:line="360" w:lineRule="auto"/>
        <w:ind w:firstLine="856" w:firstLineChars="400"/>
        <w:rPr>
          <w:rFonts w:hint="eastAsia" w:ascii="宋体" w:hAnsi="宋体" w:cs="宋体"/>
          <w:color w:val="auto"/>
          <w:spacing w:val="2"/>
          <w:szCs w:val="21"/>
          <w:highlight w:val="none"/>
        </w:rPr>
      </w:pPr>
      <w:r>
        <w:rPr>
          <w:rFonts w:hint="eastAsia" w:ascii="宋体" w:hAnsi="宋体" w:cs="宋体"/>
          <w:color w:val="auto"/>
          <w:spacing w:val="2"/>
          <w:szCs w:val="21"/>
          <w:highlight w:val="none"/>
        </w:rPr>
        <w:t>《深圳市建设工程材料设备询价采购办法》</w:t>
      </w:r>
    </w:p>
    <w:p>
      <w:pPr>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 xml:space="preserve">       </w:t>
      </w:r>
      <w:r>
        <w:rPr>
          <w:rFonts w:hint="eastAsia" w:ascii="宋体" w:hAnsi="宋体" w:cs="宋体"/>
          <w:color w:val="auto"/>
          <w:spacing w:val="2"/>
          <w:szCs w:val="21"/>
          <w:highlight w:val="none"/>
          <w:u w:val="single"/>
        </w:rPr>
        <w:t xml:space="preserve">                                              </w:t>
      </w:r>
    </w:p>
    <w:p>
      <w:pPr>
        <w:spacing w:line="360" w:lineRule="auto"/>
        <w:rPr>
          <w:rFonts w:hint="eastAsia" w:ascii="宋体" w:hAnsi="宋体" w:cs="宋体"/>
          <w:color w:val="auto"/>
          <w:spacing w:val="2"/>
          <w:szCs w:val="21"/>
          <w:highlight w:val="none"/>
        </w:rPr>
      </w:pPr>
      <w:r>
        <w:rPr>
          <w:rFonts w:hint="eastAsia" w:ascii="宋体" w:hAnsi="宋体" w:cs="宋体"/>
          <w:color w:val="auto"/>
          <w:spacing w:val="2"/>
          <w:szCs w:val="21"/>
          <w:highlight w:val="none"/>
        </w:rPr>
        <w:t xml:space="preserve">       </w:t>
      </w:r>
      <w:r>
        <w:rPr>
          <w:rFonts w:hint="eastAsia" w:ascii="宋体" w:hAnsi="宋体" w:cs="宋体"/>
          <w:color w:val="auto"/>
          <w:spacing w:val="2"/>
          <w:szCs w:val="21"/>
          <w:highlight w:val="none"/>
          <w:u w:val="single"/>
        </w:rPr>
        <w:t xml:space="preserve">                                              </w:t>
      </w:r>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7186" w:name="_Toc29523"/>
      <w:bookmarkStart w:id="7187" w:name="_Toc4615"/>
      <w:bookmarkStart w:id="7188" w:name="_Toc517532322"/>
      <w:bookmarkStart w:id="7189" w:name="_Toc8717"/>
      <w:bookmarkStart w:id="7190" w:name="_Toc517528809"/>
      <w:bookmarkStart w:id="7191" w:name="_Toc517531046"/>
      <w:bookmarkStart w:id="7192" w:name="_Toc14170"/>
      <w:bookmarkStart w:id="7193" w:name="_Toc31114"/>
      <w:bookmarkStart w:id="7194" w:name="_Toc28149"/>
      <w:bookmarkStart w:id="7195" w:name="_Toc2469"/>
      <w:r>
        <w:rPr>
          <w:rFonts w:hint="eastAsia" w:ascii="宋体" w:hAnsi="宋体" w:cs="宋体"/>
          <w:b/>
          <w:bCs/>
          <w:color w:val="auto"/>
          <w:sz w:val="28"/>
          <w:szCs w:val="28"/>
          <w:highlight w:val="none"/>
        </w:rPr>
        <w:t>12.3 工程款支付</w:t>
      </w:r>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86"/>
      <w:bookmarkEnd w:id="7187"/>
      <w:bookmarkEnd w:id="7188"/>
      <w:bookmarkEnd w:id="7189"/>
      <w:bookmarkEnd w:id="7190"/>
      <w:bookmarkEnd w:id="7191"/>
      <w:bookmarkEnd w:id="7192"/>
      <w:bookmarkEnd w:id="7193"/>
      <w:bookmarkEnd w:id="7194"/>
      <w:bookmarkEnd w:id="7195"/>
    </w:p>
    <w:p>
      <w:pPr>
        <w:keepNext/>
        <w:keepLines/>
        <w:spacing w:before="156" w:beforeLines="50" w:after="156" w:afterLines="50" w:line="360" w:lineRule="auto"/>
        <w:ind w:firstLine="400" w:firstLineChars="200"/>
        <w:outlineLvl w:val="3"/>
        <w:rPr>
          <w:rFonts w:hint="eastAsia" w:ascii="宋体" w:hAnsi="宋体" w:cs="宋体"/>
          <w:b/>
          <w:bCs/>
          <w:color w:val="auto"/>
          <w:sz w:val="24"/>
          <w:szCs w:val="24"/>
          <w:highlight w:val="none"/>
        </w:rPr>
      </w:pPr>
      <w:bookmarkStart w:id="7196" w:name="_Toc29015"/>
      <w:bookmarkStart w:id="7197" w:name="_Toc517532323"/>
      <w:bookmarkStart w:id="7198" w:name="_Toc7056"/>
      <w:bookmarkStart w:id="7199" w:name="_Toc23639"/>
      <w:bookmarkStart w:id="7200" w:name="_Toc17794"/>
      <w:bookmarkStart w:id="7201" w:name="_Toc26693"/>
      <w:bookmarkStart w:id="7202" w:name="_Toc24482"/>
      <w:bookmarkStart w:id="7203" w:name="_Toc9558"/>
      <w:bookmarkStart w:id="7204" w:name="_Toc21554"/>
      <w:bookmarkStart w:id="7205" w:name="_Toc2292"/>
      <w:bookmarkStart w:id="7206" w:name="_Toc18244"/>
      <w:bookmarkStart w:id="7207" w:name="_Toc3970"/>
      <w:bookmarkStart w:id="7208" w:name="_Toc6264"/>
      <w:bookmarkStart w:id="7209" w:name="_Toc11059"/>
      <w:bookmarkStart w:id="7210" w:name="_Toc23529"/>
      <w:bookmarkStart w:id="7211" w:name="_Toc29780"/>
      <w:bookmarkStart w:id="7212" w:name="_Toc7605"/>
      <w:bookmarkStart w:id="7213" w:name="_Toc11577"/>
      <w:bookmarkStart w:id="7214" w:name="_Toc6767"/>
      <w:bookmarkStart w:id="7215" w:name="_Toc517531047"/>
      <w:r>
        <w:rPr>
          <w:rFonts w:ascii="宋体" w:hAnsi="宋体"/>
          <w:bCs/>
          <w:color w:val="auto"/>
          <w:sz w:val="20"/>
          <w:szCs w:val="20"/>
          <w:highlight w:val="none"/>
        </w:rPr>
        <w:object>
          <v:shape id="_x0000_i1141" o:spt="201" type="#_x0000_t201" style="height:18pt;width:12.6pt;" o:ole="t" filled="f" o:preferrelative="t" stroked="f" coordsize="21600,21600">
            <v:path/>
            <v:fill on="f" focussize="0,0"/>
            <v:stroke on="f"/>
            <v:imagedata r:id="rId147" o:title=""/>
            <o:lock v:ext="edit" aspectratio="t"/>
            <w10:wrap type="none"/>
            <w10:anchorlock/>
          </v:shape>
          <w:control r:id="rId165" w:name="CheckBox1326" w:shapeid="_x0000_i1141"/>
        </w:object>
      </w:r>
      <w:r>
        <w:rPr>
          <w:rFonts w:hint="eastAsia" w:ascii="宋体" w:hAnsi="宋体" w:cs="宋体"/>
          <w:b/>
          <w:bCs/>
          <w:color w:val="auto"/>
          <w:sz w:val="24"/>
          <w:szCs w:val="24"/>
          <w:highlight w:val="none"/>
        </w:rPr>
        <w:t>12.3.10 供应商货款支付</w:t>
      </w:r>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p>
    <w:p>
      <w:pPr>
        <w:adjustRightInd w:val="0"/>
        <w:snapToGrid w:val="0"/>
        <w:spacing w:line="360" w:lineRule="auto"/>
        <w:ind w:firstLine="428" w:firstLineChars="200"/>
        <w:jc w:val="left"/>
        <w:rPr>
          <w:rFonts w:hint="eastAsia" w:ascii="宋体" w:hAnsi="宋体" w:cs="宋体"/>
          <w:color w:val="auto"/>
          <w:spacing w:val="2"/>
          <w:szCs w:val="21"/>
          <w:highlight w:val="none"/>
        </w:rPr>
      </w:pPr>
      <w:r>
        <w:rPr>
          <w:rFonts w:hint="eastAsia" w:ascii="宋体" w:hAnsi="宋体" w:cs="宋体"/>
          <w:color w:val="auto"/>
          <w:spacing w:val="2"/>
          <w:szCs w:val="21"/>
          <w:highlight w:val="none"/>
        </w:rPr>
        <w:t>承包人不得拖欠材料设备供应商的货款。承包人收到含有材料设备款的工程进度款后，未按其与材料设备供应商签订合同约定的期限支付应付货款的，发包人有权暂停支付承包人应收款项，直至承包人纠正为止；同时发包人有权代替承包人直接支付其应付货款，承包人不得对此提出异议。此外，发包人可根据承包人拖欠货款的情节轻重，在履约评价中予以记录，或直接记录承包人的不良行为记录，情节特别严重的发包人可拒绝承包人在一段时间内的投标。</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7216" w:name="_Toc517531048"/>
      <w:bookmarkStart w:id="7217" w:name="_Toc22388"/>
      <w:bookmarkStart w:id="7218" w:name="_Toc23581"/>
      <w:bookmarkStart w:id="7219" w:name="_Toc3763"/>
      <w:bookmarkStart w:id="7220" w:name="_Toc20250"/>
      <w:bookmarkStart w:id="7221" w:name="_Toc517532324"/>
      <w:bookmarkStart w:id="7222" w:name="_Toc16024"/>
      <w:bookmarkStart w:id="7223" w:name="_Toc26332"/>
      <w:bookmarkStart w:id="7224" w:name="_Toc1714"/>
      <w:bookmarkStart w:id="7225" w:name="_Toc18872"/>
      <w:bookmarkStart w:id="7226" w:name="_Toc12808"/>
      <w:bookmarkStart w:id="7227" w:name="_Toc6028"/>
      <w:bookmarkStart w:id="7228" w:name="_Toc25647"/>
      <w:bookmarkStart w:id="7229" w:name="_Toc517529768"/>
      <w:bookmarkStart w:id="7230" w:name="_Toc23641"/>
      <w:bookmarkStart w:id="7231" w:name="_Toc24353"/>
      <w:bookmarkStart w:id="7232" w:name="_Toc26512"/>
      <w:bookmarkStart w:id="7233" w:name="_Toc517528810"/>
      <w:bookmarkStart w:id="7234" w:name="_Toc13925"/>
      <w:r>
        <w:rPr>
          <w:rFonts w:hint="eastAsia" w:ascii="宋体" w:hAnsi="宋体" w:cs="宋体"/>
          <w:b/>
          <w:bCs/>
          <w:color w:val="auto"/>
          <w:sz w:val="30"/>
          <w:szCs w:val="30"/>
          <w:highlight w:val="none"/>
        </w:rPr>
        <w:t>13.竣工验收</w:t>
      </w:r>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p>
    <w:p>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特别约定：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7235" w:name="_Toc10034"/>
      <w:bookmarkStart w:id="7236" w:name="_Toc1159"/>
      <w:bookmarkStart w:id="7237" w:name="_Toc1328"/>
      <w:bookmarkStart w:id="7238" w:name="_Toc12224"/>
      <w:bookmarkStart w:id="7239" w:name="_Toc26619"/>
      <w:bookmarkStart w:id="7240" w:name="_Toc23879"/>
      <w:bookmarkStart w:id="7241" w:name="_Toc3425"/>
      <w:bookmarkStart w:id="7242" w:name="_Toc10069"/>
      <w:bookmarkStart w:id="7243" w:name="_Toc4221"/>
      <w:bookmarkStart w:id="7244" w:name="_Toc517528811"/>
      <w:bookmarkStart w:id="7245" w:name="_Toc517531049"/>
      <w:bookmarkStart w:id="7246" w:name="_Toc4787"/>
      <w:bookmarkStart w:id="7247" w:name="_Toc17596"/>
      <w:bookmarkStart w:id="7248" w:name="_Toc17630"/>
      <w:bookmarkStart w:id="7249" w:name="_Toc23135"/>
      <w:bookmarkStart w:id="7250" w:name="_Toc517532325"/>
      <w:bookmarkStart w:id="7251" w:name="_Toc517529769"/>
      <w:bookmarkStart w:id="7252" w:name="_Toc29540"/>
      <w:bookmarkStart w:id="7253" w:name="_Toc21665"/>
      <w:r>
        <w:rPr>
          <w:rFonts w:hint="eastAsia" w:ascii="宋体" w:hAnsi="宋体" w:cs="宋体"/>
          <w:b/>
          <w:bCs/>
          <w:color w:val="auto"/>
          <w:sz w:val="30"/>
          <w:szCs w:val="30"/>
          <w:highlight w:val="none"/>
        </w:rPr>
        <w:t>14.竣工结算</w:t>
      </w:r>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7254" w:name="_Toc28708"/>
      <w:bookmarkStart w:id="7255" w:name="_Toc2131"/>
      <w:bookmarkStart w:id="7256" w:name="_Toc29160"/>
      <w:bookmarkStart w:id="7257" w:name="_Toc8101"/>
      <w:bookmarkStart w:id="7258" w:name="_Toc31235"/>
      <w:bookmarkStart w:id="7259" w:name="_Toc30123"/>
      <w:bookmarkStart w:id="7260" w:name="_Toc517532326"/>
      <w:bookmarkStart w:id="7261" w:name="_Toc11994"/>
      <w:bookmarkStart w:id="7262" w:name="_Toc15799"/>
      <w:bookmarkStart w:id="7263" w:name="_Toc7699"/>
      <w:bookmarkStart w:id="7264" w:name="_Toc13579"/>
      <w:bookmarkStart w:id="7265" w:name="_Toc517528812"/>
      <w:bookmarkStart w:id="7266" w:name="_Toc16279"/>
      <w:bookmarkStart w:id="7267" w:name="_Toc24452"/>
      <w:bookmarkStart w:id="7268" w:name="_Toc9194"/>
      <w:bookmarkStart w:id="7269" w:name="_Toc16354"/>
      <w:bookmarkStart w:id="7270" w:name="_Toc27951"/>
      <w:bookmarkStart w:id="7271" w:name="_Toc30352"/>
      <w:bookmarkStart w:id="7272" w:name="_Toc517531050"/>
      <w:bookmarkStart w:id="7273" w:name="_Toc517529770"/>
      <w:r>
        <w:rPr>
          <w:rFonts w:hint="eastAsia" w:ascii="宋体" w:hAnsi="宋体" w:cs="宋体"/>
          <w:b/>
          <w:bCs/>
          <w:color w:val="auto"/>
          <w:sz w:val="30"/>
          <w:szCs w:val="30"/>
          <w:highlight w:val="none"/>
        </w:rPr>
        <w:t>15. 缺陷责任与保修</w:t>
      </w:r>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p>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7274" w:name="_Toc22725"/>
      <w:bookmarkStart w:id="7275" w:name="_Toc13516"/>
      <w:bookmarkStart w:id="7276" w:name="_Toc20721"/>
      <w:bookmarkStart w:id="7277" w:name="_Toc6023"/>
      <w:bookmarkStart w:id="7278" w:name="_Toc13955"/>
      <w:bookmarkStart w:id="7279" w:name="_Toc30343"/>
      <w:bookmarkStart w:id="7280" w:name="_Toc15792"/>
      <w:bookmarkStart w:id="7281" w:name="_Toc13813"/>
      <w:bookmarkStart w:id="7282" w:name="_Toc17360"/>
      <w:bookmarkStart w:id="7283" w:name="_Toc517528813"/>
      <w:bookmarkStart w:id="7284" w:name="_Toc17626"/>
      <w:bookmarkStart w:id="7285" w:name="_Toc10593"/>
      <w:bookmarkStart w:id="7286" w:name="_Toc17142"/>
      <w:bookmarkStart w:id="7287" w:name="_Toc517531051"/>
      <w:bookmarkStart w:id="7288" w:name="_Toc27346"/>
      <w:bookmarkStart w:id="7289" w:name="_Toc4132"/>
      <w:bookmarkStart w:id="7290" w:name="_Toc23405"/>
      <w:bookmarkStart w:id="7291" w:name="_Toc517532327"/>
      <w:bookmarkStart w:id="7292" w:name="_Toc24105"/>
      <w:r>
        <w:rPr>
          <w:rFonts w:hint="eastAsia" w:ascii="宋体" w:hAnsi="宋体" w:cs="宋体"/>
          <w:b/>
          <w:bCs/>
          <w:color w:val="auto"/>
          <w:sz w:val="28"/>
          <w:szCs w:val="28"/>
          <w:highlight w:val="none"/>
        </w:rPr>
        <w:t>15.3缺陷修复的费用</w:t>
      </w:r>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p>
    <w:p>
      <w:pPr>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（1）保修</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（a）承包人须与发包人签署《工程质量保修书》。承包人须编写《房屋建筑使用手册》，对使用单位（包括使用单位的物业管理人员，下同）进行培训，并做好培训记录。</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b）承包人应建立健全房屋建筑工程质量保修制度，明确保修责任人和联系人，制定质量保修方案，在竣工验收前报发包人和使用单位。保修责任人和联系人必须为承包人正式员工，提供承包人固定电话和责任人、联系人移动电话。变更责任人和联系人时，须经发包人批准，并及时书面告知使用单位。</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（c）在竣工移交后半年内，承包人应安排保修负责人常驻项目，及时处理发现的质量缺陷。主要质量缺陷处理完毕，经发包人和使用单位同意后，上述常驻人员方可撤离项目。</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（d）保修常驻人员撤离项目后，承包人必须在监理人组织下至少每季度进行一次质量回访工作。</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e）发现质量缺陷，承包人应自接到保修通知书后3日内达到现场核查情况、开展保修工作。一般问题5日内处理完毕，复杂问题根据实际情况提出保修方案和修复期限，报发包人、监理人和使用单位认可后实施。若此类缺陷或损害不能在现场迅速修复时，在发包人的同意下，承包人可将有缺陷或损害的永久设备移出现场进行修理。发包人可要求承包人以该部分的重置费用提供履约保证的款额或提供其他发包人接受的保证。质量保修完成后，由监理人组织验收。验收合格后承包人填写《质量缺陷处理备案表》一式四联，第一联交使用单位，第二联交监理人，第三联交发包人，第四联自行留底。</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（f）发生涉及结构安全或者严重影响使用功能的紧急抢修事故，承包人接到电话通知后，应当立即到达现场抢修。</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（g）承包人自接到保修通知书后5日内未达到现场或维修两次仍未解决问题的，可由发包人另行委托单位进行保修，费用从质量保证金中扣除。此种情况并不免除承包人的保修责任。</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（h）为了提高保修效率，经双方协商一致，承包人可以支付一定的费用，将常见、多发质量缺陷委托使用单位保修，双方签订协议，报发包人备案。</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（i）保修期内质量缺陷原则上由承包人负责修复，承包人不实施修复的，经发包人（招标委员会）批准，可以采用其他保修模式，但并不免除承包人的保修责任。其他保修模式按优先顺序排列如下：</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①承包人同使用单位签订委托保修合同后，委托使用单位自行组织实施保修，保修费用经双方协商后一次性支付给使用单位。委托保修合同须报发包人备案。</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②承包人同发包人的保修工程战略合作伙伴签订委托保修合同后，委托发包人的保修工程战略合作伙伴负责缺陷修复，费用按实报实销的原则从质量保证金中扣除。</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③承包人同发包人签订委托保修合同后，自愿放弃质量保证金，委托发包人的保修工程战略合作伙伴实施保修工作。</w:t>
      </w:r>
    </w:p>
    <w:p>
      <w:pPr>
        <w:adjustRightInd w:val="0"/>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（j）除(i)款规定的情形外，承包人不及时履行保修义务或履行保修义务不力的，给予警告；警告无效的，予以记录不良行为，列入发包人保修黑名单，黑名单内企业一律不得承接工务署新的建设项目。</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7293" w:name="_Toc4424"/>
      <w:bookmarkStart w:id="7294" w:name="_Toc32365"/>
      <w:bookmarkStart w:id="7295" w:name="_Toc28505"/>
      <w:bookmarkStart w:id="7296" w:name="_Toc23280"/>
      <w:bookmarkStart w:id="7297" w:name="_Toc517532328"/>
      <w:bookmarkStart w:id="7298" w:name="_Toc517528814"/>
      <w:bookmarkStart w:id="7299" w:name="_Toc32512"/>
      <w:bookmarkStart w:id="7300" w:name="_Toc11783"/>
      <w:bookmarkStart w:id="7301" w:name="_Toc29264"/>
      <w:bookmarkStart w:id="7302" w:name="_Toc24656"/>
      <w:bookmarkStart w:id="7303" w:name="_Toc517529771"/>
      <w:bookmarkStart w:id="7304" w:name="_Toc17572"/>
      <w:bookmarkStart w:id="7305" w:name="_Toc4255"/>
      <w:bookmarkStart w:id="7306" w:name="_Toc7733"/>
      <w:bookmarkStart w:id="7307" w:name="_Toc19835"/>
      <w:bookmarkStart w:id="7308" w:name="_Toc22975"/>
      <w:bookmarkStart w:id="7309" w:name="_Toc16676"/>
      <w:bookmarkStart w:id="7310" w:name="_Toc3032"/>
      <w:bookmarkStart w:id="7311" w:name="_Toc517531052"/>
      <w:r>
        <w:rPr>
          <w:rFonts w:hint="eastAsia" w:ascii="宋体" w:hAnsi="宋体" w:cs="宋体"/>
          <w:b/>
          <w:bCs/>
          <w:color w:val="auto"/>
          <w:sz w:val="30"/>
          <w:szCs w:val="30"/>
          <w:highlight w:val="none"/>
        </w:rPr>
        <w:t>16.违约</w:t>
      </w:r>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7312" w:name="_Toc517529772"/>
      <w:bookmarkStart w:id="7313" w:name="_Toc17679"/>
      <w:bookmarkStart w:id="7314" w:name="_Toc15409"/>
      <w:bookmarkStart w:id="7315" w:name="_Toc517528815"/>
      <w:bookmarkStart w:id="7316" w:name="_Toc23171"/>
      <w:bookmarkStart w:id="7317" w:name="_Toc17371"/>
      <w:bookmarkStart w:id="7318" w:name="_Toc12174"/>
      <w:bookmarkStart w:id="7319" w:name="_Toc19560"/>
      <w:bookmarkStart w:id="7320" w:name="_Toc17229"/>
      <w:bookmarkStart w:id="7321" w:name="_Toc6383"/>
      <w:bookmarkStart w:id="7322" w:name="_Toc23238"/>
      <w:bookmarkStart w:id="7323" w:name="_Toc12952"/>
      <w:bookmarkStart w:id="7324" w:name="_Toc517531053"/>
      <w:bookmarkStart w:id="7325" w:name="_Toc517532329"/>
      <w:bookmarkStart w:id="7326" w:name="_Toc16142"/>
      <w:bookmarkStart w:id="7327" w:name="_Toc27556"/>
      <w:bookmarkStart w:id="7328" w:name="_Toc27373"/>
      <w:bookmarkStart w:id="7329" w:name="_Toc2958"/>
      <w:bookmarkStart w:id="7330" w:name="_Toc27072"/>
      <w:r>
        <w:rPr>
          <w:rFonts w:hint="eastAsia" w:ascii="宋体" w:hAnsi="宋体" w:cs="宋体"/>
          <w:b/>
          <w:bCs/>
          <w:color w:val="auto"/>
          <w:sz w:val="30"/>
          <w:szCs w:val="30"/>
          <w:highlight w:val="none"/>
        </w:rPr>
        <w:t>17.特殊风险</w:t>
      </w:r>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bookmarkEnd w:id="6953"/>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7331" w:name="_Toc19855"/>
      <w:bookmarkStart w:id="7332" w:name="_Toc6576"/>
      <w:bookmarkStart w:id="7333" w:name="_Toc351203650"/>
      <w:bookmarkStart w:id="7334" w:name="_Toc465237263"/>
      <w:bookmarkStart w:id="7335" w:name="_Toc567"/>
      <w:bookmarkStart w:id="7336" w:name="_Toc23864"/>
      <w:bookmarkStart w:id="7337" w:name="_Toc16654"/>
      <w:bookmarkStart w:id="7338" w:name="_Toc22818"/>
      <w:bookmarkStart w:id="7339" w:name="_Toc15921"/>
      <w:bookmarkStart w:id="7340" w:name="_Toc18772"/>
      <w:bookmarkStart w:id="7341" w:name="_Toc25216"/>
      <w:bookmarkStart w:id="7342" w:name="_Toc465237161"/>
      <w:bookmarkStart w:id="7343" w:name="_Toc29631"/>
      <w:bookmarkStart w:id="7344" w:name="_Toc11992"/>
      <w:bookmarkStart w:id="7345" w:name="_Toc517529773"/>
      <w:bookmarkStart w:id="7346" w:name="_Toc5469"/>
      <w:bookmarkStart w:id="7347" w:name="_Toc2197"/>
      <w:bookmarkStart w:id="7348" w:name="_Toc31237"/>
      <w:bookmarkStart w:id="7349" w:name="_Toc20363"/>
      <w:bookmarkStart w:id="7350" w:name="_Toc29393"/>
      <w:bookmarkStart w:id="7351" w:name="_Toc517531054"/>
      <w:bookmarkStart w:id="7352" w:name="_Toc15541"/>
      <w:bookmarkStart w:id="7353" w:name="_Toc517532330"/>
      <w:bookmarkStart w:id="7354" w:name="_Toc517528816"/>
      <w:bookmarkStart w:id="7355" w:name="_Toc686"/>
      <w:bookmarkStart w:id="7356" w:name="_Toc280868718"/>
      <w:bookmarkStart w:id="7357" w:name="_Toc267251511"/>
      <w:bookmarkStart w:id="7358" w:name="_Toc267251514"/>
      <w:bookmarkStart w:id="7359" w:name="_Toc267251494"/>
      <w:bookmarkStart w:id="7360" w:name="_Toc267251496"/>
      <w:bookmarkStart w:id="7361" w:name="_Toc267251497"/>
      <w:bookmarkStart w:id="7362" w:name="_Toc267251506"/>
      <w:bookmarkStart w:id="7363" w:name="_Toc267251502"/>
      <w:bookmarkStart w:id="7364" w:name="_Toc267251498"/>
      <w:bookmarkStart w:id="7365" w:name="_Toc267251507"/>
      <w:bookmarkStart w:id="7366" w:name="_Toc267251504"/>
      <w:bookmarkStart w:id="7367" w:name="_Toc267251495"/>
      <w:bookmarkStart w:id="7368" w:name="_Toc267251508"/>
      <w:bookmarkStart w:id="7369" w:name="_Toc267251499"/>
      <w:bookmarkStart w:id="7370" w:name="_Toc267251493"/>
      <w:bookmarkStart w:id="7371" w:name="_Toc267251513"/>
      <w:bookmarkStart w:id="7372" w:name="_Toc267251491"/>
      <w:bookmarkStart w:id="7373" w:name="_Toc267251509"/>
      <w:bookmarkStart w:id="7374" w:name="_Toc267251503"/>
      <w:bookmarkStart w:id="7375" w:name="_Toc267251492"/>
      <w:bookmarkStart w:id="7376" w:name="_Toc267251510"/>
      <w:bookmarkStart w:id="7377" w:name="_Toc267251515"/>
      <w:bookmarkStart w:id="7378" w:name="_Toc267251501"/>
      <w:r>
        <w:rPr>
          <w:rFonts w:hint="eastAsia" w:ascii="宋体" w:hAnsi="宋体" w:cs="宋体"/>
          <w:b/>
          <w:bCs/>
          <w:color w:val="auto"/>
          <w:sz w:val="30"/>
          <w:szCs w:val="30"/>
          <w:highlight w:val="none"/>
        </w:rPr>
        <w:t>18. 保险</w:t>
      </w:r>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p>
    <w:bookmarkEnd w:id="7356"/>
    <w:p>
      <w:pPr>
        <w:keepNext/>
        <w:keepLines/>
        <w:spacing w:before="156" w:beforeLines="50" w:after="156" w:afterLines="50" w:line="360" w:lineRule="auto"/>
        <w:ind w:left="562"/>
        <w:outlineLvl w:val="2"/>
        <w:rPr>
          <w:rFonts w:hint="eastAsia" w:ascii="宋体" w:hAnsi="宋体" w:cs="宋体"/>
          <w:b/>
          <w:bCs/>
          <w:color w:val="auto"/>
          <w:sz w:val="28"/>
          <w:szCs w:val="28"/>
          <w:highlight w:val="none"/>
        </w:rPr>
      </w:pPr>
      <w:bookmarkStart w:id="7379" w:name="_Toc7124"/>
      <w:bookmarkStart w:id="7380" w:name="_Toc4309"/>
      <w:bookmarkStart w:id="7381" w:name="_Toc21941"/>
      <w:bookmarkStart w:id="7382" w:name="_Toc32456"/>
      <w:bookmarkStart w:id="7383" w:name="_Toc21880"/>
      <w:bookmarkStart w:id="7384" w:name="_Toc13767"/>
      <w:bookmarkStart w:id="7385" w:name="_Toc4262"/>
      <w:bookmarkStart w:id="7386" w:name="_Toc18633"/>
      <w:bookmarkStart w:id="7387" w:name="_Toc4523"/>
      <w:bookmarkStart w:id="7388" w:name="_Toc29058"/>
      <w:bookmarkStart w:id="7389" w:name="_Toc27104"/>
      <w:bookmarkStart w:id="7390" w:name="_Toc517528817"/>
      <w:bookmarkStart w:id="7391" w:name="_Toc13664"/>
      <w:bookmarkStart w:id="7392" w:name="_Toc517532331"/>
      <w:bookmarkStart w:id="7393" w:name="_Toc28803"/>
      <w:bookmarkStart w:id="7394" w:name="_Toc20036"/>
      <w:bookmarkStart w:id="7395" w:name="_Toc20545"/>
      <w:bookmarkStart w:id="7396" w:name="_Toc13274"/>
      <w:bookmarkStart w:id="7397" w:name="_Toc517531055"/>
      <w:bookmarkStart w:id="7398" w:name="_Toc29039"/>
      <w:bookmarkStart w:id="7399" w:name="_Toc31262"/>
      <w:r>
        <w:rPr>
          <w:rFonts w:hint="eastAsia" w:ascii="宋体" w:hAnsi="宋体" w:cs="宋体"/>
          <w:b/>
          <w:bCs/>
          <w:color w:val="auto"/>
          <w:sz w:val="28"/>
          <w:szCs w:val="28"/>
          <w:highlight w:val="none"/>
        </w:rPr>
        <w:t>18.1</w:t>
      </w:r>
      <w:bookmarkEnd w:id="7379"/>
      <w:bookmarkEnd w:id="7380"/>
      <w:bookmarkEnd w:id="7381"/>
      <w:r>
        <w:rPr>
          <w:rFonts w:hint="eastAsia" w:ascii="宋体" w:hAnsi="宋体" w:cs="宋体"/>
          <w:b/>
          <w:bCs/>
          <w:color w:val="auto"/>
          <w:sz w:val="28"/>
          <w:szCs w:val="28"/>
          <w:highlight w:val="none"/>
        </w:rPr>
        <w:t>工程的保险</w:t>
      </w:r>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p>
    <w:p>
      <w:pPr>
        <w:spacing w:line="360" w:lineRule="auto"/>
        <w:ind w:left="420"/>
        <w:jc w:val="left"/>
        <w:rPr>
          <w:rFonts w:hint="eastAsia" w:ascii="宋体" w:hAnsi="宋体" w:cs="宋体"/>
          <w:color w:val="auto"/>
          <w:szCs w:val="21"/>
          <w:highlight w:val="none"/>
        </w:rPr>
      </w:pPr>
      <w:r>
        <w:rPr>
          <w:rFonts w:ascii="宋体" w:hAnsi="宋体"/>
          <w:bCs/>
          <w:color w:val="auto"/>
          <w:sz w:val="20"/>
          <w:szCs w:val="20"/>
          <w:highlight w:val="none"/>
        </w:rPr>
        <w:object>
          <v:shape id="_x0000_i1142" o:spt="201" type="#_x0000_t201" style="height:18pt;width:12.6pt;" o:ole="t" filled="f" o:preferrelative="t" stroked="f" coordsize="21600,21600">
            <v:path/>
            <v:fill on="f" focussize="0,0"/>
            <v:stroke on="f"/>
            <v:imagedata r:id="rId167" o:title=""/>
            <o:lock v:ext="edit" aspectratio="t"/>
            <w10:wrap type="none"/>
            <w10:anchorlock/>
          </v:shape>
          <w:control r:id="rId166" w:name="CheckBox1334" w:shapeid="_x0000_i1142"/>
        </w:object>
      </w:r>
      <w:r>
        <w:rPr>
          <w:rFonts w:hint="eastAsia" w:ascii="宋体" w:hAnsi="宋体" w:cs="宋体"/>
          <w:color w:val="auto"/>
          <w:szCs w:val="21"/>
          <w:highlight w:val="none"/>
        </w:rPr>
        <w:t>在第8.2.1条规定的承包人和发包人的义务和责任不受约束的条件下，承包人应以承包人和发包人的联名形式为本合同工程投保建筑工程一切险，其保险金额（保险限额）应为本合同工程的全部重置成本费用，以补偿由于补救损失或破坏而招致的费用，包括业务费和工程任何部分的拆迁费以及运走任何性质的渣土的费用。上述保险的责任范围应符合保险公司的有关规定。当工程发生第8.2条所述损失或损害时，承包人应在风险发生后及时向发包人提供损失情况和估价报告，并抄送监理人；如损害继续发生，承包人在递交第一次报告后每</w:t>
      </w:r>
      <w:r>
        <w:rPr>
          <w:rFonts w:hint="eastAsia" w:ascii="宋体" w:hAnsi="宋体" w:cs="宋体"/>
          <w:color w:val="auto"/>
          <w:szCs w:val="21"/>
          <w:highlight w:val="none"/>
          <w:u w:val="single"/>
        </w:rPr>
        <w:t>7</w:t>
      </w:r>
      <w:r>
        <w:rPr>
          <w:rFonts w:hint="eastAsia" w:ascii="宋体" w:hAnsi="宋体" w:cs="宋体"/>
          <w:color w:val="auto"/>
          <w:szCs w:val="21"/>
          <w:highlight w:val="none"/>
        </w:rPr>
        <w:t>天报告一次，直到损害结束。对于涉及到承包人自身权利的损害，承包人应及时向保险公司报告和索赔，对于涉及发包人权利的损害，承包人也应按监理人指示，协助发包人做好向保险公司的报告和索赔工作。</w:t>
      </w:r>
    </w:p>
    <w:p>
      <w:pPr>
        <w:keepNext/>
        <w:keepLines/>
        <w:spacing w:before="156" w:beforeLines="50" w:after="156" w:afterLines="50" w:line="360" w:lineRule="auto"/>
        <w:ind w:left="420"/>
        <w:outlineLvl w:val="2"/>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18.3保险的凭证</w:t>
      </w:r>
    </w:p>
    <w:p>
      <w:pPr>
        <w:spacing w:line="360" w:lineRule="auto"/>
        <w:ind w:left="420"/>
        <w:jc w:val="left"/>
        <w:rPr>
          <w:rFonts w:hint="eastAsia" w:ascii="宋体" w:hAnsi="宋体" w:cs="宋体"/>
          <w:color w:val="auto"/>
          <w:szCs w:val="21"/>
          <w:highlight w:val="none"/>
        </w:rPr>
      </w:pPr>
      <w:r>
        <w:rPr>
          <w:rFonts w:ascii="宋体" w:hAnsi="宋体"/>
          <w:bCs/>
          <w:color w:val="auto"/>
          <w:sz w:val="20"/>
          <w:szCs w:val="20"/>
          <w:highlight w:val="none"/>
        </w:rPr>
        <w:object>
          <v:shape id="_x0000_i1143" o:spt="201" type="#_x0000_t201" style="height:18pt;width:12.6pt;" o:ole="t" filled="f" o:preferrelative="t" stroked="f" coordsize="21600,21600">
            <v:path/>
            <v:fill on="f" focussize="0,0"/>
            <v:stroke on="f"/>
            <v:imagedata r:id="rId169" o:title=""/>
            <o:lock v:ext="edit" aspectratio="t"/>
            <w10:wrap type="none"/>
            <w10:anchorlock/>
          </v:shape>
          <w:control r:id="rId168" w:name="CheckBox1335" w:shapeid="_x0000_i1143"/>
        </w:object>
      </w:r>
      <w:r>
        <w:rPr>
          <w:rFonts w:hint="eastAsia" w:ascii="宋体" w:hAnsi="宋体" w:cs="宋体"/>
          <w:color w:val="auto"/>
          <w:szCs w:val="21"/>
          <w:highlight w:val="none"/>
        </w:rPr>
        <w:t>承包人应在进场前向发包人提供按合同要求承包人投保的保险证明，并取得发包人的批准。如果承包人未能提供所要求的保险单和相关保险证明，发包人可以办理本应由承包人提供的保险，并从支付给承包人的款项中扣回发包人支付的保险费；如果没有应支付的款项，则已支付的保险金将成为承包人的到期欠款。</w:t>
      </w:r>
    </w:p>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7400" w:name="_Toc14001"/>
      <w:bookmarkStart w:id="7401" w:name="_Toc517528818"/>
      <w:bookmarkStart w:id="7402" w:name="_Toc517531056"/>
      <w:bookmarkStart w:id="7403" w:name="_Toc16343"/>
      <w:bookmarkStart w:id="7404" w:name="_Toc15202"/>
      <w:bookmarkStart w:id="7405" w:name="_Toc12641"/>
      <w:bookmarkStart w:id="7406" w:name="_Toc24017"/>
      <w:bookmarkStart w:id="7407" w:name="_Toc18604"/>
      <w:bookmarkStart w:id="7408" w:name="_Toc517529774"/>
      <w:bookmarkStart w:id="7409" w:name="_Toc19055"/>
      <w:bookmarkStart w:id="7410" w:name="_Toc3293"/>
      <w:bookmarkStart w:id="7411" w:name="_Toc15184"/>
      <w:bookmarkStart w:id="7412" w:name="_Toc517532332"/>
      <w:bookmarkStart w:id="7413" w:name="_Toc25096"/>
      <w:bookmarkStart w:id="7414" w:name="_Toc14905"/>
      <w:bookmarkStart w:id="7415" w:name="_Toc21006"/>
      <w:bookmarkStart w:id="7416" w:name="_Toc13186"/>
      <w:bookmarkStart w:id="7417" w:name="_Toc23389"/>
      <w:bookmarkStart w:id="7418" w:name="_Toc11831"/>
      <w:r>
        <w:rPr>
          <w:rFonts w:hint="eastAsia" w:ascii="宋体" w:hAnsi="宋体" w:cs="宋体"/>
          <w:b/>
          <w:bCs/>
          <w:color w:val="auto"/>
          <w:sz w:val="30"/>
          <w:szCs w:val="30"/>
          <w:highlight w:val="none"/>
        </w:rPr>
        <w:t>19.索赔</w:t>
      </w:r>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特别约定：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keepNext/>
        <w:keepLines/>
        <w:spacing w:before="156" w:beforeLines="50" w:after="156" w:afterLines="50" w:line="360" w:lineRule="auto"/>
        <w:ind w:firstLine="602" w:firstLineChars="200"/>
        <w:outlineLvl w:val="1"/>
        <w:rPr>
          <w:rFonts w:hint="eastAsia" w:ascii="宋体" w:hAnsi="宋体" w:cs="宋体"/>
          <w:b/>
          <w:bCs/>
          <w:color w:val="auto"/>
          <w:sz w:val="30"/>
          <w:szCs w:val="30"/>
          <w:highlight w:val="none"/>
        </w:rPr>
      </w:pPr>
      <w:bookmarkStart w:id="7419" w:name="_Toc30507"/>
      <w:bookmarkStart w:id="7420" w:name="_Toc12828"/>
      <w:bookmarkStart w:id="7421" w:name="_Toc9921"/>
      <w:bookmarkStart w:id="7422" w:name="_Toc517532333"/>
      <w:bookmarkStart w:id="7423" w:name="_Toc22712"/>
      <w:bookmarkStart w:id="7424" w:name="_Toc30062"/>
      <w:bookmarkStart w:id="7425" w:name="_Toc8132"/>
      <w:bookmarkStart w:id="7426" w:name="_Toc517531057"/>
      <w:bookmarkStart w:id="7427" w:name="_Toc517528819"/>
      <w:bookmarkStart w:id="7428" w:name="_Toc18342"/>
      <w:bookmarkStart w:id="7429" w:name="_Toc9103"/>
      <w:bookmarkStart w:id="7430" w:name="_Toc14080"/>
      <w:bookmarkStart w:id="7431" w:name="_Toc517529775"/>
      <w:bookmarkStart w:id="7432" w:name="_Toc9267"/>
      <w:bookmarkStart w:id="7433" w:name="_Toc17749"/>
      <w:bookmarkStart w:id="7434" w:name="_Toc13680"/>
      <w:bookmarkStart w:id="7435" w:name="_Toc1625"/>
      <w:bookmarkStart w:id="7436" w:name="_Toc21378"/>
      <w:bookmarkStart w:id="7437" w:name="_Toc17966"/>
      <w:r>
        <w:rPr>
          <w:rFonts w:hint="eastAsia" w:ascii="宋体" w:hAnsi="宋体" w:cs="宋体"/>
          <w:b/>
          <w:bCs/>
          <w:color w:val="auto"/>
          <w:sz w:val="30"/>
          <w:szCs w:val="30"/>
          <w:highlight w:val="none"/>
        </w:rPr>
        <w:t>20. 争议解决</w:t>
      </w:r>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p>
    <w:p>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特别约定：</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360" w:lineRule="auto"/>
        <w:ind w:firstLine="420" w:firstLineChars="200"/>
        <w:jc w:val="left"/>
        <w:rPr>
          <w:rFonts w:hint="eastAsia" w:ascii="宋体" w:hAnsi="宋体" w:cs="宋体"/>
          <w:color w:val="auto"/>
          <w:szCs w:val="21"/>
          <w:highlight w:val="none"/>
        </w:rPr>
      </w:pPr>
    </w:p>
    <w:p>
      <w:pPr>
        <w:keepNext/>
        <w:keepLines/>
        <w:spacing w:before="156" w:beforeLines="50" w:after="156" w:afterLines="50" w:line="360" w:lineRule="auto"/>
        <w:ind w:firstLine="602" w:firstLineChars="200"/>
        <w:outlineLvl w:val="1"/>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21.工人工资支付</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315" w:lineRule="atLeast"/>
        <w:ind w:left="0" w:right="0" w:firstLine="68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（1）、发包人应及时足额地将合同约定的工人工资支付款项支付到工人工资专用账户，并加强对承包人按时足额发放工人工资的监督。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315" w:lineRule="atLeast"/>
        <w:ind w:left="0" w:right="0" w:firstLine="68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2）、承包人必须严格按照国家、省、市等有关规定发放工资、劳务费。对发包人支付的工程款，承包人须优先保障工人工资和劳务分包企业的劳务费的发放。对发包人支付到工人工资专用账户的款项，承包人应及时足额发放，不得拖欠或克扣。</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315" w:lineRule="atLeast"/>
        <w:ind w:left="0" w:right="0" w:firstLine="68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（3）、本工程签约合同价中工人工资款比例为：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。（房屋建筑工程占比一般为18%以上，市政工程占比一般为13%以上）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315" w:lineRule="atLeast"/>
        <w:ind w:left="0" w:right="0" w:firstLine="68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（4）、发包人和承包人应结合项目实际，合理确定上述比例。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315" w:lineRule="atLeast"/>
        <w:ind w:left="0" w:right="0" w:firstLine="68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（5）、在</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情况下，如因非承包人原因导致按上述比例不足以满足本工程工人工资足额发放的，双方可以协商调整上述比例，具体调整方式为：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315" w:lineRule="atLeast"/>
        <w:ind w:left="0" w:right="0" w:firstLine="68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承包人已确认上述比例及调整的约定，能满足本工程的工人工资足额发放。</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315" w:lineRule="atLeast"/>
        <w:ind w:left="0" w:right="0" w:firstLine="68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发包人支付到工人工资专用账户的工人工资支付周期为：</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 ，该工人工资支付周期不得超过1个月。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80" w:beforeAutospacing="0" w:after="180" w:afterAutospacing="0" w:line="315" w:lineRule="atLeast"/>
        <w:ind w:left="0" w:right="0" w:firstLine="680"/>
        <w:jc w:val="both"/>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本工程工人工资支付的其他约定：</w:t>
      </w:r>
      <w:r>
        <w:rPr>
          <w:rFonts w:hint="eastAsia" w:ascii="宋体" w:hAnsi="宋体" w:eastAsia="宋体" w:cs="宋体"/>
          <w:i w:val="0"/>
          <w:iCs w:val="0"/>
          <w:caps w:val="0"/>
          <w:color w:val="auto"/>
          <w:spacing w:val="0"/>
          <w:kern w:val="0"/>
          <w:sz w:val="21"/>
          <w:szCs w:val="21"/>
          <w:highlight w:val="none"/>
          <w:u w:val="single"/>
          <w:shd w:val="clear" w:color="auto" w:fill="FFFFFF"/>
          <w:lang w:val="en-US" w:eastAsia="zh-CN" w:bidi="ar"/>
        </w:rPr>
        <w:t>           </w:t>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w:t>
      </w:r>
    </w:p>
    <w:p>
      <w:pPr>
        <w:keepNext/>
        <w:keepLines/>
        <w:widowControl/>
        <w:suppressLineNumbers w:val="0"/>
        <w:shd w:val="clear" w:color="auto" w:fill="auto"/>
        <w:spacing w:before="156" w:beforeLines="50" w:beforeAutospacing="0" w:after="156" w:afterLines="50" w:line="360" w:lineRule="auto"/>
        <w:ind w:firstLine="602" w:firstLineChars="200"/>
        <w:jc w:val="left"/>
        <w:outlineLvl w:val="1"/>
        <w:rPr>
          <w:rFonts w:hint="default" w:ascii="宋体" w:hAnsi="宋体" w:eastAsia="宋体" w:cs="宋体"/>
          <w:b/>
          <w:bCs/>
          <w:color w:val="auto"/>
          <w:kern w:val="2"/>
          <w:sz w:val="30"/>
          <w:szCs w:val="30"/>
          <w:highlight w:val="none"/>
          <w:shd w:val="clear" w:color="auto" w:fill="auto"/>
          <w:lang w:val="en-US" w:eastAsia="zh-CN" w:bidi="ar"/>
        </w:rPr>
      </w:pPr>
      <w:r>
        <w:rPr>
          <w:rFonts w:hint="eastAsia" w:ascii="宋体" w:hAnsi="宋体" w:eastAsia="宋体" w:cs="宋体"/>
          <w:b/>
          <w:bCs/>
          <w:color w:val="auto"/>
          <w:kern w:val="2"/>
          <w:sz w:val="30"/>
          <w:szCs w:val="30"/>
          <w:highlight w:val="none"/>
          <w:shd w:val="clear" w:color="auto" w:fill="auto"/>
          <w:lang w:val="en-US" w:eastAsia="zh-CN" w:bidi="ar"/>
        </w:rPr>
        <w:t>22. 其他</w:t>
      </w:r>
    </w:p>
    <w:p>
      <w:pPr>
        <w:keepNext w:val="0"/>
        <w:keepLines w:val="0"/>
        <w:widowControl/>
        <w:suppressLineNumbers w:val="0"/>
        <w:shd w:val="clear" w:color="auto" w:fill="auto"/>
        <w:spacing w:before="0" w:beforeAutospacing="0" w:line="360" w:lineRule="auto"/>
        <w:ind w:left="0" w:firstLine="420" w:firstLineChars="200"/>
        <w:jc w:val="left"/>
        <w:rPr>
          <w:rFonts w:hint="eastAsia" w:ascii="宋体" w:hAnsi="宋体" w:eastAsia="宋体" w:cs="宋体"/>
          <w:color w:val="auto"/>
          <w:szCs w:val="21"/>
          <w:highlight w:val="none"/>
        </w:rPr>
      </w:pPr>
      <w:r>
        <w:rPr>
          <w:rFonts w:hint="eastAsia" w:ascii="宋体" w:hAnsi="宋体" w:cs="宋体"/>
          <w:color w:val="auto"/>
          <w:kern w:val="2"/>
          <w:sz w:val="21"/>
          <w:szCs w:val="21"/>
          <w:highlight w:val="none"/>
          <w:shd w:val="clear" w:color="auto" w:fill="auto"/>
          <w:lang w:val="en-US" w:eastAsia="zh-CN" w:bidi="ar"/>
        </w:rPr>
        <w:t>22.1</w:t>
      </w:r>
      <w:r>
        <w:rPr>
          <w:rFonts w:hint="eastAsia" w:ascii="宋体" w:hAnsi="宋体" w:eastAsia="宋体" w:cs="宋体"/>
          <w:color w:val="auto"/>
          <w:kern w:val="2"/>
          <w:sz w:val="21"/>
          <w:szCs w:val="21"/>
          <w:highlight w:val="none"/>
          <w:shd w:val="clear" w:color="auto" w:fill="auto"/>
          <w:lang w:val="en-US" w:eastAsia="zh-CN" w:bidi="ar"/>
        </w:rPr>
        <w:t xml:space="preserve">因承包人原因导致发包人涉诉的， 承包人应承担发包人遭受的经济损失， 包括发包人为应诉产生的诉讼费、 仲裁费、 律师费、 车 旅费、住宿费等合理费用，具体包括以下情形： </w:t>
      </w:r>
    </w:p>
    <w:p>
      <w:pPr>
        <w:keepNext w:val="0"/>
        <w:keepLines w:val="0"/>
        <w:widowControl/>
        <w:suppressLineNumbers w:val="0"/>
        <w:shd w:val="clear" w:color="auto" w:fill="auto"/>
        <w:spacing w:before="0" w:beforeAutospacing="0" w:line="360" w:lineRule="auto"/>
        <w:ind w:left="420"/>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shd w:val="clear" w:color="auto" w:fill="auto"/>
          <w:lang w:val="en-US" w:eastAsia="zh-CN" w:bidi="ar"/>
        </w:rPr>
        <w:t xml:space="preserve">1. 与 承 包 人 有 合 同 关 系 的 分 包 单 位 、 雇 佣 人 员 或 其 他 合 作 单 位 、 个人对发包人提起诉讼、仲裁或将发包人列为第三人的； </w:t>
      </w:r>
    </w:p>
    <w:p>
      <w:pPr>
        <w:keepNext w:val="0"/>
        <w:keepLines w:val="0"/>
        <w:widowControl/>
        <w:suppressLineNumbers w:val="0"/>
        <w:shd w:val="clear" w:color="auto" w:fill="auto"/>
        <w:spacing w:before="0" w:beforeAutospacing="0" w:line="360" w:lineRule="auto"/>
        <w:ind w:left="420"/>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shd w:val="clear" w:color="auto" w:fill="auto"/>
          <w:lang w:val="en-US" w:eastAsia="zh-CN" w:bidi="ar"/>
        </w:rPr>
        <w:t xml:space="preserve">2.与承包人无合同关系， 但作为本项目的实际参建单位或参建个 人对发包人提起诉讼、仲裁或将发包人列为第三人的； </w:t>
      </w:r>
    </w:p>
    <w:p>
      <w:pPr>
        <w:keepNext w:val="0"/>
        <w:keepLines w:val="0"/>
        <w:widowControl/>
        <w:suppressLineNumbers w:val="0"/>
        <w:shd w:val="clear" w:color="auto" w:fill="auto"/>
        <w:spacing w:before="0" w:beforeAutospacing="0" w:line="360" w:lineRule="auto"/>
        <w:ind w:left="420"/>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shd w:val="clear" w:color="auto" w:fill="auto"/>
          <w:lang w:val="en-US" w:eastAsia="zh-CN" w:bidi="ar"/>
        </w:rPr>
        <w:t xml:space="preserve">3.其他因承包人原因导致相关单位或个人对发包人提起诉讼、 仲 裁或将发包人列为第三人的。 </w:t>
      </w:r>
    </w:p>
    <w:p>
      <w:pPr>
        <w:keepNext w:val="0"/>
        <w:keepLines w:val="0"/>
        <w:widowControl/>
        <w:suppressLineNumbers w:val="0"/>
        <w:shd w:val="clear" w:color="auto" w:fill="auto"/>
        <w:spacing w:before="0" w:beforeAutospacing="0" w:line="360" w:lineRule="auto"/>
        <w:ind w:left="420"/>
        <w:jc w:val="left"/>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shd w:val="clear" w:color="auto" w:fill="auto"/>
          <w:lang w:val="en-US" w:eastAsia="zh-CN" w:bidi="ar"/>
        </w:rPr>
        <w:t>上述律师费以受诉法院或仲裁院所在地物价部门和 （或） 司法部 门发布的律师服务收费标准为依据计取， 其他费用以实际发生为依据 计取。 承包人应承担的上述合理费用由承包人直接支付至发包人， 或 发包人指定的第三方服务单位。</w:t>
      </w:r>
    </w:p>
    <w:p>
      <w:pPr>
        <w:spacing w:line="360" w:lineRule="auto"/>
        <w:ind w:left="420" w:firstLine="0" w:firstLineChars="0"/>
        <w:jc w:val="left"/>
        <w:rPr>
          <w:rFonts w:hint="default" w:ascii="宋体" w:hAnsi="宋体" w:eastAsia="宋体" w:cs="宋体"/>
          <w:color w:val="auto"/>
          <w:szCs w:val="21"/>
          <w:highlight w:val="none"/>
          <w:lang w:val="en-US" w:eastAsia="zh-CN"/>
        </w:rPr>
      </w:pPr>
    </w:p>
    <w:p>
      <w:pPr>
        <w:widowControl/>
        <w:spacing w:line="360" w:lineRule="auto"/>
        <w:ind w:firstLine="422" w:firstLineChars="200"/>
        <w:jc w:val="left"/>
        <w:outlineLvl w:val="2"/>
        <w:rPr>
          <w:rFonts w:ascii="宋体" w:hAnsi="宋体"/>
          <w:b/>
          <w:bCs/>
          <w:color w:val="auto"/>
          <w:szCs w:val="21"/>
          <w:highlight w:val="none"/>
        </w:rPr>
      </w:pPr>
      <w:r>
        <w:rPr>
          <w:rFonts w:ascii="宋体" w:hAnsi="宋体"/>
          <w:b/>
          <w:bCs/>
          <w:color w:val="auto"/>
          <w:szCs w:val="21"/>
          <w:highlight w:val="none"/>
        </w:rPr>
        <w:t xml:space="preserve">22.2 </w:t>
      </w:r>
      <w:r>
        <w:rPr>
          <w:rFonts w:hint="eastAsia" w:ascii="宋体" w:hAnsi="宋体"/>
          <w:b/>
          <w:bCs/>
          <w:color w:val="auto"/>
          <w:szCs w:val="21"/>
          <w:highlight w:val="none"/>
        </w:rPr>
        <w:t>工期节点处罚</w:t>
      </w:r>
    </w:p>
    <w:p>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收到中标通知书15个日历天内，完成本工程深化设计并获得设计单位及招标人确认，若因承包人原因未能按期完成，则处违约金1万元。</w:t>
      </w:r>
    </w:p>
    <w:p>
      <w:pPr>
        <w:adjustRightInd w:val="0"/>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由于承包人原因未能在总工期内通过竣工验收，按拖期具体日历天数处违约金0.1万元/日历天，总违约金最多不超过合同价的5%。</w:t>
      </w:r>
    </w:p>
    <w:p>
      <w:pPr>
        <w:widowControl/>
        <w:spacing w:line="360" w:lineRule="auto"/>
        <w:ind w:firstLine="422" w:firstLineChars="200"/>
        <w:jc w:val="left"/>
        <w:outlineLvl w:val="2"/>
        <w:rPr>
          <w:rFonts w:ascii="宋体" w:hAnsi="宋体"/>
          <w:color w:val="auto"/>
          <w:szCs w:val="21"/>
          <w:highlight w:val="none"/>
        </w:rPr>
      </w:pPr>
      <w:r>
        <w:rPr>
          <w:rFonts w:ascii="宋体" w:hAnsi="宋体"/>
          <w:b/>
          <w:bCs/>
          <w:color w:val="auto"/>
          <w:szCs w:val="21"/>
          <w:highlight w:val="none"/>
        </w:rPr>
        <w:t>22.3</w:t>
      </w:r>
      <w:r>
        <w:rPr>
          <w:rFonts w:hint="eastAsia" w:ascii="宋体" w:hAnsi="宋体"/>
          <w:b/>
          <w:bCs/>
          <w:color w:val="auto"/>
          <w:szCs w:val="21"/>
          <w:highlight w:val="none"/>
        </w:rPr>
        <w:t>工程管理违约责任</w:t>
      </w:r>
      <w:r>
        <w:rPr>
          <w:rFonts w:hint="eastAsia" w:ascii="宋体" w:hAnsi="宋体"/>
          <w:color w:val="auto"/>
          <w:szCs w:val="21"/>
          <w:highlight w:val="none"/>
        </w:rPr>
        <w:t>：</w:t>
      </w:r>
    </w:p>
    <w:p>
      <w:pPr>
        <w:adjustRightInd w:val="0"/>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承包人应遵守工务署、教育工程管理中心相关管理制度的规定，服从发包人、全过程咨询单位的指令，发包人将按照相关管理制度对承包人的违约行为进行处罚，在合同履行期间相关依据管理制度更新或新发布的，按更新后的最新版本或新发布的执行；</w:t>
      </w:r>
    </w:p>
    <w:p>
      <w:pPr>
        <w:ind w:firstLine="420" w:firstLineChars="200"/>
        <w:rPr>
          <w:rFonts w:ascii="宋体" w:hAnsi="宋体"/>
          <w:color w:val="auto"/>
          <w:szCs w:val="21"/>
          <w:highlight w:val="none"/>
        </w:rPr>
        <w:sectPr>
          <w:headerReference r:id="rId4" w:type="default"/>
          <w:footerReference r:id="rId5" w:type="default"/>
          <w:pgSz w:w="11906" w:h="16838"/>
          <w:pgMar w:top="1440" w:right="1800" w:bottom="1440" w:left="1800" w:header="851" w:footer="992" w:gutter="0"/>
          <w:cols w:space="425" w:num="1"/>
          <w:docGrid w:type="lines" w:linePitch="312" w:charSpace="0"/>
        </w:sect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）教育工程管理中心发布的管理制度是对工务署管理制度的细化，工务署管理制度的效力高于教育工程管理中心发布的管理制度。</w:t>
      </w:r>
    </w:p>
    <w:p>
      <w:pPr>
        <w:pStyle w:val="4"/>
        <w:keepNext w:val="0"/>
        <w:keepLines w:val="0"/>
        <w:adjustRightInd w:val="0"/>
        <w:snapToGrid w:val="0"/>
        <w:spacing w:before="0" w:after="0" w:line="360" w:lineRule="auto"/>
        <w:ind w:firstLine="103" w:firstLineChars="32"/>
        <w:jc w:val="center"/>
        <w:rPr>
          <w:color w:val="auto"/>
          <w:highlight w:val="none"/>
        </w:rPr>
      </w:pPr>
      <w:r>
        <w:rPr>
          <w:rFonts w:hint="eastAsia"/>
          <w:color w:val="auto"/>
          <w:highlight w:val="none"/>
        </w:rPr>
        <w:t>合同专用条款附件</w:t>
      </w:r>
    </w:p>
    <w:p>
      <w:pPr>
        <w:ind w:firstLine="420" w:firstLineChars="200"/>
        <w:rPr>
          <w:color w:val="auto"/>
          <w:highlight w:val="none"/>
        </w:rPr>
      </w:pPr>
      <w:r>
        <w:rPr>
          <w:rFonts w:hint="eastAsia"/>
          <w:color w:val="auto"/>
          <w:highlight w:val="none"/>
        </w:rPr>
        <w:t>《深圳市建筑工务署工程结算管理办法》、《工程计量支付管理办法》、《深圳市建筑工务署合同履约评价管理办法》、《深圳市建筑工务署不良行为记录处理办法》、</w:t>
      </w:r>
      <w:r>
        <w:rPr>
          <w:rFonts w:hint="eastAsia" w:ascii="宋体" w:hAnsi="宋体"/>
          <w:bCs/>
          <w:color w:val="auto"/>
          <w:szCs w:val="21"/>
          <w:highlight w:val="none"/>
          <w:lang w:val="zh-CN"/>
        </w:rPr>
        <w:t>《项目参建单位管理人员实名制管理暂行</w:t>
      </w:r>
      <w:r>
        <w:rPr>
          <w:rFonts w:hint="eastAsia"/>
          <w:color w:val="auto"/>
          <w:highlight w:val="none"/>
          <w:lang w:val="zh-CN"/>
        </w:rPr>
        <w:t>办法》、</w:t>
      </w:r>
      <w:r>
        <w:rPr>
          <w:rFonts w:hint="eastAsia"/>
          <w:color w:val="auto"/>
          <w:highlight w:val="none"/>
          <w:lang w:bidi="ar"/>
        </w:rPr>
        <w:t>《深圳市建筑工务署质量安全第三方评价管理办法》、《深圳市建筑工务署不良行为记录处理办法安全生产方面不良行为处理的实施指引》、《深圳市建筑工务署建设工程重大安全隐患判定导则》《深圳市住宅工程管理站</w:t>
      </w:r>
      <w:bookmarkStart w:id="7438" w:name="_Hlk78446927"/>
      <w:r>
        <w:rPr>
          <w:rFonts w:hint="eastAsia"/>
          <w:color w:val="auto"/>
          <w:highlight w:val="none"/>
          <w:lang w:bidi="ar"/>
        </w:rPr>
        <w:t>承包人违约认定及处理细则</w:t>
      </w:r>
      <w:bookmarkEnd w:id="7438"/>
      <w:r>
        <w:rPr>
          <w:rFonts w:hint="eastAsia"/>
          <w:color w:val="auto"/>
          <w:highlight w:val="none"/>
          <w:lang w:bidi="ar"/>
        </w:rPr>
        <w:t>》、《深圳市建筑工务署建设项目全过程安全管控要点汇编》</w:t>
      </w:r>
      <w:r>
        <w:rPr>
          <w:rFonts w:hint="eastAsia" w:ascii="宋体" w:hAnsi="宋体"/>
          <w:bCs/>
          <w:color w:val="auto"/>
          <w:szCs w:val="21"/>
          <w:highlight w:val="none"/>
          <w:lang w:val="zh-CN"/>
        </w:rPr>
        <w:t>等文件以工务署最新发布的为</w:t>
      </w:r>
      <w:r>
        <w:rPr>
          <w:rFonts w:hint="eastAsia" w:ascii="宋体" w:hAnsi="宋体"/>
          <w:bCs/>
          <w:color w:val="auto"/>
          <w:szCs w:val="21"/>
          <w:highlight w:val="none"/>
        </w:rPr>
        <w:t>准。</w:t>
      </w:r>
    </w:p>
    <w:p>
      <w:pPr>
        <w:keepNext/>
        <w:keepLines/>
        <w:tabs>
          <w:tab w:val="left" w:pos="360"/>
        </w:tabs>
        <w:spacing w:line="360" w:lineRule="auto"/>
        <w:jc w:val="left"/>
        <w:outlineLvl w:val="0"/>
        <w:rPr>
          <w:rFonts w:hint="eastAsia" w:ascii="宋体" w:hAnsi="宋体" w:eastAsia="宋体" w:cs="Times New Roman"/>
          <w:b/>
          <w:color w:val="auto"/>
          <w:sz w:val="28"/>
          <w:szCs w:val="28"/>
          <w:highlight w:val="none"/>
          <w:lang w:val="en-US" w:eastAsia="zh-CN"/>
        </w:rPr>
      </w:pPr>
    </w:p>
    <w:p>
      <w:pPr>
        <w:keepNext/>
        <w:keepLines/>
        <w:tabs>
          <w:tab w:val="left" w:pos="360"/>
        </w:tabs>
        <w:spacing w:line="360" w:lineRule="auto"/>
        <w:jc w:val="left"/>
        <w:outlineLvl w:val="0"/>
        <w:rPr>
          <w:rFonts w:hint="eastAsia" w:ascii="宋体" w:hAnsi="宋体" w:eastAsia="宋体" w:cs="Times New Roman"/>
          <w:b/>
          <w:color w:val="auto"/>
          <w:sz w:val="28"/>
          <w:szCs w:val="28"/>
          <w:highlight w:val="none"/>
          <w:lang w:val="en-US" w:eastAsia="zh-CN"/>
        </w:rPr>
      </w:pPr>
      <w:r>
        <w:rPr>
          <w:rFonts w:hint="eastAsia" w:ascii="宋体" w:hAnsi="宋体" w:eastAsia="宋体" w:cs="Times New Roman"/>
          <w:b/>
          <w:color w:val="auto"/>
          <w:sz w:val="28"/>
          <w:szCs w:val="28"/>
          <w:highlight w:val="none"/>
          <w:lang w:val="en-US" w:eastAsia="zh-CN"/>
        </w:rPr>
        <w:t>附件八：</w:t>
      </w:r>
    </w:p>
    <w:p>
      <w:pPr>
        <w:adjustRightInd w:val="0"/>
        <w:snapToGrid w:val="0"/>
        <w:spacing w:line="360" w:lineRule="auto"/>
        <w:jc w:val="center"/>
        <w:rPr>
          <w:rFonts w:hint="eastAsia" w:ascii="宋体" w:hAnsi="宋体" w:eastAsia="宋体" w:cs="宋体"/>
          <w:color w:val="auto"/>
          <w:sz w:val="44"/>
          <w:highlight w:val="none"/>
        </w:rPr>
      </w:pPr>
      <w:r>
        <w:rPr>
          <w:rFonts w:hint="eastAsia" w:ascii="宋体" w:hAnsi="宋体" w:eastAsia="宋体" w:cs="Times New Roman"/>
          <w:color w:val="auto"/>
          <w:sz w:val="42"/>
          <w:szCs w:val="42"/>
          <w:highlight w:val="none"/>
        </w:rPr>
        <w:t>投标保函</w:t>
      </w:r>
    </w:p>
    <w:p>
      <w:pPr>
        <w:adjustRightInd w:val="0"/>
        <w:snapToGrid w:val="0"/>
        <w:ind w:firstLine="5670" w:firstLineChars="27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保函编号：</w:t>
      </w:r>
      <w:r>
        <w:rPr>
          <w:rFonts w:hint="eastAsia" w:ascii="宋体" w:hAnsi="宋体" w:eastAsia="宋体" w:cs="宋体"/>
          <w:color w:val="auto"/>
          <w:szCs w:val="21"/>
          <w:highlight w:val="none"/>
          <w:u w:val="single"/>
        </w:rPr>
        <w:t>__________</w:t>
      </w:r>
    </w:p>
    <w:p>
      <w:pPr>
        <w:adjustRightInd w:val="0"/>
        <w:snapToGrid w:val="0"/>
        <w:spacing w:line="360" w:lineRule="exact"/>
        <w:rPr>
          <w:rFonts w:hint="eastAsia" w:ascii="宋体" w:hAnsi="宋体" w:eastAsia="宋体" w:cs="宋体"/>
          <w:color w:val="auto"/>
          <w:szCs w:val="21"/>
          <w:highlight w:val="none"/>
        </w:rPr>
      </w:pPr>
    </w:p>
    <w:p>
      <w:pPr>
        <w:adjustRightInd w:val="0"/>
        <w:snapToGrid w:val="0"/>
        <w:spacing w:line="36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致</w:t>
      </w:r>
      <w:r>
        <w:rPr>
          <w:rFonts w:hint="eastAsia" w:ascii="宋体" w:hAnsi="宋体" w:eastAsia="宋体" w:cs="宋体"/>
          <w:color w:val="auto"/>
          <w:sz w:val="20"/>
          <w:szCs w:val="20"/>
          <w:highlight w:val="none"/>
          <w:u w:val="single"/>
        </w:rPr>
        <w:t>______________________________</w:t>
      </w:r>
      <w:r>
        <w:rPr>
          <w:rFonts w:hint="eastAsia" w:ascii="宋体" w:hAnsi="宋体" w:eastAsia="宋体" w:cs="宋体"/>
          <w:color w:val="auto"/>
          <w:sz w:val="20"/>
          <w:szCs w:val="20"/>
          <w:highlight w:val="none"/>
        </w:rPr>
        <w:t>（下称受益人）：</w:t>
      </w:r>
    </w:p>
    <w:p>
      <w:pPr>
        <w:adjustRightInd w:val="0"/>
        <w:snapToGrid w:val="0"/>
        <w:spacing w:line="360" w:lineRule="exact"/>
        <w:ind w:firstLine="482"/>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鉴于</w:t>
      </w:r>
      <w:r>
        <w:rPr>
          <w:rFonts w:hint="eastAsia" w:ascii="宋体" w:hAnsi="宋体" w:eastAsia="宋体" w:cs="宋体"/>
          <w:color w:val="auto"/>
          <w:sz w:val="20"/>
          <w:szCs w:val="20"/>
          <w:highlight w:val="none"/>
          <w:u w:val="single"/>
        </w:rPr>
        <w:t>_____________________________</w:t>
      </w:r>
      <w:r>
        <w:rPr>
          <w:rFonts w:hint="eastAsia" w:ascii="宋体" w:hAnsi="宋体" w:eastAsia="宋体" w:cs="宋体"/>
          <w:color w:val="auto"/>
          <w:sz w:val="20"/>
          <w:szCs w:val="20"/>
          <w:highlight w:val="none"/>
        </w:rPr>
        <w:t>（下称被保证人）将参加贵方标段编号为</w:t>
      </w:r>
      <w:r>
        <w:rPr>
          <w:rFonts w:hint="eastAsia" w:ascii="宋体" w:hAnsi="宋体" w:eastAsia="宋体" w:cs="宋体"/>
          <w:color w:val="auto"/>
          <w:sz w:val="20"/>
          <w:szCs w:val="20"/>
          <w:highlight w:val="none"/>
          <w:u w:val="single"/>
        </w:rPr>
        <w:t>______________</w:t>
      </w:r>
      <w:r>
        <w:rPr>
          <w:rFonts w:hint="eastAsia" w:ascii="宋体" w:hAnsi="宋体" w:eastAsia="宋体" w:cs="宋体"/>
          <w:color w:val="auto"/>
          <w:sz w:val="20"/>
          <w:szCs w:val="20"/>
          <w:highlight w:val="none"/>
        </w:rPr>
        <w:t>的</w:t>
      </w:r>
      <w:r>
        <w:rPr>
          <w:rFonts w:hint="eastAsia" w:ascii="宋体" w:hAnsi="宋体" w:eastAsia="宋体" w:cs="宋体"/>
          <w:color w:val="auto"/>
          <w:sz w:val="20"/>
          <w:szCs w:val="20"/>
          <w:highlight w:val="none"/>
          <w:u w:val="single"/>
        </w:rPr>
        <w:t>____________________________________</w:t>
      </w:r>
      <w:r>
        <w:rPr>
          <w:rFonts w:hint="eastAsia" w:ascii="宋体" w:hAnsi="宋体" w:eastAsia="宋体" w:cs="宋体"/>
          <w:color w:val="auto"/>
          <w:sz w:val="20"/>
          <w:szCs w:val="20"/>
          <w:highlight w:val="none"/>
        </w:rPr>
        <w:t>工程的投标，我方接受被保证人的委托，在此向受益人提供不可撤销的投标保证：</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一、本保证担保的担保金额为</w:t>
      </w:r>
      <w:r>
        <w:rPr>
          <w:rFonts w:hint="eastAsia" w:ascii="宋体" w:hAnsi="宋体" w:eastAsia="宋体" w:cs="宋体"/>
          <w:color w:val="auto"/>
          <w:sz w:val="20"/>
          <w:szCs w:val="20"/>
          <w:highlight w:val="none"/>
          <w:u w:val="single"/>
        </w:rPr>
        <w:t>______</w:t>
      </w:r>
      <w:r>
        <w:rPr>
          <w:rFonts w:hint="eastAsia" w:ascii="宋体" w:hAnsi="宋体" w:eastAsia="宋体" w:cs="宋体"/>
          <w:color w:val="auto"/>
          <w:sz w:val="20"/>
          <w:szCs w:val="20"/>
          <w:highlight w:val="none"/>
        </w:rPr>
        <w:t>（币种）</w:t>
      </w:r>
      <w:r>
        <w:rPr>
          <w:rFonts w:hint="eastAsia" w:ascii="宋体" w:hAnsi="宋体" w:eastAsia="宋体" w:cs="宋体"/>
          <w:color w:val="auto"/>
          <w:sz w:val="20"/>
          <w:szCs w:val="20"/>
          <w:highlight w:val="none"/>
          <w:u w:val="single"/>
        </w:rPr>
        <w:t>______</w:t>
      </w:r>
      <w:r>
        <w:rPr>
          <w:rFonts w:hint="eastAsia" w:ascii="宋体" w:hAnsi="宋体" w:eastAsia="宋体" w:cs="宋体"/>
          <w:color w:val="auto"/>
          <w:sz w:val="20"/>
          <w:szCs w:val="20"/>
          <w:highlight w:val="none"/>
        </w:rPr>
        <w:t>元（小写）</w:t>
      </w:r>
      <w:r>
        <w:rPr>
          <w:rFonts w:hint="eastAsia" w:ascii="宋体" w:hAnsi="宋体" w:eastAsia="宋体" w:cs="宋体"/>
          <w:color w:val="auto"/>
          <w:sz w:val="20"/>
          <w:szCs w:val="20"/>
          <w:highlight w:val="none"/>
          <w:u w:val="single"/>
        </w:rPr>
        <w:t>_____________</w:t>
      </w:r>
      <w:r>
        <w:rPr>
          <w:rFonts w:hint="eastAsia" w:ascii="宋体" w:hAnsi="宋体" w:eastAsia="宋体" w:cs="宋体"/>
          <w:color w:val="auto"/>
          <w:sz w:val="20"/>
          <w:szCs w:val="20"/>
          <w:highlight w:val="none"/>
        </w:rPr>
        <w:t>（大写）。</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二、本保证担保的保证期间为该工程的投标有效期（或延长的投标有效期）后28日（含28日），延长投标有效期无须通知我方。</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三、在本保证担保的保证期间内，如果被保证人出现下列情形之一，受益人可以向我方提起索赔：</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1.被保证人在招标文件规定的投标有效期内撤回其投标；</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2.被保证人在投标有效期内收到受益人发出的中标通知书后，不能或拒绝按招标文件的要求签署施工合同；</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3.被保证人在投标有效期内收到受益人发出的中标通知书后，不能或拒绝按招标文件的规定提交履约担保。</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四、在本保证担保的保证期间内，我方收到受益人经法定代表人或其授权委托代理人签字并加盖公章的书面索赔通知后，将不争辩、不挑剔、不可撤销地立即向受益人支付本保证担保的担保金额。</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五、受益人的索赔通知应当说明索赔理由，并必须在本保证担保的保证期间内以专人送达或邮寄送达的方式送达我方。</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六、本保证担保项下的权利不得转让。</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七、本保证担保的保证期间届满，或我方已向受益人支付本保证担保的担保金额，我方的保证责任免除。</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八、本保证担保适用中华人民共和国法律。</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九、本保证担保以中文文本为准，涂改无效。</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保证人（盖章）：</w:t>
      </w:r>
      <w:r>
        <w:rPr>
          <w:rFonts w:hint="eastAsia" w:ascii="宋体" w:hAnsi="宋体" w:eastAsia="宋体" w:cs="宋体"/>
          <w:color w:val="auto"/>
          <w:sz w:val="20"/>
          <w:szCs w:val="20"/>
          <w:highlight w:val="none"/>
          <w:u w:val="single"/>
        </w:rPr>
        <w:t>___________________________________________________</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法定代表人或其授权委托代理人（签字或盖章）：</w:t>
      </w:r>
      <w:r>
        <w:rPr>
          <w:rFonts w:hint="eastAsia" w:ascii="宋体" w:hAnsi="宋体" w:eastAsia="宋体" w:cs="宋体"/>
          <w:color w:val="auto"/>
          <w:sz w:val="20"/>
          <w:szCs w:val="20"/>
          <w:highlight w:val="none"/>
          <w:u w:val="single"/>
        </w:rPr>
        <w:t>_______________________</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单位地址：</w:t>
      </w:r>
      <w:r>
        <w:rPr>
          <w:rFonts w:hint="eastAsia" w:ascii="宋体" w:hAnsi="宋体" w:eastAsia="宋体" w:cs="宋体"/>
          <w:color w:val="auto"/>
          <w:sz w:val="20"/>
          <w:szCs w:val="20"/>
          <w:highlight w:val="none"/>
          <w:u w:val="single"/>
        </w:rPr>
        <w:t>________________________________________________________</w:t>
      </w:r>
    </w:p>
    <w:p>
      <w:pPr>
        <w:adjustRightInd w:val="0"/>
        <w:snapToGrid w:val="0"/>
        <w:spacing w:line="360" w:lineRule="exact"/>
        <w:ind w:firstLine="48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邮政编码：</w:t>
      </w:r>
      <w:r>
        <w:rPr>
          <w:rFonts w:hint="eastAsia" w:ascii="宋体" w:hAnsi="宋体" w:eastAsia="宋体" w:cs="宋体"/>
          <w:color w:val="auto"/>
          <w:sz w:val="20"/>
          <w:szCs w:val="20"/>
          <w:highlight w:val="none"/>
          <w:u w:val="single"/>
        </w:rPr>
        <w:t>___________</w:t>
      </w:r>
      <w:r>
        <w:rPr>
          <w:rFonts w:hint="eastAsia" w:ascii="宋体" w:hAnsi="宋体" w:eastAsia="宋体" w:cs="宋体"/>
          <w:color w:val="auto"/>
          <w:sz w:val="20"/>
          <w:szCs w:val="20"/>
          <w:highlight w:val="none"/>
        </w:rPr>
        <w:t>电话：</w:t>
      </w:r>
      <w:r>
        <w:rPr>
          <w:rFonts w:hint="eastAsia" w:ascii="宋体" w:hAnsi="宋体" w:eastAsia="宋体" w:cs="宋体"/>
          <w:color w:val="auto"/>
          <w:sz w:val="20"/>
          <w:szCs w:val="20"/>
          <w:highlight w:val="none"/>
          <w:u w:val="single"/>
        </w:rPr>
        <w:t>_________________</w:t>
      </w:r>
      <w:r>
        <w:rPr>
          <w:rFonts w:hint="eastAsia" w:ascii="宋体" w:hAnsi="宋体" w:eastAsia="宋体" w:cs="宋体"/>
          <w:color w:val="auto"/>
          <w:sz w:val="20"/>
          <w:szCs w:val="20"/>
          <w:highlight w:val="none"/>
        </w:rPr>
        <w:t>传真：</w:t>
      </w:r>
      <w:r>
        <w:rPr>
          <w:rFonts w:hint="eastAsia" w:ascii="宋体" w:hAnsi="宋体" w:eastAsia="宋体" w:cs="宋体"/>
          <w:color w:val="auto"/>
          <w:sz w:val="20"/>
          <w:szCs w:val="20"/>
          <w:highlight w:val="none"/>
          <w:u w:val="single"/>
        </w:rPr>
        <w:t>________________</w:t>
      </w:r>
    </w:p>
    <w:p>
      <w:pPr>
        <w:adjustRightInd w:val="0"/>
        <w:snapToGrid w:val="0"/>
        <w:spacing w:line="360" w:lineRule="exact"/>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日期：</w:t>
      </w:r>
      <w:r>
        <w:rPr>
          <w:rFonts w:hint="eastAsia" w:ascii="宋体" w:hAnsi="宋体" w:eastAsia="宋体" w:cs="宋体"/>
          <w:color w:val="auto"/>
          <w:sz w:val="20"/>
          <w:szCs w:val="20"/>
          <w:highlight w:val="none"/>
          <w:u w:val="single"/>
        </w:rPr>
        <w:t>__________</w:t>
      </w:r>
      <w:r>
        <w:rPr>
          <w:rFonts w:hint="eastAsia" w:ascii="宋体" w:hAnsi="宋体" w:eastAsia="宋体" w:cs="宋体"/>
          <w:color w:val="auto"/>
          <w:sz w:val="20"/>
          <w:szCs w:val="20"/>
          <w:highlight w:val="none"/>
        </w:rPr>
        <w:t>年</w:t>
      </w:r>
      <w:r>
        <w:rPr>
          <w:rFonts w:hint="eastAsia" w:ascii="宋体" w:hAnsi="宋体" w:eastAsia="宋体" w:cs="宋体"/>
          <w:color w:val="auto"/>
          <w:sz w:val="20"/>
          <w:szCs w:val="20"/>
          <w:highlight w:val="none"/>
          <w:u w:val="single"/>
        </w:rPr>
        <w:t>______</w:t>
      </w:r>
      <w:r>
        <w:rPr>
          <w:rFonts w:hint="eastAsia" w:ascii="宋体" w:hAnsi="宋体" w:eastAsia="宋体" w:cs="宋体"/>
          <w:color w:val="auto"/>
          <w:sz w:val="20"/>
          <w:szCs w:val="20"/>
          <w:highlight w:val="none"/>
        </w:rPr>
        <w:t>月</w:t>
      </w:r>
      <w:r>
        <w:rPr>
          <w:rFonts w:hint="eastAsia" w:ascii="宋体" w:hAnsi="宋体" w:eastAsia="宋体" w:cs="宋体"/>
          <w:color w:val="auto"/>
          <w:sz w:val="20"/>
          <w:szCs w:val="20"/>
          <w:highlight w:val="none"/>
          <w:u w:val="single"/>
        </w:rPr>
        <w:t>______</w:t>
      </w:r>
      <w:r>
        <w:rPr>
          <w:rFonts w:hint="eastAsia" w:ascii="宋体" w:hAnsi="宋体" w:eastAsia="宋体" w:cs="宋体"/>
          <w:color w:val="auto"/>
          <w:sz w:val="20"/>
          <w:szCs w:val="20"/>
          <w:highlight w:val="none"/>
        </w:rPr>
        <w:t>日</w:t>
      </w:r>
    </w:p>
    <w:p>
      <w:pPr>
        <w:tabs>
          <w:tab w:val="right" w:pos="8730"/>
        </w:tabs>
        <w:adjustRightInd w:val="0"/>
        <w:snapToGrid w:val="0"/>
        <w:spacing w:line="360" w:lineRule="exact"/>
        <w:rPr>
          <w:rFonts w:hint="eastAsia" w:ascii="宋体" w:hAnsi="宋体" w:eastAsia="宋体" w:cs="宋体"/>
          <w:color w:val="auto"/>
          <w:sz w:val="20"/>
          <w:szCs w:val="20"/>
          <w:highlight w:val="none"/>
        </w:rPr>
      </w:pPr>
    </w:p>
    <w:p>
      <w:pPr>
        <w:adjustRightInd w:val="0"/>
        <w:snapToGrid w:val="0"/>
        <w:spacing w:line="360" w:lineRule="exact"/>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（本保函失效后，请将原件退回我方注销）</w:t>
      </w:r>
    </w:p>
    <w:p>
      <w:pPr>
        <w:adjustRightInd w:val="0"/>
        <w:snapToGrid w:val="0"/>
        <w:spacing w:line="360" w:lineRule="exact"/>
        <w:rPr>
          <w:rFonts w:hint="eastAsia" w:ascii="宋体" w:hAnsi="宋体" w:eastAsia="宋体" w:cs="宋体"/>
          <w:color w:val="auto"/>
          <w:sz w:val="20"/>
          <w:szCs w:val="20"/>
          <w:highlight w:val="none"/>
        </w:rPr>
      </w:pPr>
    </w:p>
    <w:p>
      <w:pPr>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注：如果投标人不采用以上投标保函格式，拟采用的投标保函格式须经招标人确认。</w:t>
      </w:r>
    </w:p>
    <w:p>
      <w:pPr>
        <w:pStyle w:val="6"/>
        <w:rPr>
          <w:rFonts w:hint="default"/>
          <w:color w:val="auto"/>
          <w:highlight w:val="none"/>
          <w:lang w:val="en-US" w:eastAsia="zh-CN"/>
        </w:rPr>
      </w:pPr>
    </w:p>
    <w:sectPr>
      <w:headerReference r:id="rId6" w:type="default"/>
      <w:footerReference r:id="rId7" w:type="default"/>
      <w:pgSz w:w="11906" w:h="16838"/>
      <w:pgMar w:top="1440" w:right="1531"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f/PgG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PD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1/8+Ab0BAAB7AwAADgAAAAAAAAABACAAAAAfAQAAZHJzL2Uyb0RvYy54bWxQSwUGAAAA&#10;AAYABgBZAQAATg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rFonts w:hint="eastAsia"/>
      </w:rPr>
      <w:t>第5篇 合同条件第Ⅱ部分——合同通用条款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multilevel"/>
    <w:tmpl w:val="0000000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6924DB"/>
    <w:multiLevelType w:val="singleLevel"/>
    <w:tmpl w:val="0B6924DB"/>
    <w:lvl w:ilvl="0" w:tentative="0">
      <w:start w:val="1"/>
      <w:numFmt w:val="decimal"/>
      <w:suff w:val="nothing"/>
      <w:lvlText w:val="%1）"/>
      <w:lvlJc w:val="left"/>
    </w:lvl>
  </w:abstractNum>
  <w:abstractNum w:abstractNumId="3">
    <w:nsid w:val="1EBBF1D7"/>
    <w:multiLevelType w:val="singleLevel"/>
    <w:tmpl w:val="1EBBF1D7"/>
    <w:lvl w:ilvl="0" w:tentative="0">
      <w:start w:val="1"/>
      <w:numFmt w:val="chineseCounting"/>
      <w:suff w:val="nothing"/>
      <w:lvlText w:val="%1、"/>
      <w:lvlJc w:val="left"/>
      <w:rPr>
        <w:rFonts w:hint="eastAsia"/>
      </w:rPr>
    </w:lvl>
  </w:abstractNum>
  <w:abstractNum w:abstractNumId="4">
    <w:nsid w:val="44F94F80"/>
    <w:multiLevelType w:val="singleLevel"/>
    <w:tmpl w:val="44F94F80"/>
    <w:lvl w:ilvl="0" w:tentative="0">
      <w:start w:val="3"/>
      <w:numFmt w:val="decimal"/>
      <w:suff w:val="nothing"/>
      <w:lvlText w:val="%1、"/>
      <w:lvlJc w:val="left"/>
      <w:rPr>
        <w:rFonts w:hint="default"/>
        <w:b w:val="0"/>
        <w:color w:val="auto"/>
      </w:rPr>
    </w:lvl>
  </w:abstractNum>
  <w:abstractNum w:abstractNumId="5">
    <w:nsid w:val="47F66D3C"/>
    <w:multiLevelType w:val="multilevel"/>
    <w:tmpl w:val="47F66D3C"/>
    <w:lvl w:ilvl="0" w:tentative="0">
      <w:start w:val="3"/>
      <w:numFmt w:val="decimal"/>
      <w:lvlText w:val="%1"/>
      <w:lvlJc w:val="left"/>
      <w:pPr>
        <w:ind w:left="465" w:hanging="465"/>
      </w:pPr>
      <w:rPr>
        <w:rFonts w:hint="default"/>
      </w:rPr>
    </w:lvl>
    <w:lvl w:ilvl="1" w:tentative="0">
      <w:start w:val="7"/>
      <w:numFmt w:val="decimal"/>
      <w:lvlText w:val="%1.%2"/>
      <w:lvlJc w:val="left"/>
      <w:pPr>
        <w:ind w:left="1282" w:hanging="720"/>
      </w:pPr>
      <w:rPr>
        <w:rFonts w:hint="default"/>
      </w:rPr>
    </w:lvl>
    <w:lvl w:ilvl="2" w:tentative="0">
      <w:start w:val="1"/>
      <w:numFmt w:val="decimal"/>
      <w:lvlText w:val="%1.%2.%3"/>
      <w:lvlJc w:val="left"/>
      <w:pPr>
        <w:ind w:left="1844" w:hanging="72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250" w:hanging="144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6656" w:hanging="2160"/>
      </w:pPr>
      <w:rPr>
        <w:rFonts w:hint="default"/>
      </w:rPr>
    </w:lvl>
  </w:abstractNum>
  <w:abstractNum w:abstractNumId="6">
    <w:nsid w:val="49E17758"/>
    <w:multiLevelType w:val="multilevel"/>
    <w:tmpl w:val="49E17758"/>
    <w:lvl w:ilvl="0" w:tentative="0">
      <w:start w:val="3"/>
      <w:numFmt w:val="decimal"/>
      <w:lvlText w:val="%1"/>
      <w:lvlJc w:val="left"/>
      <w:pPr>
        <w:ind w:left="465" w:hanging="465"/>
      </w:pPr>
      <w:rPr>
        <w:rFonts w:hint="default"/>
      </w:rPr>
    </w:lvl>
    <w:lvl w:ilvl="1" w:tentative="0">
      <w:start w:val="5"/>
      <w:numFmt w:val="decimal"/>
      <w:lvlText w:val="%1.%2"/>
      <w:lvlJc w:val="left"/>
      <w:pPr>
        <w:ind w:left="1282" w:hanging="720"/>
      </w:pPr>
      <w:rPr>
        <w:rFonts w:hint="default"/>
      </w:rPr>
    </w:lvl>
    <w:lvl w:ilvl="2" w:tentative="0">
      <w:start w:val="1"/>
      <w:numFmt w:val="decimal"/>
      <w:lvlText w:val="%1.%2.%3"/>
      <w:lvlJc w:val="left"/>
      <w:pPr>
        <w:ind w:left="1844" w:hanging="720"/>
      </w:pPr>
      <w:rPr>
        <w:rFonts w:hint="default"/>
      </w:rPr>
    </w:lvl>
    <w:lvl w:ilvl="3" w:tentative="0">
      <w:start w:val="1"/>
      <w:numFmt w:val="decimal"/>
      <w:lvlText w:val="%1.%2.%3.%4"/>
      <w:lvlJc w:val="left"/>
      <w:pPr>
        <w:ind w:left="2766" w:hanging="1080"/>
      </w:pPr>
      <w:rPr>
        <w:rFonts w:hint="default"/>
      </w:rPr>
    </w:lvl>
    <w:lvl w:ilvl="4" w:tentative="0">
      <w:start w:val="1"/>
      <w:numFmt w:val="decimal"/>
      <w:lvlText w:val="%1.%2.%3.%4.%5"/>
      <w:lvlJc w:val="left"/>
      <w:pPr>
        <w:ind w:left="3688" w:hanging="1440"/>
      </w:pPr>
      <w:rPr>
        <w:rFonts w:hint="default"/>
      </w:rPr>
    </w:lvl>
    <w:lvl w:ilvl="5" w:tentative="0">
      <w:start w:val="1"/>
      <w:numFmt w:val="decimal"/>
      <w:lvlText w:val="%1.%2.%3.%4.%5.%6"/>
      <w:lvlJc w:val="left"/>
      <w:pPr>
        <w:ind w:left="4250" w:hanging="1440"/>
      </w:pPr>
      <w:rPr>
        <w:rFonts w:hint="default"/>
      </w:rPr>
    </w:lvl>
    <w:lvl w:ilvl="6" w:tentative="0">
      <w:start w:val="1"/>
      <w:numFmt w:val="decimal"/>
      <w:lvlText w:val="%1.%2.%3.%4.%5.%6.%7"/>
      <w:lvlJc w:val="left"/>
      <w:pPr>
        <w:ind w:left="5172" w:hanging="1800"/>
      </w:pPr>
      <w:rPr>
        <w:rFonts w:hint="default"/>
      </w:rPr>
    </w:lvl>
    <w:lvl w:ilvl="7" w:tentative="0">
      <w:start w:val="1"/>
      <w:numFmt w:val="decimal"/>
      <w:lvlText w:val="%1.%2.%3.%4.%5.%6.%7.%8"/>
      <w:lvlJc w:val="left"/>
      <w:pPr>
        <w:ind w:left="6094" w:hanging="2160"/>
      </w:pPr>
      <w:rPr>
        <w:rFonts w:hint="default"/>
      </w:rPr>
    </w:lvl>
    <w:lvl w:ilvl="8" w:tentative="0">
      <w:start w:val="1"/>
      <w:numFmt w:val="decimal"/>
      <w:lvlText w:val="%1.%2.%3.%4.%5.%6.%7.%8.%9"/>
      <w:lvlJc w:val="left"/>
      <w:pPr>
        <w:ind w:left="6656" w:hanging="2160"/>
      </w:pPr>
      <w:rPr>
        <w:rFonts w:hint="default"/>
      </w:rPr>
    </w:lvl>
  </w:abstractNum>
  <w:abstractNum w:abstractNumId="7">
    <w:nsid w:val="592FDE57"/>
    <w:multiLevelType w:val="singleLevel"/>
    <w:tmpl w:val="592FDE57"/>
    <w:lvl w:ilvl="0" w:tentative="0">
      <w:start w:val="1"/>
      <w:numFmt w:val="lowerLetter"/>
      <w:suff w:val="nothing"/>
      <w:lvlText w:val="(%1)"/>
      <w:lvlJc w:val="left"/>
    </w:lvl>
  </w:abstractNum>
  <w:abstractNum w:abstractNumId="8">
    <w:nsid w:val="59361BFF"/>
    <w:multiLevelType w:val="singleLevel"/>
    <w:tmpl w:val="59361BFF"/>
    <w:lvl w:ilvl="0" w:tentative="0">
      <w:start w:val="1"/>
      <w:numFmt w:val="lowerLetter"/>
      <w:suff w:val="nothing"/>
      <w:lvlText w:val="（%1）"/>
      <w:lvlJc w:val="left"/>
      <w:pPr>
        <w:ind w:left="0" w:firstLine="0"/>
      </w:pPr>
      <w:rPr>
        <w:lang w:val="en-US"/>
      </w:rPr>
    </w:lvl>
  </w:abstractNum>
  <w:abstractNum w:abstractNumId="9">
    <w:nsid w:val="5A14084E"/>
    <w:multiLevelType w:val="singleLevel"/>
    <w:tmpl w:val="5A14084E"/>
    <w:lvl w:ilvl="0" w:tentative="0">
      <w:start w:val="1"/>
      <w:numFmt w:val="lowerLetter"/>
      <w:lvlText w:val="(%1)"/>
      <w:lvlJc w:val="left"/>
      <w:pPr>
        <w:tabs>
          <w:tab w:val="left" w:pos="312"/>
        </w:tabs>
      </w:pPr>
    </w:lvl>
  </w:abstractNum>
  <w:abstractNum w:abstractNumId="10">
    <w:nsid w:val="75F461B2"/>
    <w:multiLevelType w:val="multilevel"/>
    <w:tmpl w:val="75F461B2"/>
    <w:lvl w:ilvl="0" w:tentative="0">
      <w:start w:val="2"/>
      <w:numFmt w:val="upperLetter"/>
      <w:pStyle w:val="3"/>
      <w:lvlText w:val="%1."/>
      <w:lvlJc w:val="left"/>
      <w:pPr>
        <w:tabs>
          <w:tab w:val="left" w:pos="360"/>
        </w:tabs>
        <w:ind w:left="360" w:hanging="360"/>
      </w:pPr>
      <w:rPr>
        <w:rFonts w:hint="eastAsia"/>
      </w:rPr>
    </w:lvl>
    <w:lvl w:ilvl="1" w:tentative="0">
      <w:start w:val="25"/>
      <w:numFmt w:val="decimal"/>
      <w:lvlText w:val="%2、"/>
      <w:lvlJc w:val="left"/>
      <w:pPr>
        <w:tabs>
          <w:tab w:val="left" w:pos="840"/>
        </w:tabs>
        <w:ind w:left="840" w:hanging="420"/>
      </w:pPr>
      <w:rPr>
        <w:rFonts w:hint="eastAsia"/>
      </w:rPr>
    </w:lvl>
    <w:lvl w:ilvl="2" w:tentative="0">
      <w:start w:val="3"/>
      <w:numFmt w:val="japaneseCounting"/>
      <w:lvlText w:val="%3、"/>
      <w:lvlJc w:val="left"/>
      <w:pPr>
        <w:tabs>
          <w:tab w:val="left" w:pos="1260"/>
        </w:tabs>
        <w:ind w:left="1260" w:hanging="420"/>
      </w:pPr>
      <w:rPr>
        <w:rFonts w:hint="eastAsia"/>
      </w:rPr>
    </w:lvl>
    <w:lvl w:ilvl="3" w:tentative="0">
      <w:start w:val="1"/>
      <w:numFmt w:val="decimal"/>
      <w:lvlText w:val="（%4）"/>
      <w:lvlJc w:val="left"/>
      <w:pPr>
        <w:tabs>
          <w:tab w:val="left" w:pos="1980"/>
        </w:tabs>
        <w:ind w:left="1980" w:hanging="72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0"/>
  </w:num>
  <w:num w:numId="2">
    <w:abstractNumId w:val="2"/>
  </w:num>
  <w:num w:numId="3">
    <w:abstractNumId w:val="1"/>
    <w:lvlOverride w:ilvl="0">
      <w:lvl w:ilvl="0" w:tentative="1">
        <w:start w:val="1"/>
        <w:numFmt w:val="decimal"/>
        <w:suff w:val="space"/>
        <w:lvlText w:val="%1、"/>
        <w:lvlJc w:val="left"/>
        <w:pPr>
          <w:ind w:left="283" w:firstLine="0"/>
        </w:pPr>
        <w:rPr>
          <w:rFonts w:hint="eastAsia"/>
        </w:rPr>
      </w:lvl>
    </w:lvlOverride>
    <w:lvlOverride w:ilvl="1">
      <w:lvl w:ilvl="1" w:tentative="1">
        <w:start w:val="1"/>
        <w:numFmt w:val="lowerLetter"/>
        <w:lvlText w:val="%2)"/>
        <w:lvlJc w:val="left"/>
        <w:pPr>
          <w:ind w:left="840" w:hanging="420"/>
        </w:pPr>
      </w:lvl>
    </w:lvlOverride>
    <w:lvlOverride w:ilvl="2">
      <w:lvl w:ilvl="2" w:tentative="1">
        <w:start w:val="1"/>
        <w:numFmt w:val="lowerRoman"/>
        <w:lvlText w:val="%3."/>
        <w:lvlJc w:val="righ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lowerLetter"/>
        <w:lvlText w:val="%5)"/>
        <w:lvlJc w:val="left"/>
        <w:pPr>
          <w:ind w:left="2100" w:hanging="420"/>
        </w:pPr>
      </w:lvl>
    </w:lvlOverride>
    <w:lvlOverride w:ilvl="5">
      <w:lvl w:ilvl="5" w:tentative="1">
        <w:start w:val="1"/>
        <w:numFmt w:val="lowerRoman"/>
        <w:lvlText w:val="%6."/>
        <w:lvlJc w:val="righ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lowerLetter"/>
        <w:lvlText w:val="%8)"/>
        <w:lvlJc w:val="left"/>
        <w:pPr>
          <w:ind w:left="3360" w:hanging="420"/>
        </w:pPr>
      </w:lvl>
    </w:lvlOverride>
    <w:lvlOverride w:ilvl="8">
      <w:lvl w:ilvl="8" w:tentative="1">
        <w:start w:val="1"/>
        <w:numFmt w:val="lowerRoman"/>
        <w:lvlText w:val="%9."/>
        <w:lvlJc w:val="right"/>
        <w:pPr>
          <w:ind w:left="3780" w:hanging="420"/>
        </w:pPr>
      </w:lvl>
    </w:lvlOverride>
  </w:num>
  <w:num w:numId="4">
    <w:abstractNumId w:val="0"/>
    <w:lvlOverride w:ilvl="0">
      <w:startOverride w:val="1"/>
    </w:lvlOverride>
  </w:num>
  <w:num w:numId="5">
    <w:abstractNumId w:val="4"/>
    <w:lvlOverride w:ilvl="0">
      <w:startOverride w:val="3"/>
    </w:lvlOverride>
  </w:num>
  <w:num w:numId="6">
    <w:abstractNumId w:val="3"/>
  </w:num>
  <w:num w:numId="7">
    <w:abstractNumId w:val="7"/>
  </w:num>
  <w:num w:numId="8">
    <w:abstractNumId w:val="9"/>
  </w:num>
  <w:num w:numId="9">
    <w:abstractNumId w:val="6"/>
  </w:num>
  <w:num w:numId="10">
    <w:abstractNumId w:val="5"/>
  </w:num>
  <w:num w:numId="11">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ZjYxNDdhMTc2ODBlYTZjNzZhMTc4NjhhYWIwY2MifQ=="/>
  </w:docVars>
  <w:rsids>
    <w:rsidRoot w:val="00000000"/>
    <w:rsid w:val="040556DD"/>
    <w:rsid w:val="05BB52AA"/>
    <w:rsid w:val="0A741504"/>
    <w:rsid w:val="1037721F"/>
    <w:rsid w:val="139E3317"/>
    <w:rsid w:val="15A84292"/>
    <w:rsid w:val="16CD3E5B"/>
    <w:rsid w:val="17B668AA"/>
    <w:rsid w:val="184A6382"/>
    <w:rsid w:val="1A0559A6"/>
    <w:rsid w:val="1B9378D8"/>
    <w:rsid w:val="1BD75D63"/>
    <w:rsid w:val="23643D10"/>
    <w:rsid w:val="23B95E70"/>
    <w:rsid w:val="248B1104"/>
    <w:rsid w:val="273717F2"/>
    <w:rsid w:val="2A6D56DE"/>
    <w:rsid w:val="2CF81645"/>
    <w:rsid w:val="2D8816EF"/>
    <w:rsid w:val="2DFF259E"/>
    <w:rsid w:val="2F3B228F"/>
    <w:rsid w:val="2FD86346"/>
    <w:rsid w:val="306F40B0"/>
    <w:rsid w:val="315E3921"/>
    <w:rsid w:val="3178648F"/>
    <w:rsid w:val="344053B6"/>
    <w:rsid w:val="397B3F02"/>
    <w:rsid w:val="3D9C190A"/>
    <w:rsid w:val="428B453C"/>
    <w:rsid w:val="440A305C"/>
    <w:rsid w:val="4CC07CD4"/>
    <w:rsid w:val="53834143"/>
    <w:rsid w:val="558A0441"/>
    <w:rsid w:val="5F916387"/>
    <w:rsid w:val="60AA3419"/>
    <w:rsid w:val="688F22C8"/>
    <w:rsid w:val="70A973BF"/>
    <w:rsid w:val="71894562"/>
    <w:rsid w:val="71C31235"/>
    <w:rsid w:val="72AB5F51"/>
    <w:rsid w:val="76502472"/>
    <w:rsid w:val="789E3638"/>
    <w:rsid w:val="79077C59"/>
    <w:rsid w:val="7A7A0556"/>
    <w:rsid w:val="7D4B7AA7"/>
    <w:rsid w:val="7D78420A"/>
    <w:rsid w:val="7D963034"/>
    <w:rsid w:val="7F6E0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spacing w:line="360" w:lineRule="auto"/>
      <w:jc w:val="center"/>
      <w:outlineLvl w:val="0"/>
    </w:pPr>
    <w:rPr>
      <w:rFonts w:ascii="黑体" w:hAnsi="Times New Roman" w:eastAsia="黑体" w:cs="Times New Roman"/>
      <w:b/>
      <w:sz w:val="32"/>
      <w:szCs w:val="20"/>
      <w:lang w:val="zh-CN"/>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toc 2"/>
    <w:basedOn w:val="1"/>
    <w:next w:val="1"/>
    <w:unhideWhenUsed/>
    <w:qFormat/>
    <w:uiPriority w:val="39"/>
    <w:pPr>
      <w:ind w:left="210"/>
      <w:jc w:val="left"/>
    </w:pPr>
    <w:rPr>
      <w:rFonts w:ascii="Calibri" w:hAnsi="Calibri" w:cs="Calibri"/>
      <w:smallCaps/>
      <w:sz w:val="20"/>
      <w:szCs w:val="20"/>
    </w:rPr>
  </w:style>
  <w:style w:type="paragraph" w:styleId="5">
    <w:name w:val="Normal Indent"/>
    <w:basedOn w:val="1"/>
    <w:qFormat/>
    <w:uiPriority w:val="0"/>
    <w:pPr>
      <w:ind w:firstLine="420"/>
    </w:pPr>
    <w:rPr>
      <w:rFonts w:ascii="Times New Roman" w:hAnsi="Times New Roman" w:cs="Times New Roman"/>
      <w:szCs w:val="20"/>
    </w:rPr>
  </w:style>
  <w:style w:type="paragraph" w:styleId="6">
    <w:name w:val="Body Text"/>
    <w:basedOn w:val="1"/>
    <w:qFormat/>
    <w:uiPriority w:val="0"/>
    <w:rPr>
      <w:rFonts w:ascii="宋体" w:hAnsi="宋体" w:cs="Times New Roman"/>
      <w:kern w:val="0"/>
      <w:sz w:val="28"/>
    </w:rPr>
  </w:style>
  <w:style w:type="paragraph" w:styleId="7">
    <w:name w:val="Body Text Indent"/>
    <w:basedOn w:val="1"/>
    <w:unhideWhenUsed/>
    <w:qFormat/>
    <w:uiPriority w:val="99"/>
    <w:pPr>
      <w:spacing w:after="120"/>
      <w:ind w:left="420" w:leftChars="200"/>
    </w:pPr>
    <w:rPr>
      <w:kern w:val="0"/>
      <w:sz w:val="20"/>
      <w:szCs w:val="20"/>
    </w:rPr>
  </w:style>
  <w:style w:type="paragraph" w:styleId="8">
    <w:name w:val="toc 5"/>
    <w:basedOn w:val="1"/>
    <w:next w:val="1"/>
    <w:unhideWhenUsed/>
    <w:qFormat/>
    <w:uiPriority w:val="39"/>
    <w:pPr>
      <w:ind w:left="840"/>
      <w:jc w:val="left"/>
    </w:pPr>
    <w:rPr>
      <w:rFonts w:ascii="Calibri" w:hAnsi="Calibri" w:cs="Calibri"/>
      <w:sz w:val="18"/>
      <w:szCs w:val="18"/>
    </w:rPr>
  </w:style>
  <w:style w:type="paragraph" w:styleId="9">
    <w:name w:val="toc 3"/>
    <w:basedOn w:val="1"/>
    <w:next w:val="1"/>
    <w:unhideWhenUsed/>
    <w:qFormat/>
    <w:uiPriority w:val="39"/>
    <w:pPr>
      <w:ind w:left="420"/>
      <w:jc w:val="left"/>
    </w:pPr>
    <w:rPr>
      <w:rFonts w:ascii="Calibri" w:hAnsi="Calibri" w:cs="Calibri"/>
      <w:i/>
      <w:iCs/>
      <w:sz w:val="20"/>
      <w:szCs w:val="20"/>
    </w:rPr>
  </w:style>
  <w:style w:type="paragraph" w:styleId="10">
    <w:name w:val="Plain Text"/>
    <w:basedOn w:val="1"/>
    <w:qFormat/>
    <w:uiPriority w:val="0"/>
    <w:rPr>
      <w:rFonts w:ascii="宋体" w:hAnsi="Courier New"/>
      <w:kern w:val="0"/>
      <w:sz w:val="20"/>
      <w:szCs w:val="21"/>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spacing w:before="120" w:after="120"/>
      <w:jc w:val="left"/>
    </w:pPr>
    <w:rPr>
      <w:rFonts w:cs="Times New Roman"/>
      <w:b/>
      <w:bCs/>
      <w:caps/>
      <w:sz w:val="28"/>
      <w:szCs w:val="20"/>
    </w:rPr>
  </w:style>
  <w:style w:type="paragraph" w:styleId="14">
    <w:name w:val="toc 4"/>
    <w:basedOn w:val="1"/>
    <w:next w:val="1"/>
    <w:unhideWhenUsed/>
    <w:qFormat/>
    <w:uiPriority w:val="39"/>
    <w:pPr>
      <w:ind w:left="630"/>
      <w:jc w:val="left"/>
    </w:pPr>
    <w:rPr>
      <w:rFonts w:ascii="Calibri" w:hAnsi="Calibri" w:cs="Calibri"/>
      <w:sz w:val="18"/>
      <w:szCs w:val="18"/>
    </w:rPr>
  </w:style>
  <w:style w:type="character" w:styleId="17">
    <w:name w:val="Hyperlink"/>
    <w:basedOn w:val="16"/>
    <w:qFormat/>
    <w:uiPriority w:val="99"/>
    <w:rPr>
      <w:color w:val="000000"/>
      <w:u w:val="none"/>
    </w:rPr>
  </w:style>
  <w:style w:type="paragraph" w:customStyle="1" w:styleId="18">
    <w:name w:val="样式 样式 正文缩进 + 首行缩进:  2 字符 + 首行缩进:  2 字符"/>
    <w:basedOn w:val="1"/>
    <w:qFormat/>
    <w:uiPriority w:val="0"/>
    <w:pPr>
      <w:adjustRightInd w:val="0"/>
      <w:ind w:firstLine="200"/>
      <w:textAlignment w:val="baseline"/>
    </w:pPr>
    <w:rPr>
      <w:rFonts w:cs="宋体"/>
      <w:sz w:val="28"/>
    </w:rPr>
  </w:style>
  <w:style w:type="paragraph" w:styleId="19">
    <w:name w:val="List Paragraph"/>
    <w:basedOn w:val="1"/>
    <w:qFormat/>
    <w:uiPriority w:val="0"/>
    <w:pPr>
      <w:ind w:firstLine="420" w:firstLineChars="200"/>
      <w:jc w:val="left"/>
    </w:pPr>
    <w:rPr>
      <w:rFonts w:eastAsia="PMingLiU"/>
      <w:sz w:val="24"/>
      <w:lang w:eastAsia="zh-TW"/>
    </w:rPr>
  </w:style>
</w:styles>
</file>

<file path=word/_rels/document.xml.rels><?xml version="1.0" encoding="UTF-8" standalone="yes"?>
<Relationships xmlns="http://schemas.openxmlformats.org/package/2006/relationships"><Relationship Id="rId99" Type="http://schemas.openxmlformats.org/officeDocument/2006/relationships/control" Target="activeX/activeX69.xml"/><Relationship Id="rId98" Type="http://schemas.openxmlformats.org/officeDocument/2006/relationships/control" Target="activeX/activeX68.xml"/><Relationship Id="rId97" Type="http://schemas.openxmlformats.org/officeDocument/2006/relationships/control" Target="activeX/activeX67.xml"/><Relationship Id="rId96" Type="http://schemas.openxmlformats.org/officeDocument/2006/relationships/control" Target="activeX/activeX66.xml"/><Relationship Id="rId95" Type="http://schemas.openxmlformats.org/officeDocument/2006/relationships/control" Target="activeX/activeX65.xml"/><Relationship Id="rId94" Type="http://schemas.openxmlformats.org/officeDocument/2006/relationships/control" Target="activeX/activeX64.xml"/><Relationship Id="rId93" Type="http://schemas.openxmlformats.org/officeDocument/2006/relationships/control" Target="activeX/activeX63.xml"/><Relationship Id="rId92" Type="http://schemas.openxmlformats.org/officeDocument/2006/relationships/control" Target="activeX/activeX62.xml"/><Relationship Id="rId91" Type="http://schemas.openxmlformats.org/officeDocument/2006/relationships/control" Target="activeX/activeX61.xml"/><Relationship Id="rId90" Type="http://schemas.openxmlformats.org/officeDocument/2006/relationships/control" Target="activeX/activeX60.xml"/><Relationship Id="rId9" Type="http://schemas.openxmlformats.org/officeDocument/2006/relationships/image" Target="media/image1.png"/><Relationship Id="rId89" Type="http://schemas.openxmlformats.org/officeDocument/2006/relationships/control" Target="activeX/activeX59.xml"/><Relationship Id="rId88" Type="http://schemas.openxmlformats.org/officeDocument/2006/relationships/control" Target="activeX/activeX58.xml"/><Relationship Id="rId87" Type="http://schemas.openxmlformats.org/officeDocument/2006/relationships/control" Target="activeX/activeX57.xml"/><Relationship Id="rId86" Type="http://schemas.openxmlformats.org/officeDocument/2006/relationships/control" Target="activeX/activeX56.xml"/><Relationship Id="rId85" Type="http://schemas.openxmlformats.org/officeDocument/2006/relationships/control" Target="activeX/activeX55.xml"/><Relationship Id="rId84" Type="http://schemas.openxmlformats.org/officeDocument/2006/relationships/control" Target="activeX/activeX54.xml"/><Relationship Id="rId83" Type="http://schemas.openxmlformats.org/officeDocument/2006/relationships/control" Target="activeX/activeX53.xml"/><Relationship Id="rId82" Type="http://schemas.openxmlformats.org/officeDocument/2006/relationships/control" Target="activeX/activeX52.xml"/><Relationship Id="rId81" Type="http://schemas.openxmlformats.org/officeDocument/2006/relationships/control" Target="activeX/activeX51.xml"/><Relationship Id="rId80" Type="http://schemas.openxmlformats.org/officeDocument/2006/relationships/control" Target="activeX/activeX50.xml"/><Relationship Id="rId8" Type="http://schemas.openxmlformats.org/officeDocument/2006/relationships/theme" Target="theme/theme1.xml"/><Relationship Id="rId79" Type="http://schemas.openxmlformats.org/officeDocument/2006/relationships/control" Target="activeX/activeX49.xml"/><Relationship Id="rId78" Type="http://schemas.openxmlformats.org/officeDocument/2006/relationships/control" Target="activeX/activeX48.xml"/><Relationship Id="rId77" Type="http://schemas.openxmlformats.org/officeDocument/2006/relationships/control" Target="activeX/activeX47.xml"/><Relationship Id="rId76" Type="http://schemas.openxmlformats.org/officeDocument/2006/relationships/control" Target="activeX/activeX46.xml"/><Relationship Id="rId75" Type="http://schemas.openxmlformats.org/officeDocument/2006/relationships/control" Target="activeX/activeX45.xml"/><Relationship Id="rId74" Type="http://schemas.openxmlformats.org/officeDocument/2006/relationships/control" Target="activeX/activeX44.xml"/><Relationship Id="rId73" Type="http://schemas.openxmlformats.org/officeDocument/2006/relationships/control" Target="activeX/activeX43.xml"/><Relationship Id="rId72" Type="http://schemas.openxmlformats.org/officeDocument/2006/relationships/control" Target="activeX/activeX42.xml"/><Relationship Id="rId71" Type="http://schemas.openxmlformats.org/officeDocument/2006/relationships/control" Target="activeX/activeX41.xml"/><Relationship Id="rId70" Type="http://schemas.openxmlformats.org/officeDocument/2006/relationships/control" Target="activeX/activeX40.xml"/><Relationship Id="rId7" Type="http://schemas.openxmlformats.org/officeDocument/2006/relationships/footer" Target="footer2.xml"/><Relationship Id="rId69" Type="http://schemas.openxmlformats.org/officeDocument/2006/relationships/control" Target="activeX/activeX39.xml"/><Relationship Id="rId68" Type="http://schemas.openxmlformats.org/officeDocument/2006/relationships/control" Target="activeX/activeX38.xml"/><Relationship Id="rId67" Type="http://schemas.openxmlformats.org/officeDocument/2006/relationships/control" Target="activeX/activeX37.xml"/><Relationship Id="rId66" Type="http://schemas.openxmlformats.org/officeDocument/2006/relationships/control" Target="activeX/activeX36.xml"/><Relationship Id="rId65" Type="http://schemas.openxmlformats.org/officeDocument/2006/relationships/control" Target="activeX/activeX35.xml"/><Relationship Id="rId64" Type="http://schemas.openxmlformats.org/officeDocument/2006/relationships/control" Target="activeX/activeX34.xml"/><Relationship Id="rId63" Type="http://schemas.openxmlformats.org/officeDocument/2006/relationships/control" Target="activeX/activeX33.xml"/><Relationship Id="rId62" Type="http://schemas.openxmlformats.org/officeDocument/2006/relationships/control" Target="activeX/activeX32.xml"/><Relationship Id="rId61" Type="http://schemas.openxmlformats.org/officeDocument/2006/relationships/control" Target="activeX/activeX31.xml"/><Relationship Id="rId60" Type="http://schemas.openxmlformats.org/officeDocument/2006/relationships/control" Target="activeX/activeX30.xml"/><Relationship Id="rId6" Type="http://schemas.openxmlformats.org/officeDocument/2006/relationships/header" Target="header3.xml"/><Relationship Id="rId59" Type="http://schemas.openxmlformats.org/officeDocument/2006/relationships/control" Target="activeX/activeX29.xml"/><Relationship Id="rId58" Type="http://schemas.openxmlformats.org/officeDocument/2006/relationships/control" Target="activeX/activeX28.xml"/><Relationship Id="rId57" Type="http://schemas.openxmlformats.org/officeDocument/2006/relationships/control" Target="activeX/activeX27.xml"/><Relationship Id="rId56" Type="http://schemas.openxmlformats.org/officeDocument/2006/relationships/control" Target="activeX/activeX26.xml"/><Relationship Id="rId55" Type="http://schemas.openxmlformats.org/officeDocument/2006/relationships/control" Target="activeX/activeX25.xml"/><Relationship Id="rId54" Type="http://schemas.openxmlformats.org/officeDocument/2006/relationships/control" Target="activeX/activeX24.xml"/><Relationship Id="rId53" Type="http://schemas.openxmlformats.org/officeDocument/2006/relationships/image" Target="media/image22.wmf"/><Relationship Id="rId52" Type="http://schemas.openxmlformats.org/officeDocument/2006/relationships/control" Target="activeX/activeX23.xml"/><Relationship Id="rId51" Type="http://schemas.openxmlformats.org/officeDocument/2006/relationships/image" Target="media/image21.wmf"/><Relationship Id="rId50" Type="http://schemas.openxmlformats.org/officeDocument/2006/relationships/control" Target="activeX/activeX22.xml"/><Relationship Id="rId5" Type="http://schemas.openxmlformats.org/officeDocument/2006/relationships/footer" Target="footer1.xml"/><Relationship Id="rId49" Type="http://schemas.openxmlformats.org/officeDocument/2006/relationships/image" Target="media/image20.wmf"/><Relationship Id="rId48" Type="http://schemas.openxmlformats.org/officeDocument/2006/relationships/control" Target="activeX/activeX21.xml"/><Relationship Id="rId47" Type="http://schemas.openxmlformats.org/officeDocument/2006/relationships/image" Target="media/image19.wmf"/><Relationship Id="rId46" Type="http://schemas.openxmlformats.org/officeDocument/2006/relationships/control" Target="activeX/activeX20.xml"/><Relationship Id="rId45" Type="http://schemas.openxmlformats.org/officeDocument/2006/relationships/image" Target="media/image18.wmf"/><Relationship Id="rId44" Type="http://schemas.openxmlformats.org/officeDocument/2006/relationships/control" Target="activeX/activeX19.xml"/><Relationship Id="rId43" Type="http://schemas.openxmlformats.org/officeDocument/2006/relationships/image" Target="media/image17.wmf"/><Relationship Id="rId42" Type="http://schemas.openxmlformats.org/officeDocument/2006/relationships/control" Target="activeX/activeX18.xml"/><Relationship Id="rId41" Type="http://schemas.openxmlformats.org/officeDocument/2006/relationships/image" Target="media/image16.wmf"/><Relationship Id="rId40" Type="http://schemas.openxmlformats.org/officeDocument/2006/relationships/control" Target="activeX/activeX17.xml"/><Relationship Id="rId4" Type="http://schemas.openxmlformats.org/officeDocument/2006/relationships/header" Target="header2.xml"/><Relationship Id="rId39" Type="http://schemas.openxmlformats.org/officeDocument/2006/relationships/control" Target="activeX/activeX16.xml"/><Relationship Id="rId38" Type="http://schemas.openxmlformats.org/officeDocument/2006/relationships/control" Target="activeX/activeX15.xml"/><Relationship Id="rId37" Type="http://schemas.openxmlformats.org/officeDocument/2006/relationships/image" Target="media/image15.wmf"/><Relationship Id="rId36" Type="http://schemas.openxmlformats.org/officeDocument/2006/relationships/control" Target="activeX/activeX14.xml"/><Relationship Id="rId35" Type="http://schemas.openxmlformats.org/officeDocument/2006/relationships/image" Target="media/image14.jpeg"/><Relationship Id="rId34" Type="http://schemas.openxmlformats.org/officeDocument/2006/relationships/image" Target="media/image13.jpeg"/><Relationship Id="rId33" Type="http://schemas.openxmlformats.org/officeDocument/2006/relationships/image" Target="media/image12.jpeg"/><Relationship Id="rId32" Type="http://schemas.openxmlformats.org/officeDocument/2006/relationships/image" Target="media/image11.wmf"/><Relationship Id="rId31" Type="http://schemas.openxmlformats.org/officeDocument/2006/relationships/image" Target="media/image10.wmf"/><Relationship Id="rId30" Type="http://schemas.openxmlformats.org/officeDocument/2006/relationships/control" Target="activeX/activeX13.xml"/><Relationship Id="rId3" Type="http://schemas.openxmlformats.org/officeDocument/2006/relationships/header" Target="header1.xml"/><Relationship Id="rId29" Type="http://schemas.openxmlformats.org/officeDocument/2006/relationships/control" Target="activeX/activeX12.xml"/><Relationship Id="rId28" Type="http://schemas.openxmlformats.org/officeDocument/2006/relationships/image" Target="media/image9.wmf"/><Relationship Id="rId27" Type="http://schemas.openxmlformats.org/officeDocument/2006/relationships/control" Target="activeX/activeX11.xml"/><Relationship Id="rId26" Type="http://schemas.openxmlformats.org/officeDocument/2006/relationships/image" Target="media/image8.wmf"/><Relationship Id="rId25" Type="http://schemas.openxmlformats.org/officeDocument/2006/relationships/control" Target="activeX/activeX10.xml"/><Relationship Id="rId24" Type="http://schemas.openxmlformats.org/officeDocument/2006/relationships/image" Target="media/image7.wmf"/><Relationship Id="rId23" Type="http://schemas.openxmlformats.org/officeDocument/2006/relationships/control" Target="activeX/activeX9.xml"/><Relationship Id="rId22" Type="http://schemas.openxmlformats.org/officeDocument/2006/relationships/image" Target="media/image6.wmf"/><Relationship Id="rId21" Type="http://schemas.openxmlformats.org/officeDocument/2006/relationships/control" Target="activeX/activeX8.xml"/><Relationship Id="rId20" Type="http://schemas.openxmlformats.org/officeDocument/2006/relationships/control" Target="activeX/activeX7.xml"/><Relationship Id="rId2" Type="http://schemas.openxmlformats.org/officeDocument/2006/relationships/settings" Target="settings.xml"/><Relationship Id="rId19" Type="http://schemas.openxmlformats.org/officeDocument/2006/relationships/image" Target="media/image5.wmf"/><Relationship Id="rId18" Type="http://schemas.openxmlformats.org/officeDocument/2006/relationships/control" Target="activeX/activeX6.xml"/><Relationship Id="rId172" Type="http://schemas.openxmlformats.org/officeDocument/2006/relationships/fontTable" Target="fontTable.xml"/><Relationship Id="rId171" Type="http://schemas.openxmlformats.org/officeDocument/2006/relationships/numbering" Target="numbering.xml"/><Relationship Id="rId170" Type="http://schemas.openxmlformats.org/officeDocument/2006/relationships/customXml" Target="../customXml/item1.xml"/><Relationship Id="rId17" Type="http://schemas.openxmlformats.org/officeDocument/2006/relationships/control" Target="activeX/activeX5.xml"/><Relationship Id="rId169" Type="http://schemas.openxmlformats.org/officeDocument/2006/relationships/image" Target="media/image42.wmf"/><Relationship Id="rId168" Type="http://schemas.openxmlformats.org/officeDocument/2006/relationships/control" Target="activeX/activeX119.xml"/><Relationship Id="rId167" Type="http://schemas.openxmlformats.org/officeDocument/2006/relationships/image" Target="media/image41.wmf"/><Relationship Id="rId166" Type="http://schemas.openxmlformats.org/officeDocument/2006/relationships/control" Target="activeX/activeX118.xml"/><Relationship Id="rId165" Type="http://schemas.openxmlformats.org/officeDocument/2006/relationships/control" Target="activeX/activeX117.xml"/><Relationship Id="rId164" Type="http://schemas.openxmlformats.org/officeDocument/2006/relationships/image" Target="media/image40.wmf"/><Relationship Id="rId163" Type="http://schemas.openxmlformats.org/officeDocument/2006/relationships/control" Target="activeX/activeX116.xml"/><Relationship Id="rId162" Type="http://schemas.openxmlformats.org/officeDocument/2006/relationships/image" Target="media/image39.wmf"/><Relationship Id="rId161" Type="http://schemas.openxmlformats.org/officeDocument/2006/relationships/control" Target="activeX/activeX115.xml"/><Relationship Id="rId160" Type="http://schemas.openxmlformats.org/officeDocument/2006/relationships/image" Target="media/image38.wmf"/><Relationship Id="rId16" Type="http://schemas.openxmlformats.org/officeDocument/2006/relationships/image" Target="media/image4.wmf"/><Relationship Id="rId159" Type="http://schemas.openxmlformats.org/officeDocument/2006/relationships/control" Target="activeX/activeX114.xml"/><Relationship Id="rId158" Type="http://schemas.openxmlformats.org/officeDocument/2006/relationships/image" Target="media/image37.wmf"/><Relationship Id="rId157" Type="http://schemas.openxmlformats.org/officeDocument/2006/relationships/control" Target="activeX/activeX113.xml"/><Relationship Id="rId156" Type="http://schemas.openxmlformats.org/officeDocument/2006/relationships/control" Target="activeX/activeX112.xml"/><Relationship Id="rId155" Type="http://schemas.openxmlformats.org/officeDocument/2006/relationships/control" Target="activeX/activeX111.xml"/><Relationship Id="rId154" Type="http://schemas.openxmlformats.org/officeDocument/2006/relationships/control" Target="activeX/activeX110.xml"/><Relationship Id="rId153" Type="http://schemas.openxmlformats.org/officeDocument/2006/relationships/control" Target="activeX/activeX109.xml"/><Relationship Id="rId152" Type="http://schemas.openxmlformats.org/officeDocument/2006/relationships/control" Target="activeX/activeX108.xml"/><Relationship Id="rId151" Type="http://schemas.openxmlformats.org/officeDocument/2006/relationships/control" Target="activeX/activeX107.xml"/><Relationship Id="rId150" Type="http://schemas.openxmlformats.org/officeDocument/2006/relationships/control" Target="activeX/activeX106.xml"/><Relationship Id="rId15" Type="http://schemas.openxmlformats.org/officeDocument/2006/relationships/control" Target="activeX/activeX4.xml"/><Relationship Id="rId149" Type="http://schemas.openxmlformats.org/officeDocument/2006/relationships/control" Target="activeX/activeX105.xml"/><Relationship Id="rId148" Type="http://schemas.openxmlformats.org/officeDocument/2006/relationships/control" Target="activeX/activeX104.xml"/><Relationship Id="rId147" Type="http://schemas.openxmlformats.org/officeDocument/2006/relationships/image" Target="media/image36.wmf"/><Relationship Id="rId146" Type="http://schemas.openxmlformats.org/officeDocument/2006/relationships/control" Target="activeX/activeX103.xml"/><Relationship Id="rId145" Type="http://schemas.openxmlformats.org/officeDocument/2006/relationships/control" Target="activeX/activeX102.xml"/><Relationship Id="rId144" Type="http://schemas.openxmlformats.org/officeDocument/2006/relationships/image" Target="media/image35.png"/><Relationship Id="rId143" Type="http://schemas.openxmlformats.org/officeDocument/2006/relationships/control" Target="activeX/activeX101.xml"/><Relationship Id="rId142" Type="http://schemas.openxmlformats.org/officeDocument/2006/relationships/control" Target="activeX/activeX100.xml"/><Relationship Id="rId141" Type="http://schemas.openxmlformats.org/officeDocument/2006/relationships/control" Target="activeX/activeX99.xml"/><Relationship Id="rId140" Type="http://schemas.openxmlformats.org/officeDocument/2006/relationships/control" Target="activeX/activeX98.xml"/><Relationship Id="rId14" Type="http://schemas.openxmlformats.org/officeDocument/2006/relationships/image" Target="media/image3.wmf"/><Relationship Id="rId139" Type="http://schemas.openxmlformats.org/officeDocument/2006/relationships/control" Target="activeX/activeX97.xml"/><Relationship Id="rId138" Type="http://schemas.openxmlformats.org/officeDocument/2006/relationships/control" Target="activeX/activeX96.xml"/><Relationship Id="rId137" Type="http://schemas.openxmlformats.org/officeDocument/2006/relationships/control" Target="activeX/activeX95.xml"/><Relationship Id="rId136" Type="http://schemas.openxmlformats.org/officeDocument/2006/relationships/control" Target="activeX/activeX94.xml"/><Relationship Id="rId135" Type="http://schemas.openxmlformats.org/officeDocument/2006/relationships/control" Target="activeX/activeX93.xml"/><Relationship Id="rId134" Type="http://schemas.openxmlformats.org/officeDocument/2006/relationships/control" Target="activeX/activeX92.xml"/><Relationship Id="rId133" Type="http://schemas.openxmlformats.org/officeDocument/2006/relationships/control" Target="activeX/activeX91.xml"/><Relationship Id="rId132" Type="http://schemas.openxmlformats.org/officeDocument/2006/relationships/image" Target="media/image34.wmf"/><Relationship Id="rId131" Type="http://schemas.openxmlformats.org/officeDocument/2006/relationships/control" Target="activeX/activeX90.xml"/><Relationship Id="rId130" Type="http://schemas.openxmlformats.org/officeDocument/2006/relationships/image" Target="media/image33.wmf"/><Relationship Id="rId13" Type="http://schemas.openxmlformats.org/officeDocument/2006/relationships/control" Target="activeX/activeX3.xml"/><Relationship Id="rId129" Type="http://schemas.openxmlformats.org/officeDocument/2006/relationships/control" Target="activeX/activeX89.xml"/><Relationship Id="rId128" Type="http://schemas.openxmlformats.org/officeDocument/2006/relationships/image" Target="media/image32.wmf"/><Relationship Id="rId127" Type="http://schemas.openxmlformats.org/officeDocument/2006/relationships/control" Target="activeX/activeX88.xml"/><Relationship Id="rId126" Type="http://schemas.openxmlformats.org/officeDocument/2006/relationships/image" Target="media/image31.wmf"/><Relationship Id="rId125" Type="http://schemas.openxmlformats.org/officeDocument/2006/relationships/control" Target="activeX/activeX87.xml"/><Relationship Id="rId124" Type="http://schemas.openxmlformats.org/officeDocument/2006/relationships/image" Target="media/image30.wmf"/><Relationship Id="rId123" Type="http://schemas.openxmlformats.org/officeDocument/2006/relationships/control" Target="activeX/activeX86.xml"/><Relationship Id="rId122" Type="http://schemas.openxmlformats.org/officeDocument/2006/relationships/control" Target="activeX/activeX85.xml"/><Relationship Id="rId121" Type="http://schemas.openxmlformats.org/officeDocument/2006/relationships/image" Target="media/image29.wmf"/><Relationship Id="rId120" Type="http://schemas.openxmlformats.org/officeDocument/2006/relationships/control" Target="activeX/activeX84.xml"/><Relationship Id="rId12" Type="http://schemas.openxmlformats.org/officeDocument/2006/relationships/control" Target="activeX/activeX2.xml"/><Relationship Id="rId119" Type="http://schemas.openxmlformats.org/officeDocument/2006/relationships/image" Target="media/image28.wmf"/><Relationship Id="rId118" Type="http://schemas.openxmlformats.org/officeDocument/2006/relationships/control" Target="activeX/activeX83.xml"/><Relationship Id="rId117" Type="http://schemas.openxmlformats.org/officeDocument/2006/relationships/image" Target="media/image27.wmf"/><Relationship Id="rId116" Type="http://schemas.openxmlformats.org/officeDocument/2006/relationships/control" Target="activeX/activeX82.xml"/><Relationship Id="rId115" Type="http://schemas.openxmlformats.org/officeDocument/2006/relationships/image" Target="media/image26.wmf"/><Relationship Id="rId114" Type="http://schemas.openxmlformats.org/officeDocument/2006/relationships/control" Target="activeX/activeX81.xml"/><Relationship Id="rId113" Type="http://schemas.openxmlformats.org/officeDocument/2006/relationships/control" Target="activeX/activeX80.xml"/><Relationship Id="rId112" Type="http://schemas.openxmlformats.org/officeDocument/2006/relationships/control" Target="activeX/activeX79.xml"/><Relationship Id="rId111" Type="http://schemas.openxmlformats.org/officeDocument/2006/relationships/image" Target="media/image25.wmf"/><Relationship Id="rId110" Type="http://schemas.openxmlformats.org/officeDocument/2006/relationships/control" Target="activeX/activeX78.xml"/><Relationship Id="rId11" Type="http://schemas.openxmlformats.org/officeDocument/2006/relationships/image" Target="media/image2.wmf"/><Relationship Id="rId109" Type="http://schemas.openxmlformats.org/officeDocument/2006/relationships/image" Target="media/image24.wmf"/><Relationship Id="rId108" Type="http://schemas.openxmlformats.org/officeDocument/2006/relationships/control" Target="activeX/activeX77.xml"/><Relationship Id="rId107" Type="http://schemas.openxmlformats.org/officeDocument/2006/relationships/image" Target="media/image23.wmf"/><Relationship Id="rId106" Type="http://schemas.openxmlformats.org/officeDocument/2006/relationships/control" Target="activeX/activeX76.xml"/><Relationship Id="rId105" Type="http://schemas.openxmlformats.org/officeDocument/2006/relationships/control" Target="activeX/activeX75.xml"/><Relationship Id="rId104" Type="http://schemas.openxmlformats.org/officeDocument/2006/relationships/control" Target="activeX/activeX74.xml"/><Relationship Id="rId103" Type="http://schemas.openxmlformats.org/officeDocument/2006/relationships/control" Target="activeX/activeX73.xml"/><Relationship Id="rId102" Type="http://schemas.openxmlformats.org/officeDocument/2006/relationships/control" Target="activeX/activeX72.xml"/><Relationship Id="rId101" Type="http://schemas.openxmlformats.org/officeDocument/2006/relationships/control" Target="activeX/activeX71.xml"/><Relationship Id="rId100" Type="http://schemas.openxmlformats.org/officeDocument/2006/relationships/control" Target="activeX/activeX70.xml"/><Relationship Id="rId10" Type="http://schemas.openxmlformats.org/officeDocument/2006/relationships/control" Target="activeX/activeX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33.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38.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26.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37.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25.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34.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36.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29.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24.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27.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39.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30.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23.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31.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40.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3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xml.rels><?xml version="1.0" encoding="UTF-8" standalone="yes"?>
<Relationships xmlns="http://schemas.openxmlformats.org/package/2006/relationships"><Relationship Id="rId1" Type="http://schemas.microsoft.com/office/2006/relationships/activeXControlBinary" Target="activeX20.bin"/></Relationships>
</file>

<file path=word/activeX/_rels/activeX14.xml.rels><?xml version="1.0" encoding="UTF-8" standalone="yes"?>
<Relationships xmlns="http://schemas.openxmlformats.org/package/2006/relationships"><Relationship Id="rId1" Type="http://schemas.microsoft.com/office/2006/relationships/activeXControlBinary" Target="activeX22.bin"/></Relationships>
</file>

<file path=word/activeX/_rels/activeX15.xml.rels><?xml version="1.0" encoding="UTF-8" standalone="yes"?>
<Relationships xmlns="http://schemas.openxmlformats.org/package/2006/relationships"><Relationship Id="rId1" Type="http://schemas.microsoft.com/office/2006/relationships/activeXControlBinary" Target="activeX21.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bin"/></Relationships>
</file>

<file path=word/activeX/_rels/activeX17.xml.rels><?xml version="1.0" encoding="UTF-8" standalone="yes"?>
<Relationships xmlns="http://schemas.openxmlformats.org/package/2006/relationships"><Relationship Id="rId1" Type="http://schemas.microsoft.com/office/2006/relationships/activeXControlBinary" Target="activeX4.bin"/></Relationships>
</file>

<file path=word/activeX/_rels/activeX18.xml.rels><?xml version="1.0" encoding="UTF-8" standalone="yes"?>
<Relationships xmlns="http://schemas.openxmlformats.org/package/2006/relationships"><Relationship Id="rId1" Type="http://schemas.microsoft.com/office/2006/relationships/activeXControlBinary" Target="activeX2.bin"/></Relationships>
</file>

<file path=word/activeX/_rels/activeX19.xml.rels><?xml version="1.0" encoding="UTF-8" standalone="yes"?>
<Relationships xmlns="http://schemas.openxmlformats.org/package/2006/relationships"><Relationship Id="rId1" Type="http://schemas.microsoft.com/office/2006/relationships/activeXControlBinary" Target="activeX3.bin"/></Relationships>
</file>

<file path=word/activeX/_rels/activeX2.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0.xml.rels><?xml version="1.0" encoding="UTF-8" standalone="yes"?>
<Relationships xmlns="http://schemas.openxmlformats.org/package/2006/relationships"><Relationship Id="rId1" Type="http://schemas.microsoft.com/office/2006/relationships/activeXControlBinary" Target="activeX5.bin"/></Relationships>
</file>

<file path=word/activeX/_rels/activeX21.xml.rels><?xml version="1.0" encoding="UTF-8" standalone="yes"?>
<Relationships xmlns="http://schemas.openxmlformats.org/package/2006/relationships"><Relationship Id="rId1" Type="http://schemas.microsoft.com/office/2006/relationships/activeXControlBinary" Target="activeX6.bin"/></Relationships>
</file>

<file path=word/activeX/_rels/activeX22.xml.rels><?xml version="1.0" encoding="UTF-8" standalone="yes"?>
<Relationships xmlns="http://schemas.openxmlformats.org/package/2006/relationships"><Relationship Id="rId1" Type="http://schemas.microsoft.com/office/2006/relationships/activeXControlBinary" Target="activeX7.bin"/></Relationships>
</file>

<file path=word/activeX/_rels/activeX23.xml.rels><?xml version="1.0" encoding="UTF-8" standalone="yes"?>
<Relationships xmlns="http://schemas.openxmlformats.org/package/2006/relationships"><Relationship Id="rId1" Type="http://schemas.microsoft.com/office/2006/relationships/activeXControlBinary" Target="activeX64.bin"/></Relationships>
</file>

<file path=word/activeX/_rels/activeX24.xml.rels><?xml version="1.0" encoding="UTF-8" standalone="yes"?>
<Relationships xmlns="http://schemas.openxmlformats.org/package/2006/relationships"><Relationship Id="rId1" Type="http://schemas.microsoft.com/office/2006/relationships/activeXControlBinary" Target="activeX50.bin"/></Relationships>
</file>

<file path=word/activeX/_rels/activeX2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57.bin"/></Relationships>
</file>

<file path=word/activeX/_rels/activeX27.xml.rels><?xml version="1.0" encoding="UTF-8" standalone="yes"?>
<Relationships xmlns="http://schemas.openxmlformats.org/package/2006/relationships"><Relationship Id="rId1" Type="http://schemas.microsoft.com/office/2006/relationships/activeXControlBinary" Target="activeX48.bin"/></Relationships>
</file>

<file path=word/activeX/_rels/activeX28.xml.rels><?xml version="1.0" encoding="UTF-8" standalone="yes"?>
<Relationships xmlns="http://schemas.openxmlformats.org/package/2006/relationships"><Relationship Id="rId1" Type="http://schemas.microsoft.com/office/2006/relationships/activeXControlBinary" Target="activeX5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43.bin"/></Relationships>
</file>

<file path=word/activeX/_rels/activeX3.xml.rels><?xml version="1.0" encoding="UTF-8" standalone="yes"?>
<Relationships xmlns="http://schemas.openxmlformats.org/package/2006/relationships"><Relationship Id="rId1" Type="http://schemas.microsoft.com/office/2006/relationships/activeXControlBinary" Target="activeX15.bin"/></Relationships>
</file>

<file path=word/activeX/_rels/activeX30.xml.rels><?xml version="1.0" encoding="UTF-8" standalone="yes"?>
<Relationships xmlns="http://schemas.openxmlformats.org/package/2006/relationships"><Relationship Id="rId1" Type="http://schemas.microsoft.com/office/2006/relationships/activeXControlBinary" Target="activeX58.bin"/></Relationships>
</file>

<file path=word/activeX/_rels/activeX3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53.bin"/></Relationships>
</file>

<file path=word/activeX/_rels/activeX3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51.bin"/></Relationships>
</file>

<file path=word/activeX/_rels/activeX36.xml.rels><?xml version="1.0" encoding="UTF-8" standalone="yes"?>
<Relationships xmlns="http://schemas.openxmlformats.org/package/2006/relationships"><Relationship Id="rId1" Type="http://schemas.microsoft.com/office/2006/relationships/activeXControlBinary" Target="activeX61.bin"/></Relationships>
</file>

<file path=word/activeX/_rels/activeX37.xml.rels><?xml version="1.0" encoding="UTF-8" standalone="yes"?>
<Relationships xmlns="http://schemas.openxmlformats.org/package/2006/relationships"><Relationship Id="rId1" Type="http://schemas.microsoft.com/office/2006/relationships/activeXControlBinary" Target="activeX52.bin"/></Relationships>
</file>

<file path=word/activeX/_rels/activeX3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54.bin"/></Relationships>
</file>

<file path=word/activeX/_rels/activeX4.xml.rels><?xml version="1.0" encoding="UTF-8" standalone="yes"?>
<Relationships xmlns="http://schemas.openxmlformats.org/package/2006/relationships"><Relationship Id="rId1" Type="http://schemas.microsoft.com/office/2006/relationships/activeXControlBinary" Target="activeX12.bin"/></Relationships>
</file>

<file path=word/activeX/_rels/activeX40.xml.rels><?xml version="1.0" encoding="UTF-8" standalone="yes"?>
<Relationships xmlns="http://schemas.openxmlformats.org/package/2006/relationships"><Relationship Id="rId1" Type="http://schemas.microsoft.com/office/2006/relationships/activeXControlBinary" Target="activeX66.bin"/></Relationships>
</file>

<file path=word/activeX/_rels/activeX41.xml.rels><?xml version="1.0" encoding="UTF-8" standalone="yes"?>
<Relationships xmlns="http://schemas.openxmlformats.org/package/2006/relationships"><Relationship Id="rId1" Type="http://schemas.microsoft.com/office/2006/relationships/activeXControlBinary" Target="activeX62.bin"/></Relationships>
</file>

<file path=word/activeX/_rels/activeX42.xml.rels><?xml version="1.0" encoding="UTF-8" standalone="yes"?>
<Relationships xmlns="http://schemas.openxmlformats.org/package/2006/relationships"><Relationship Id="rId1" Type="http://schemas.microsoft.com/office/2006/relationships/activeXControlBinary" Target="activeX67.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4.xml.rels><?xml version="1.0" encoding="UTF-8" standalone="yes"?>
<Relationships xmlns="http://schemas.openxmlformats.org/package/2006/relationships"><Relationship Id="rId1" Type="http://schemas.microsoft.com/office/2006/relationships/activeXControlBinary" Target="activeX60.bin"/></Relationships>
</file>

<file path=word/activeX/_rels/activeX45.xml.rels><?xml version="1.0" encoding="UTF-8" standalone="yes"?>
<Relationships xmlns="http://schemas.openxmlformats.org/package/2006/relationships"><Relationship Id="rId1" Type="http://schemas.microsoft.com/office/2006/relationships/activeXControlBinary" Target="activeX6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70.bin"/></Relationships>
</file>

<file path=word/activeX/_rels/activeX47.xml.rels><?xml version="1.0" encoding="UTF-8" standalone="yes"?>
<Relationships xmlns="http://schemas.openxmlformats.org/package/2006/relationships"><Relationship Id="rId1" Type="http://schemas.microsoft.com/office/2006/relationships/activeXControlBinary" Target="activeX72.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9.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xml.rels><?xml version="1.0" encoding="UTF-8" standalone="yes"?>
<Relationships xmlns="http://schemas.openxmlformats.org/package/2006/relationships"><Relationship Id="rId1" Type="http://schemas.microsoft.com/office/2006/relationships/activeXControlBinary" Target="activeX14.bin"/></Relationships>
</file>

<file path=word/activeX/_rels/activeX50.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2.xml.rels><?xml version="1.0" encoding="UTF-8" standalone="yes"?>
<Relationships xmlns="http://schemas.openxmlformats.org/package/2006/relationships"><Relationship Id="rId1" Type="http://schemas.microsoft.com/office/2006/relationships/activeXControlBinary" Target="activeX71.bin"/></Relationships>
</file>

<file path=word/activeX/_rels/activeX53.xml.rels><?xml version="1.0" encoding="UTF-8" standalone="yes"?>
<Relationships xmlns="http://schemas.openxmlformats.org/package/2006/relationships"><Relationship Id="rId1" Type="http://schemas.microsoft.com/office/2006/relationships/activeXControlBinary" Target="activeX45.bin"/></Relationships>
</file>

<file path=word/activeX/_rels/activeX54.xml.rels><?xml version="1.0" encoding="UTF-8" standalone="yes"?>
<Relationships xmlns="http://schemas.openxmlformats.org/package/2006/relationships"><Relationship Id="rId1" Type="http://schemas.microsoft.com/office/2006/relationships/activeXControlBinary" Target="activeX46.bin"/></Relationships>
</file>

<file path=word/activeX/_rels/activeX55.xml.rels><?xml version="1.0" encoding="UTF-8" standalone="yes"?>
<Relationships xmlns="http://schemas.openxmlformats.org/package/2006/relationships"><Relationship Id="rId1" Type="http://schemas.microsoft.com/office/2006/relationships/activeXControlBinary" Target="activeX78.bin"/></Relationships>
</file>

<file path=word/activeX/_rels/activeX5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74.bin"/></Relationships>
</file>

<file path=word/activeX/_rels/activeX58.xml.rels><?xml version="1.0" encoding="UTF-8" standalone="yes"?>
<Relationships xmlns="http://schemas.openxmlformats.org/package/2006/relationships"><Relationship Id="rId1" Type="http://schemas.microsoft.com/office/2006/relationships/activeXControlBinary" Target="activeX80.bin"/></Relationships>
</file>

<file path=word/activeX/_rels/activeX59.xml.rels><?xml version="1.0" encoding="UTF-8" standalone="yes"?>
<Relationships xmlns="http://schemas.openxmlformats.org/package/2006/relationships"><Relationship Id="rId1" Type="http://schemas.microsoft.com/office/2006/relationships/activeXControlBinary" Target="activeX75.bin"/></Relationships>
</file>

<file path=word/activeX/_rels/activeX6.xml.rels><?xml version="1.0" encoding="UTF-8" standalone="yes"?>
<Relationships xmlns="http://schemas.openxmlformats.org/package/2006/relationships"><Relationship Id="rId1" Type="http://schemas.microsoft.com/office/2006/relationships/activeXControlBinary" Target="activeX8.bin"/></Relationships>
</file>

<file path=word/activeX/_rels/activeX60.xml.rels><?xml version="1.0" encoding="UTF-8" standalone="yes"?>
<Relationships xmlns="http://schemas.openxmlformats.org/package/2006/relationships"><Relationship Id="rId1" Type="http://schemas.microsoft.com/office/2006/relationships/activeXControlBinary" Target="activeX77.bin"/></Relationships>
</file>

<file path=word/activeX/_rels/activeX61.xml.rels><?xml version="1.0" encoding="UTF-8" standalone="yes"?>
<Relationships xmlns="http://schemas.openxmlformats.org/package/2006/relationships"><Relationship Id="rId1" Type="http://schemas.microsoft.com/office/2006/relationships/activeXControlBinary" Target="activeX79.bin"/></Relationships>
</file>

<file path=word/activeX/_rels/activeX62.xml.rels><?xml version="1.0" encoding="UTF-8" standalone="yes"?>
<Relationships xmlns="http://schemas.openxmlformats.org/package/2006/relationships"><Relationship Id="rId1" Type="http://schemas.microsoft.com/office/2006/relationships/activeXControlBinary" Target="activeX73.bin"/></Relationships>
</file>

<file path=word/activeX/_rels/activeX63.xml.rels><?xml version="1.0" encoding="UTF-8" standalone="yes"?>
<Relationships xmlns="http://schemas.openxmlformats.org/package/2006/relationships"><Relationship Id="rId1" Type="http://schemas.microsoft.com/office/2006/relationships/activeXControlBinary" Target="activeX98.bin"/></Relationships>
</file>

<file path=word/activeX/_rels/activeX64.xml.rels><?xml version="1.0" encoding="UTF-8" standalone="yes"?>
<Relationships xmlns="http://schemas.openxmlformats.org/package/2006/relationships"><Relationship Id="rId1" Type="http://schemas.microsoft.com/office/2006/relationships/activeXControlBinary" Target="activeX99.bin"/></Relationships>
</file>

<file path=word/activeX/_rels/activeX65.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66.xml.rels><?xml version="1.0" encoding="UTF-8" standalone="yes"?>
<Relationships xmlns="http://schemas.openxmlformats.org/package/2006/relationships"><Relationship Id="rId1" Type="http://schemas.microsoft.com/office/2006/relationships/activeXControlBinary" Target="activeX95.bin"/></Relationships>
</file>

<file path=word/activeX/_rels/activeX67.xml.rels><?xml version="1.0" encoding="UTF-8" standalone="yes"?>
<Relationships xmlns="http://schemas.openxmlformats.org/package/2006/relationships"><Relationship Id="rId1" Type="http://schemas.microsoft.com/office/2006/relationships/activeXControlBinary" Target="activeX89.bin"/></Relationships>
</file>

<file path=word/activeX/_rels/activeX68.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69.xml.rels><?xml version="1.0" encoding="UTF-8" standalone="yes"?>
<Relationships xmlns="http://schemas.openxmlformats.org/package/2006/relationships"><Relationship Id="rId1" Type="http://schemas.microsoft.com/office/2006/relationships/activeXControlBinary" Target="activeX90.bin"/></Relationships>
</file>

<file path=word/activeX/_rels/activeX7.xml.rels><?xml version="1.0" encoding="UTF-8" standalone="yes"?>
<Relationships xmlns="http://schemas.openxmlformats.org/package/2006/relationships"><Relationship Id="rId1" Type="http://schemas.microsoft.com/office/2006/relationships/activeXControlBinary" Target="activeX16.bin"/></Relationships>
</file>

<file path=word/activeX/_rels/activeX70.xml.rels><?xml version="1.0" encoding="UTF-8" standalone="yes"?>
<Relationships xmlns="http://schemas.openxmlformats.org/package/2006/relationships"><Relationship Id="rId1" Type="http://schemas.microsoft.com/office/2006/relationships/activeXControlBinary" Target="activeX87.bin"/></Relationships>
</file>

<file path=word/activeX/_rels/activeX71.xml.rels><?xml version="1.0" encoding="UTF-8" standalone="yes"?>
<Relationships xmlns="http://schemas.openxmlformats.org/package/2006/relationships"><Relationship Id="rId1" Type="http://schemas.microsoft.com/office/2006/relationships/activeXControlBinary" Target="activeX84.bin"/></Relationships>
</file>

<file path=word/activeX/_rels/activeX72.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73.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74.xml.rels><?xml version="1.0" encoding="UTF-8" standalone="yes"?>
<Relationships xmlns="http://schemas.openxmlformats.org/package/2006/relationships"><Relationship Id="rId1" Type="http://schemas.microsoft.com/office/2006/relationships/activeXControlBinary" Target="activeX91.bin"/></Relationships>
</file>

<file path=word/activeX/_rels/activeX75.xml.rels><?xml version="1.0" encoding="UTF-8" standalone="yes"?>
<Relationships xmlns="http://schemas.openxmlformats.org/package/2006/relationships"><Relationship Id="rId1" Type="http://schemas.microsoft.com/office/2006/relationships/activeXControlBinary" Target="activeX83.bin"/></Relationships>
</file>

<file path=word/activeX/_rels/activeX76.xml.rels><?xml version="1.0" encoding="UTF-8" standalone="yes"?>
<Relationships xmlns="http://schemas.openxmlformats.org/package/2006/relationships"><Relationship Id="rId1" Type="http://schemas.microsoft.com/office/2006/relationships/activeXControlBinary" Target="activeX85.bin"/></Relationships>
</file>

<file path=word/activeX/_rels/activeX77.xml.rels><?xml version="1.0" encoding="UTF-8" standalone="yes"?>
<Relationships xmlns="http://schemas.openxmlformats.org/package/2006/relationships"><Relationship Id="rId1" Type="http://schemas.microsoft.com/office/2006/relationships/activeXControlBinary" Target="activeX96.bin"/></Relationships>
</file>

<file path=word/activeX/_rels/activeX78.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79.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80.xml.rels><?xml version="1.0" encoding="UTF-8" standalone="yes"?>
<Relationships xmlns="http://schemas.openxmlformats.org/package/2006/relationships"><Relationship Id="rId1" Type="http://schemas.microsoft.com/office/2006/relationships/activeXControlBinary" Target="activeX97.bin"/></Relationships>
</file>

<file path=word/activeX/_rels/activeX8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86.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9.xml.rels><?xml version="1.0" encoding="UTF-8" standalone="yes"?>
<Relationships xmlns="http://schemas.openxmlformats.org/package/2006/relationships"><Relationship Id="rId1" Type="http://schemas.microsoft.com/office/2006/relationships/activeXControlBinary" Target="activeX17.bin"/></Relationships>
</file>

<file path=word/activeX/_rels/activeX90.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91.xml.rels><?xml version="1.0" encoding="UTF-8" standalone="yes"?>
<Relationships xmlns="http://schemas.openxmlformats.org/package/2006/relationships"><Relationship Id="rId1" Type="http://schemas.microsoft.com/office/2006/relationships/activeXControlBinary" Target="activeX88.bin"/></Relationships>
</file>

<file path=word/activeX/_rels/activeX9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94.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5.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96.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97.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98.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99.xml.rels><?xml version="1.0" encoding="UTF-8" standalone="yes"?>
<Relationships xmlns="http://schemas.openxmlformats.org/package/2006/relationships"><Relationship Id="rId1" Type="http://schemas.microsoft.com/office/2006/relationships/activeXControlBinary" Target="activeX116.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10.xml><?xml version="1.0" encoding="utf-8"?>
<ax:ocx xmlns:ax="http://schemas.microsoft.com/office/2006/activeX" xmlns:r="http://schemas.openxmlformats.org/officeDocument/2006/relationships" ax:classid="{8BD21D40-EC42-11CE-9E0D-00AA006002F3}" r:id="rId1" ax:persistence="persistStorage"/>
</file>

<file path=word/activeX/activeX100.xml><?xml version="1.0" encoding="utf-8"?>
<ax:ocx xmlns:ax="http://schemas.microsoft.com/office/2006/activeX" xmlns:r="http://schemas.openxmlformats.org/officeDocument/2006/relationships" ax:classid="{8BD21D40-EC42-11CE-9E0D-00AA006002F3}" r:id="rId1" ax:persistence="persistStorage"/>
</file>

<file path=word/activeX/activeX101.xml><?xml version="1.0" encoding="utf-8"?>
<ax:ocx xmlns:ax="http://schemas.microsoft.com/office/2006/activeX" xmlns:r="http://schemas.openxmlformats.org/officeDocument/2006/relationships" ax:classid="{8BD21D40-EC42-11CE-9E0D-00AA006002F3}" r:id="rId1" ax:persistence="persistStorage"/>
</file>

<file path=word/activeX/activeX102.xml><?xml version="1.0" encoding="utf-8"?>
<ax:ocx xmlns:ax="http://schemas.microsoft.com/office/2006/activeX" xmlns:r="http://schemas.openxmlformats.org/officeDocument/2006/relationships" ax:classid="{8BD21D40-EC42-11CE-9E0D-00AA006002F3}" r:id="rId1" ax:persistence="persistStorage"/>
</file>

<file path=word/activeX/activeX103.xml><?xml version="1.0" encoding="utf-8"?>
<ax:ocx xmlns:ax="http://schemas.microsoft.com/office/2006/activeX" xmlns:r="http://schemas.openxmlformats.org/officeDocument/2006/relationships" ax:classid="{8BD21D40-EC42-11CE-9E0D-00AA006002F3}" r:id="rId1" ax:persistence="persistStorage"/>
</file>

<file path=word/activeX/activeX104.xml><?xml version="1.0" encoding="utf-8"?>
<ax:ocx xmlns:ax="http://schemas.microsoft.com/office/2006/activeX" xmlns:r="http://schemas.openxmlformats.org/officeDocument/2006/relationships" ax:classid="{8BD21D40-EC42-11CE-9E0D-00AA006002F3}" r:id="rId1" ax:persistence="persistStorage"/>
</file>

<file path=word/activeX/activeX105.xml><?xml version="1.0" encoding="utf-8"?>
<ax:ocx xmlns:ax="http://schemas.microsoft.com/office/2006/activeX" xmlns:r="http://schemas.openxmlformats.org/officeDocument/2006/relationships" ax:classid="{8BD21D40-EC42-11CE-9E0D-00AA006002F3}" r:id="rId1" ax:persistence="persistStorage"/>
</file>

<file path=word/activeX/activeX106.xml><?xml version="1.0" encoding="utf-8"?>
<ax:ocx xmlns:ax="http://schemas.microsoft.com/office/2006/activeX" xmlns:r="http://schemas.openxmlformats.org/officeDocument/2006/relationships" ax:classid="{8BD21D40-EC42-11CE-9E0D-00AA006002F3}" r:id="rId1" ax:persistence="persistStorage"/>
</file>

<file path=word/activeX/activeX107.xml><?xml version="1.0" encoding="utf-8"?>
<ax:ocx xmlns:ax="http://schemas.microsoft.com/office/2006/activeX" xmlns:r="http://schemas.openxmlformats.org/officeDocument/2006/relationships" ax:classid="{8BD21D40-EC42-11CE-9E0D-00AA006002F3}" r:id="rId1" ax:persistence="persistStorage"/>
</file>

<file path=word/activeX/activeX108.xml><?xml version="1.0" encoding="utf-8"?>
<ax:ocx xmlns:ax="http://schemas.microsoft.com/office/2006/activeX" xmlns:r="http://schemas.openxmlformats.org/officeDocument/2006/relationships" ax:classid="{8BD21D40-EC42-11CE-9E0D-00AA006002F3}" r:id="rId1" ax:persistence="persistStorage"/>
</file>

<file path=word/activeX/activeX109.xml><?xml version="1.0" encoding="utf-8"?>
<ax:ocx xmlns:ax="http://schemas.microsoft.com/office/2006/activeX" xmlns:r="http://schemas.openxmlformats.org/officeDocument/2006/relationships" ax:classid="{8BD21D40-EC42-11CE-9E0D-00AA006002F3}" r:id="rId1" ax:persistence="persistStorage"/>
</file>

<file path=word/activeX/activeX11.xml><?xml version="1.0" encoding="utf-8"?>
<ax:ocx xmlns:ax="http://schemas.microsoft.com/office/2006/activeX" xmlns:r="http://schemas.openxmlformats.org/officeDocument/2006/relationships" ax:classid="{8BD21D40-EC42-11CE-9E0D-00AA006002F3}" r:id="rId1" ax:persistence="persistStorage"/>
</file>

<file path=word/activeX/activeX110.xml><?xml version="1.0" encoding="utf-8"?>
<ax:ocx xmlns:ax="http://schemas.microsoft.com/office/2006/activeX" xmlns:r="http://schemas.openxmlformats.org/officeDocument/2006/relationships" ax:classid="{8BD21D40-EC42-11CE-9E0D-00AA006002F3}" r:id="rId1" ax:persistence="persistStorage"/>
</file>

<file path=word/activeX/activeX111.xml><?xml version="1.0" encoding="utf-8"?>
<ax:ocx xmlns:ax="http://schemas.microsoft.com/office/2006/activeX" xmlns:r="http://schemas.openxmlformats.org/officeDocument/2006/relationships" ax:classid="{8BD21D40-EC42-11CE-9E0D-00AA006002F3}" r:id="rId1" ax:persistence="persistStorage"/>
</file>

<file path=word/activeX/activeX112.xml><?xml version="1.0" encoding="utf-8"?>
<ax:ocx xmlns:ax="http://schemas.microsoft.com/office/2006/activeX" xmlns:r="http://schemas.openxmlformats.org/officeDocument/2006/relationships" ax:classid="{8BD21D40-EC42-11CE-9E0D-00AA006002F3}" r:id="rId1" ax:persistence="persistStorage"/>
</file>

<file path=word/activeX/activeX113.xml><?xml version="1.0" encoding="utf-8"?>
<ax:ocx xmlns:ax="http://schemas.microsoft.com/office/2006/activeX" xmlns:r="http://schemas.openxmlformats.org/officeDocument/2006/relationships" ax:classid="{8BD21D40-EC42-11CE-9E0D-00AA006002F3}" r:id="rId1" ax:persistence="persistStorage"/>
</file>

<file path=word/activeX/activeX114.xml><?xml version="1.0" encoding="utf-8"?>
<ax:ocx xmlns:ax="http://schemas.microsoft.com/office/2006/activeX" xmlns:r="http://schemas.openxmlformats.org/officeDocument/2006/relationships" ax:classid="{8BD21D40-EC42-11CE-9E0D-00AA006002F3}" r:id="rId1" ax:persistence="persistStorage"/>
</file>

<file path=word/activeX/activeX115.xml><?xml version="1.0" encoding="utf-8"?>
<ax:ocx xmlns:ax="http://schemas.microsoft.com/office/2006/activeX" xmlns:r="http://schemas.openxmlformats.org/officeDocument/2006/relationships" ax:classid="{8BD21D40-EC42-11CE-9E0D-00AA006002F3}" r:id="rId1" ax:persistence="persistStorage"/>
</file>

<file path=word/activeX/activeX116.xml><?xml version="1.0" encoding="utf-8"?>
<ax:ocx xmlns:ax="http://schemas.microsoft.com/office/2006/activeX" xmlns:r="http://schemas.openxmlformats.org/officeDocument/2006/relationships" ax:classid="{8BD21D40-EC42-11CE-9E0D-00AA006002F3}" r:id="rId1" ax:persistence="persistStorage"/>
</file>

<file path=word/activeX/activeX117.xml><?xml version="1.0" encoding="utf-8"?>
<ax:ocx xmlns:ax="http://schemas.microsoft.com/office/2006/activeX" xmlns:r="http://schemas.openxmlformats.org/officeDocument/2006/relationships" ax:classid="{8BD21D40-EC42-11CE-9E0D-00AA006002F3}" r:id="rId1" ax:persistence="persistStorage"/>
</file>

<file path=word/activeX/activeX118.xml><?xml version="1.0" encoding="utf-8"?>
<ax:ocx xmlns:ax="http://schemas.microsoft.com/office/2006/activeX" xmlns:r="http://schemas.openxmlformats.org/officeDocument/2006/relationships" ax:classid="{8BD21D40-EC42-11CE-9E0D-00AA006002F3}" r:id="rId1" ax:persistence="persistStorage"/>
</file>

<file path=word/activeX/activeX119.xml><?xml version="1.0" encoding="utf-8"?>
<ax:ocx xmlns:ax="http://schemas.microsoft.com/office/2006/activeX" xmlns:r="http://schemas.openxmlformats.org/officeDocument/2006/relationships" ax:classid="{8BD21D40-EC42-11CE-9E0D-00AA006002F3}" r:id="rId1" ax:persistence="persistStorage"/>
</file>

<file path=word/activeX/activeX12.xml><?xml version="1.0" encoding="utf-8"?>
<ax:ocx xmlns:ax="http://schemas.microsoft.com/office/2006/activeX" xmlns:r="http://schemas.openxmlformats.org/officeDocument/2006/relationships" ax:classid="{8BD21D40-EC42-11CE-9E0D-00AA006002F3}" r:id="rId1" ax:persistence="persistStorage"/>
</file>

<file path=word/activeX/activeX13.xml><?xml version="1.0" encoding="utf-8"?>
<ax:ocx xmlns:ax="http://schemas.microsoft.com/office/2006/activeX" xmlns:r="http://schemas.openxmlformats.org/officeDocument/2006/relationships" ax:classid="{8BD21D40-EC42-11CE-9E0D-00AA006002F3}" r:id="rId1" ax:persistence="persistStorage"/>
</file>

<file path=word/activeX/activeX14.xml><?xml version="1.0" encoding="utf-8"?>
<ax:ocx xmlns:ax="http://schemas.microsoft.com/office/2006/activeX" xmlns:r="http://schemas.openxmlformats.org/officeDocument/2006/relationships" ax:classid="{8BD21D40-EC42-11CE-9E0D-00AA006002F3}" r:id="rId1" ax:persistence="persistStorage"/>
</file>

<file path=word/activeX/activeX15.xml><?xml version="1.0" encoding="utf-8"?>
<ax:ocx xmlns:ax="http://schemas.microsoft.com/office/2006/activeX" xmlns:r="http://schemas.openxmlformats.org/officeDocument/2006/relationships" ax:classid="{8BD21D40-EC42-11CE-9E0D-00AA006002F3}" r:id="rId1" ax:persistence="persistStorage"/>
</file>

<file path=word/activeX/activeX16.xml><?xml version="1.0" encoding="utf-8"?>
<ax:ocx xmlns:ax="http://schemas.microsoft.com/office/2006/activeX" xmlns:r="http://schemas.openxmlformats.org/officeDocument/2006/relationships" ax:classid="{8BD21D40-EC42-11CE-9E0D-00AA006002F3}" r:id="rId1" ax:persistence="persistStorage"/>
</file>

<file path=word/activeX/activeX17.xml><?xml version="1.0" encoding="utf-8"?>
<ax:ocx xmlns:ax="http://schemas.microsoft.com/office/2006/activeX" xmlns:r="http://schemas.openxmlformats.org/officeDocument/2006/relationships" ax:classid="{8BD21D40-EC42-11CE-9E0D-00AA006002F3}" r:id="rId1" ax:persistence="persistStorage"/>
</file>

<file path=word/activeX/activeX18.xml><?xml version="1.0" encoding="utf-8"?>
<ax:ocx xmlns:ax="http://schemas.microsoft.com/office/2006/activeX" xmlns:r="http://schemas.openxmlformats.org/officeDocument/2006/relationships" ax:classid="{8BD21D40-EC42-11CE-9E0D-00AA006002F3}" r:id="rId1" ax:persistence="persistStorage"/>
</file>

<file path=word/activeX/activeX19.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20.xml><?xml version="1.0" encoding="utf-8"?>
<ax:ocx xmlns:ax="http://schemas.microsoft.com/office/2006/activeX" xmlns:r="http://schemas.openxmlformats.org/officeDocument/2006/relationships" ax:classid="{8BD21D40-EC42-11CE-9E0D-00AA006002F3}" r:id="rId1" ax:persistence="persistStorage"/>
</file>

<file path=word/activeX/activeX21.xml><?xml version="1.0" encoding="utf-8"?>
<ax:ocx xmlns:ax="http://schemas.microsoft.com/office/2006/activeX" xmlns:r="http://schemas.openxmlformats.org/officeDocument/2006/relationships" ax:classid="{8BD21D40-EC42-11CE-9E0D-00AA006002F3}" r:id="rId1" ax:persistence="persistStorage"/>
</file>

<file path=word/activeX/activeX22.xml><?xml version="1.0" encoding="utf-8"?>
<ax:ocx xmlns:ax="http://schemas.microsoft.com/office/2006/activeX" xmlns:r="http://schemas.openxmlformats.org/officeDocument/2006/relationships" ax:classid="{8BD21D40-EC42-11CE-9E0D-00AA006002F3}" r:id="rId1" ax:persistence="persistStorage"/>
</file>

<file path=word/activeX/activeX23.xml><?xml version="1.0" encoding="utf-8"?>
<ax:ocx xmlns:ax="http://schemas.microsoft.com/office/2006/activeX" xmlns:r="http://schemas.openxmlformats.org/officeDocument/2006/relationships" ax:classid="{CDCDCDCD-CDCD-CDCD-CDCD-CDCDCDCDCDCD}" r:id="rId1" ax:persistence="persistStorage"/>
</file>

<file path=word/activeX/activeX24.xml><?xml version="1.0" encoding="utf-8"?>
<ax:ocx xmlns:ax="http://schemas.microsoft.com/office/2006/activeX" xmlns:r="http://schemas.openxmlformats.org/officeDocument/2006/relationships" ax:classid="{CDCDCDCD-CDCD-CDCD-CDCD-CDCDCDCDCDCD}" r:id="rId1" ax:persistence="persistStorage"/>
</file>

<file path=word/activeX/activeX25.xml><?xml version="1.0" encoding="utf-8"?>
<ax:ocx xmlns:ax="http://schemas.microsoft.com/office/2006/activeX" xmlns:r="http://schemas.openxmlformats.org/officeDocument/2006/relationships" ax:classid="{CDCDCDCD-CDCD-CDCD-CDCD-CDCDCDCDCDCD}" r:id="rId1" ax:persistence="persistStorage"/>
</file>

<file path=word/activeX/activeX26.xml><?xml version="1.0" encoding="utf-8"?>
<ax:ocx xmlns:ax="http://schemas.microsoft.com/office/2006/activeX" xmlns:r="http://schemas.openxmlformats.org/officeDocument/2006/relationships" ax:classid="{CDCDCDCD-CDCD-CDCD-CDCD-CDCDCDCDCDCD}" r:id="rId1" ax:persistence="persistStorage"/>
</file>

<file path=word/activeX/activeX27.xml><?xml version="1.0" encoding="utf-8"?>
<ax:ocx xmlns:ax="http://schemas.microsoft.com/office/2006/activeX" xmlns:r="http://schemas.openxmlformats.org/officeDocument/2006/relationships" ax:classid="{CDCDCDCD-CDCD-CDCD-CDCD-CDCDCDCDCDCD}" r:id="rId1" ax:persistence="persistStorage"/>
</file>

<file path=word/activeX/activeX28.xml><?xml version="1.0" encoding="utf-8"?>
<ax:ocx xmlns:ax="http://schemas.microsoft.com/office/2006/activeX" xmlns:r="http://schemas.openxmlformats.org/officeDocument/2006/relationships" ax:classid="{CDCDCDCD-CDCD-CDCD-CDCD-CDCDCDCDCDCD}" r:id="rId1" ax:persistence="persistStorage"/>
</file>

<file path=word/activeX/activeX29.xml><?xml version="1.0" encoding="utf-8"?>
<ax:ocx xmlns:ax="http://schemas.microsoft.com/office/2006/activeX" xmlns:r="http://schemas.openxmlformats.org/officeDocument/2006/relationships" ax:classid="{CDCDCDCD-CDCD-CDCD-CDCD-CDCDCDCDCDCD}"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30.xml><?xml version="1.0" encoding="utf-8"?>
<ax:ocx xmlns:ax="http://schemas.microsoft.com/office/2006/activeX" xmlns:r="http://schemas.openxmlformats.org/officeDocument/2006/relationships" ax:classid="{CDCDCDCD-CDCD-CDCD-CDCD-CDCDCDCDCDCD}" r:id="rId1" ax:persistence="persistStorage"/>
</file>

<file path=word/activeX/activeX31.xml><?xml version="1.0" encoding="utf-8"?>
<ax:ocx xmlns:ax="http://schemas.microsoft.com/office/2006/activeX" xmlns:r="http://schemas.openxmlformats.org/officeDocument/2006/relationships" ax:classid="{CDCDCDCD-CDCD-CDCD-CDCD-CDCDCDCDCDCD}" r:id="rId1" ax:persistence="persistStorage"/>
</file>

<file path=word/activeX/activeX32.xml><?xml version="1.0" encoding="utf-8"?>
<ax:ocx xmlns:ax="http://schemas.microsoft.com/office/2006/activeX" xmlns:r="http://schemas.openxmlformats.org/officeDocument/2006/relationships" ax:classid="{CDCDCDCD-CDCD-CDCD-CDCD-CDCDCDCDCDCD}" r:id="rId1" ax:persistence="persistStorage"/>
</file>

<file path=word/activeX/activeX33.xml><?xml version="1.0" encoding="utf-8"?>
<ax:ocx xmlns:ax="http://schemas.microsoft.com/office/2006/activeX" xmlns:r="http://schemas.openxmlformats.org/officeDocument/2006/relationships" ax:classid="{CDCDCDCD-CDCD-CDCD-CDCD-CDCDCDCDCDCD}" r:id="rId1" ax:persistence="persistStorage"/>
</file>

<file path=word/activeX/activeX34.xml><?xml version="1.0" encoding="utf-8"?>
<ax:ocx xmlns:ax="http://schemas.microsoft.com/office/2006/activeX" xmlns:r="http://schemas.openxmlformats.org/officeDocument/2006/relationships" ax:classid="{CDCDCDCD-CDCD-CDCD-CDCD-CDCDCDCDCDCD}" r:id="rId1" ax:persistence="persistStorage"/>
</file>

<file path=word/activeX/activeX35.xml><?xml version="1.0" encoding="utf-8"?>
<ax:ocx xmlns:ax="http://schemas.microsoft.com/office/2006/activeX" xmlns:r="http://schemas.openxmlformats.org/officeDocument/2006/relationships" ax:classid="{CDCDCDCD-CDCD-CDCD-CDCD-CDCDCDCDCDCD}" r:id="rId1" ax:persistence="persistStorage"/>
</file>

<file path=word/activeX/activeX36.xml><?xml version="1.0" encoding="utf-8"?>
<ax:ocx xmlns:ax="http://schemas.microsoft.com/office/2006/activeX" xmlns:r="http://schemas.openxmlformats.org/officeDocument/2006/relationships" ax:classid="{CDCDCDCD-CDCD-CDCD-CDCD-CDCDCDCDCDCD}" r:id="rId1" ax:persistence="persistStorage"/>
</file>

<file path=word/activeX/activeX37.xml><?xml version="1.0" encoding="utf-8"?>
<ax:ocx xmlns:ax="http://schemas.microsoft.com/office/2006/activeX" xmlns:r="http://schemas.openxmlformats.org/officeDocument/2006/relationships" ax:classid="{CDCDCDCD-CDCD-CDCD-CDCD-CDCDCDCDCDCD}" r:id="rId1" ax:persistence="persistStorage"/>
</file>

<file path=word/activeX/activeX38.xml><?xml version="1.0" encoding="utf-8"?>
<ax:ocx xmlns:ax="http://schemas.microsoft.com/office/2006/activeX" xmlns:r="http://schemas.openxmlformats.org/officeDocument/2006/relationships" ax:classid="{CDCDCDCD-CDCD-CDCD-CDCD-CDCDCDCDCDCD}" r:id="rId1" ax:persistence="persistStorage"/>
</file>

<file path=word/activeX/activeX39.xml><?xml version="1.0" encoding="utf-8"?>
<ax:ocx xmlns:ax="http://schemas.microsoft.com/office/2006/activeX" xmlns:r="http://schemas.openxmlformats.org/officeDocument/2006/relationships" ax:classid="{CDCDCDCD-CDCD-CDCD-CDCD-CDCDCDCDCDCD}"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40.xml><?xml version="1.0" encoding="utf-8"?>
<ax:ocx xmlns:ax="http://schemas.microsoft.com/office/2006/activeX" xmlns:r="http://schemas.openxmlformats.org/officeDocument/2006/relationships" ax:classid="{CDCDCDCD-CDCD-CDCD-CDCD-CDCDCDCDCDCD}" r:id="rId1" ax:persistence="persistStorage"/>
</file>

<file path=word/activeX/activeX41.xml><?xml version="1.0" encoding="utf-8"?>
<ax:ocx xmlns:ax="http://schemas.microsoft.com/office/2006/activeX" xmlns:r="http://schemas.openxmlformats.org/officeDocument/2006/relationships" ax:classid="{CDCDCDCD-CDCD-CDCD-CDCD-CDCDCDCDCDCD}" r:id="rId1" ax:persistence="persistStorage"/>
</file>

<file path=word/activeX/activeX42.xml><?xml version="1.0" encoding="utf-8"?>
<ax:ocx xmlns:ax="http://schemas.microsoft.com/office/2006/activeX" xmlns:r="http://schemas.openxmlformats.org/officeDocument/2006/relationships" ax:classid="{CDCDCDCD-CDCD-CDCD-CDCD-CDCDCDCDCDCD}" r:id="rId1" ax:persistence="persistStorage"/>
</file>

<file path=word/activeX/activeX43.xml><?xml version="1.0" encoding="utf-8"?>
<ax:ocx xmlns:ax="http://schemas.microsoft.com/office/2006/activeX" xmlns:r="http://schemas.openxmlformats.org/officeDocument/2006/relationships" ax:classid="{CDCDCDCD-CDCD-CDCD-CDCD-CDCDCDCDCDCD}" r:id="rId1" ax:persistence="persistStorage"/>
</file>

<file path=word/activeX/activeX44.xml><?xml version="1.0" encoding="utf-8"?>
<ax:ocx xmlns:ax="http://schemas.microsoft.com/office/2006/activeX" xmlns:r="http://schemas.openxmlformats.org/officeDocument/2006/relationships" ax:classid="{CDCDCDCD-CDCD-CDCD-CDCD-CDCDCDCDCDCD}" r:id="rId1" ax:persistence="persistStorage"/>
</file>

<file path=word/activeX/activeX45.xml><?xml version="1.0" encoding="utf-8"?>
<ax:ocx xmlns:ax="http://schemas.microsoft.com/office/2006/activeX" xmlns:r="http://schemas.openxmlformats.org/officeDocument/2006/relationships" ax:classid="{CDCDCDCD-CDCD-CDCD-CDCD-CDCDCDCDCDCD}" r:id="rId1" ax:persistence="persistStorage"/>
</file>

<file path=word/activeX/activeX46.xml><?xml version="1.0" encoding="utf-8"?>
<ax:ocx xmlns:ax="http://schemas.microsoft.com/office/2006/activeX" xmlns:r="http://schemas.openxmlformats.org/officeDocument/2006/relationships" ax:classid="{CDCDCDCD-CDCD-CDCD-CDCD-CDCDCDCDCDCD}" r:id="rId1" ax:persistence="persistStorage"/>
</file>

<file path=word/activeX/activeX47.xml><?xml version="1.0" encoding="utf-8"?>
<ax:ocx xmlns:ax="http://schemas.microsoft.com/office/2006/activeX" xmlns:r="http://schemas.openxmlformats.org/officeDocument/2006/relationships" ax:classid="{CDCDCDCD-CDCD-CDCD-CDCD-CDCDCDCDCDCD}" r:id="rId1" ax:persistence="persistStorage"/>
</file>

<file path=word/activeX/activeX48.xml><?xml version="1.0" encoding="utf-8"?>
<ax:ocx xmlns:ax="http://schemas.microsoft.com/office/2006/activeX" xmlns:r="http://schemas.openxmlformats.org/officeDocument/2006/relationships" ax:classid="{CDCDCDCD-CDCD-CDCD-CDCD-CDCDCDCDCDCD}" r:id="rId1" ax:persistence="persistStorage"/>
</file>

<file path=word/activeX/activeX49.xml><?xml version="1.0" encoding="utf-8"?>
<ax:ocx xmlns:ax="http://schemas.microsoft.com/office/2006/activeX" xmlns:r="http://schemas.openxmlformats.org/officeDocument/2006/relationships" ax:classid="{CDCDCDCD-CDCD-CDCD-CDCD-CDCDCDCDCDCD}"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50.xml><?xml version="1.0" encoding="utf-8"?>
<ax:ocx xmlns:ax="http://schemas.microsoft.com/office/2006/activeX" xmlns:r="http://schemas.openxmlformats.org/officeDocument/2006/relationships" ax:classid="{CDCDCDCD-CDCD-CDCD-CDCD-CDCDCDCDCDCD}" r:id="rId1" ax:persistence="persistStorage"/>
</file>

<file path=word/activeX/activeX51.xml><?xml version="1.0" encoding="utf-8"?>
<ax:ocx xmlns:ax="http://schemas.microsoft.com/office/2006/activeX" xmlns:r="http://schemas.openxmlformats.org/officeDocument/2006/relationships" ax:classid="{CDCDCDCD-CDCD-CDCD-CDCD-CDCDCDCDCDCD}" r:id="rId1" ax:persistence="persistStorage"/>
</file>

<file path=word/activeX/activeX52.xml><?xml version="1.0" encoding="utf-8"?>
<ax:ocx xmlns:ax="http://schemas.microsoft.com/office/2006/activeX" xmlns:r="http://schemas.openxmlformats.org/officeDocument/2006/relationships" ax:classid="{CDCDCDCD-CDCD-CDCD-CDCD-CDCDCDCDCDCD}" r:id="rId1" ax:persistence="persistStorage"/>
</file>

<file path=word/activeX/activeX53.xml><?xml version="1.0" encoding="utf-8"?>
<ax:ocx xmlns:ax="http://schemas.microsoft.com/office/2006/activeX" xmlns:r="http://schemas.openxmlformats.org/officeDocument/2006/relationships" ax:classid="{CDCDCDCD-CDCD-CDCD-CDCD-CDCDCDCDCDCD}" r:id="rId1" ax:persistence="persistStorage"/>
</file>

<file path=word/activeX/activeX54.xml><?xml version="1.0" encoding="utf-8"?>
<ax:ocx xmlns:ax="http://schemas.microsoft.com/office/2006/activeX" xmlns:r="http://schemas.openxmlformats.org/officeDocument/2006/relationships" ax:classid="{CDCDCDCD-CDCD-CDCD-CDCD-CDCDCDCDCDCD}" r:id="rId1" ax:persistence="persistStorage"/>
</file>

<file path=word/activeX/activeX55.xml><?xml version="1.0" encoding="utf-8"?>
<ax:ocx xmlns:ax="http://schemas.microsoft.com/office/2006/activeX" xmlns:r="http://schemas.openxmlformats.org/officeDocument/2006/relationships" ax:classid="{CDCDCDCD-CDCD-CDCD-CDCD-CDCDCDCDCDCD}" r:id="rId1" ax:persistence="persistStorage"/>
</file>

<file path=word/activeX/activeX56.xml><?xml version="1.0" encoding="utf-8"?>
<ax:ocx xmlns:ax="http://schemas.microsoft.com/office/2006/activeX" xmlns:r="http://schemas.openxmlformats.org/officeDocument/2006/relationships" ax:classid="{CDCDCDCD-CDCD-CDCD-CDCD-CDCDCDCDCDCD}" r:id="rId1" ax:persistence="persistStorage"/>
</file>

<file path=word/activeX/activeX57.xml><?xml version="1.0" encoding="utf-8"?>
<ax:ocx xmlns:ax="http://schemas.microsoft.com/office/2006/activeX" xmlns:r="http://schemas.openxmlformats.org/officeDocument/2006/relationships" ax:classid="{CDCDCDCD-CDCD-CDCD-CDCD-CDCDCDCDCDCD}" r:id="rId1" ax:persistence="persistStorage"/>
</file>

<file path=word/activeX/activeX58.xml><?xml version="1.0" encoding="utf-8"?>
<ax:ocx xmlns:ax="http://schemas.microsoft.com/office/2006/activeX" xmlns:r="http://schemas.openxmlformats.org/officeDocument/2006/relationships" ax:classid="{CDCDCDCD-CDCD-CDCD-CDCD-CDCDCDCDCDCD}" r:id="rId1" ax:persistence="persistStorage"/>
</file>

<file path=word/activeX/activeX59.xml><?xml version="1.0" encoding="utf-8"?>
<ax:ocx xmlns:ax="http://schemas.microsoft.com/office/2006/activeX" xmlns:r="http://schemas.openxmlformats.org/officeDocument/2006/relationships" ax:classid="{CDCDCDCD-CDCD-CDCD-CDCD-CDCDCDCDCDCD}"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60.xml><?xml version="1.0" encoding="utf-8"?>
<ax:ocx xmlns:ax="http://schemas.microsoft.com/office/2006/activeX" xmlns:r="http://schemas.openxmlformats.org/officeDocument/2006/relationships" ax:classid="{CDCDCDCD-CDCD-CDCD-CDCD-CDCDCDCDCDCD}" r:id="rId1" ax:persistence="persistStorage"/>
</file>

<file path=word/activeX/activeX61.xml><?xml version="1.0" encoding="utf-8"?>
<ax:ocx xmlns:ax="http://schemas.microsoft.com/office/2006/activeX" xmlns:r="http://schemas.openxmlformats.org/officeDocument/2006/relationships" ax:classid="{CDCDCDCD-CDCD-CDCD-CDCD-CDCDCDCDCDCD}" r:id="rId1" ax:persistence="persistStorage"/>
</file>

<file path=word/activeX/activeX62.xml><?xml version="1.0" encoding="utf-8"?>
<ax:ocx xmlns:ax="http://schemas.microsoft.com/office/2006/activeX" xmlns:r="http://schemas.openxmlformats.org/officeDocument/2006/relationships" ax:classid="{CDCDCDCD-CDCD-CDCD-CDCD-CDCDCDCDCDCD}" r:id="rId1" ax:persistence="persistStorage"/>
</file>

<file path=word/activeX/activeX63.xml><?xml version="1.0" encoding="utf-8"?>
<ax:ocx xmlns:ax="http://schemas.microsoft.com/office/2006/activeX" xmlns:r="http://schemas.openxmlformats.org/officeDocument/2006/relationships" ax:classid="{CDCDCDCD-CDCD-CDCD-CDCD-CDCDCDCDCDCD}" r:id="rId1" ax:persistence="persistStorage"/>
</file>

<file path=word/activeX/activeX64.xml><?xml version="1.0" encoding="utf-8"?>
<ax:ocx xmlns:ax="http://schemas.microsoft.com/office/2006/activeX" xmlns:r="http://schemas.openxmlformats.org/officeDocument/2006/relationships" ax:classid="{CDCDCDCD-CDCD-CDCD-CDCD-CDCDCDCDCDCD}" r:id="rId1" ax:persistence="persistStorage"/>
</file>

<file path=word/activeX/activeX65.xml><?xml version="1.0" encoding="utf-8"?>
<ax:ocx xmlns:ax="http://schemas.microsoft.com/office/2006/activeX" xmlns:r="http://schemas.openxmlformats.org/officeDocument/2006/relationships" ax:classid="{CDCDCDCD-CDCD-CDCD-CDCD-CDCDCDCDCDCD}" r:id="rId1" ax:persistence="persistStorage"/>
</file>

<file path=word/activeX/activeX66.xml><?xml version="1.0" encoding="utf-8"?>
<ax:ocx xmlns:ax="http://schemas.microsoft.com/office/2006/activeX" xmlns:r="http://schemas.openxmlformats.org/officeDocument/2006/relationships" ax:classid="{CDCDCDCD-CDCD-CDCD-CDCD-CDCDCDCDCDCD}" r:id="rId1" ax:persistence="persistStorage"/>
</file>

<file path=word/activeX/activeX67.xml><?xml version="1.0" encoding="utf-8"?>
<ax:ocx xmlns:ax="http://schemas.microsoft.com/office/2006/activeX" xmlns:r="http://schemas.openxmlformats.org/officeDocument/2006/relationships" ax:classid="{CDCDCDCD-CDCD-CDCD-CDCD-CDCDCDCDCDCD}" r:id="rId1" ax:persistence="persistStorage"/>
</file>

<file path=word/activeX/activeX68.xml><?xml version="1.0" encoding="utf-8"?>
<ax:ocx xmlns:ax="http://schemas.microsoft.com/office/2006/activeX" xmlns:r="http://schemas.openxmlformats.org/officeDocument/2006/relationships" ax:classid="{CDCDCDCD-CDCD-CDCD-CDCD-CDCDCDCDCDCD}" r:id="rId1" ax:persistence="persistStorage"/>
</file>

<file path=word/activeX/activeX69.xml><?xml version="1.0" encoding="utf-8"?>
<ax:ocx xmlns:ax="http://schemas.microsoft.com/office/2006/activeX" xmlns:r="http://schemas.openxmlformats.org/officeDocument/2006/relationships" ax:classid="{CDCDCDCD-CDCD-CDCD-CDCD-CDCDCDCDCDCD}"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70.xml><?xml version="1.0" encoding="utf-8"?>
<ax:ocx xmlns:ax="http://schemas.microsoft.com/office/2006/activeX" xmlns:r="http://schemas.openxmlformats.org/officeDocument/2006/relationships" ax:classid="{CDCDCDCD-CDCD-CDCD-CDCD-CDCDCDCDCDCD}" r:id="rId1" ax:persistence="persistStorage"/>
</file>

<file path=word/activeX/activeX71.xml><?xml version="1.0" encoding="utf-8"?>
<ax:ocx xmlns:ax="http://schemas.microsoft.com/office/2006/activeX" xmlns:r="http://schemas.openxmlformats.org/officeDocument/2006/relationships" ax:classid="{CDCDCDCD-CDCD-CDCD-CDCD-CDCDCDCDCDCD}" r:id="rId1" ax:persistence="persistStorage"/>
</file>

<file path=word/activeX/activeX72.xml><?xml version="1.0" encoding="utf-8"?>
<ax:ocx xmlns:ax="http://schemas.microsoft.com/office/2006/activeX" xmlns:r="http://schemas.openxmlformats.org/officeDocument/2006/relationships" ax:classid="{CDCDCDCD-CDCD-CDCD-CDCD-CDCDCDCDCDCD}" r:id="rId1" ax:persistence="persistStorage"/>
</file>

<file path=word/activeX/activeX73.xml><?xml version="1.0" encoding="utf-8"?>
<ax:ocx xmlns:ax="http://schemas.microsoft.com/office/2006/activeX" xmlns:r="http://schemas.openxmlformats.org/officeDocument/2006/relationships" ax:classid="{CDCDCDCD-CDCD-CDCD-CDCD-CDCDCDCDCDCD}" r:id="rId1" ax:persistence="persistStorage"/>
</file>

<file path=word/activeX/activeX74.xml><?xml version="1.0" encoding="utf-8"?>
<ax:ocx xmlns:ax="http://schemas.microsoft.com/office/2006/activeX" xmlns:r="http://schemas.openxmlformats.org/officeDocument/2006/relationships" ax:classid="{CDCDCDCD-CDCD-CDCD-CDCD-CDCDCDCDCDCD}" r:id="rId1" ax:persistence="persistStorage"/>
</file>

<file path=word/activeX/activeX75.xml><?xml version="1.0" encoding="utf-8"?>
<ax:ocx xmlns:ax="http://schemas.microsoft.com/office/2006/activeX" xmlns:r="http://schemas.openxmlformats.org/officeDocument/2006/relationships" ax:classid="{CDCDCDCD-CDCD-CDCD-CDCD-CDCDCDCDCDCD}" r:id="rId1" ax:persistence="persistStorage"/>
</file>

<file path=word/activeX/activeX76.xml><?xml version="1.0" encoding="utf-8"?>
<ax:ocx xmlns:ax="http://schemas.microsoft.com/office/2006/activeX" xmlns:r="http://schemas.openxmlformats.org/officeDocument/2006/relationships" ax:classid="{8BD21D40-EC42-11CE-9E0D-00AA006002F3}" r:id="rId1" ax:persistence="persistStorage"/>
</file>

<file path=word/activeX/activeX77.xml><?xml version="1.0" encoding="utf-8"?>
<ax:ocx xmlns:ax="http://schemas.microsoft.com/office/2006/activeX" xmlns:r="http://schemas.openxmlformats.org/officeDocument/2006/relationships" ax:classid="{8BD21D40-EC42-11CE-9E0D-00AA006002F3}" r:id="rId1" ax:persistence="persistStorage"/>
</file>

<file path=word/activeX/activeX78.xml><?xml version="1.0" encoding="utf-8"?>
<ax:ocx xmlns:ax="http://schemas.microsoft.com/office/2006/activeX" xmlns:r="http://schemas.openxmlformats.org/officeDocument/2006/relationships" ax:classid="{8BD21D40-EC42-11CE-9E0D-00AA006002F3}" r:id="rId1" ax:persistence="persistStorage"/>
</file>

<file path=word/activeX/activeX79.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80.xml><?xml version="1.0" encoding="utf-8"?>
<ax:ocx xmlns:ax="http://schemas.microsoft.com/office/2006/activeX" xmlns:r="http://schemas.openxmlformats.org/officeDocument/2006/relationships" ax:classid="{8BD21D40-EC42-11CE-9E0D-00AA006002F3}" r:id="rId1" ax:persistence="persistStorage"/>
</file>

<file path=word/activeX/activeX81.xml><?xml version="1.0" encoding="utf-8"?>
<ax:ocx xmlns:ax="http://schemas.microsoft.com/office/2006/activeX" xmlns:r="http://schemas.openxmlformats.org/officeDocument/2006/relationships" ax:classid="{8BD21D40-EC42-11CE-9E0D-00AA006002F3}" r:id="rId1" ax:persistence="persistStorage"/>
</file>

<file path=word/activeX/activeX82.xml><?xml version="1.0" encoding="utf-8"?>
<ax:ocx xmlns:ax="http://schemas.microsoft.com/office/2006/activeX" xmlns:r="http://schemas.openxmlformats.org/officeDocument/2006/relationships" ax:classid="{8BD21D40-EC42-11CE-9E0D-00AA006002F3}" r:id="rId1" ax:persistence="persistStorage"/>
</file>

<file path=word/activeX/activeX83.xml><?xml version="1.0" encoding="utf-8"?>
<ax:ocx xmlns:ax="http://schemas.microsoft.com/office/2006/activeX" xmlns:r="http://schemas.openxmlformats.org/officeDocument/2006/relationships" ax:classid="{8BD21D40-EC42-11CE-9E0D-00AA006002F3}" r:id="rId1" ax:persistence="persistStorage"/>
</file>

<file path=word/activeX/activeX84.xml><?xml version="1.0" encoding="utf-8"?>
<ax:ocx xmlns:ax="http://schemas.microsoft.com/office/2006/activeX" xmlns:r="http://schemas.openxmlformats.org/officeDocument/2006/relationships" ax:classid="{8BD21D40-EC42-11CE-9E0D-00AA006002F3}" r:id="rId1" ax:persistence="persistStorage"/>
</file>

<file path=word/activeX/activeX85.xml><?xml version="1.0" encoding="utf-8"?>
<ax:ocx xmlns:ax="http://schemas.microsoft.com/office/2006/activeX" xmlns:r="http://schemas.openxmlformats.org/officeDocument/2006/relationships" ax:classid="{8BD21D40-EC42-11CE-9E0D-00AA006002F3}" r:id="rId1" ax:persistence="persistStorage"/>
</file>

<file path=word/activeX/activeX86.xml><?xml version="1.0" encoding="utf-8"?>
<ax:ocx xmlns:ax="http://schemas.microsoft.com/office/2006/activeX" xmlns:r="http://schemas.openxmlformats.org/officeDocument/2006/relationships" ax:classid="{8BD21D40-EC42-11CE-9E0D-00AA006002F3}" r:id="rId1" ax:persistence="persistStorage"/>
</file>

<file path=word/activeX/activeX87.xml><?xml version="1.0" encoding="utf-8"?>
<ax:ocx xmlns:ax="http://schemas.microsoft.com/office/2006/activeX" xmlns:r="http://schemas.openxmlformats.org/officeDocument/2006/relationships" ax:classid="{8BD21D40-EC42-11CE-9E0D-00AA006002F3}" r:id="rId1" ax:persistence="persistStorage"/>
</file>

<file path=word/activeX/activeX88.xml><?xml version="1.0" encoding="utf-8"?>
<ax:ocx xmlns:ax="http://schemas.microsoft.com/office/2006/activeX" xmlns:r="http://schemas.openxmlformats.org/officeDocument/2006/relationships" ax:classid="{8BD21D40-EC42-11CE-9E0D-00AA006002F3}" r:id="rId1" ax:persistence="persistStorage"/>
</file>

<file path=word/activeX/activeX89.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activeX/activeX90.xml><?xml version="1.0" encoding="utf-8"?>
<ax:ocx xmlns:ax="http://schemas.microsoft.com/office/2006/activeX" xmlns:r="http://schemas.openxmlformats.org/officeDocument/2006/relationships" ax:classid="{8BD21D40-EC42-11CE-9E0D-00AA006002F3}" r:id="rId1" ax:persistence="persistStorage"/>
</file>

<file path=word/activeX/activeX91.xml><?xml version="1.0" encoding="utf-8"?>
<ax:ocx xmlns:ax="http://schemas.microsoft.com/office/2006/activeX" xmlns:r="http://schemas.openxmlformats.org/officeDocument/2006/relationships" ax:classid="{8BD21D40-EC42-11CE-9E0D-00AA006002F3}" r:id="rId1" ax:persistence="persistStorage"/>
</file>

<file path=word/activeX/activeX92.xml><?xml version="1.0" encoding="utf-8"?>
<ax:ocx xmlns:ax="http://schemas.microsoft.com/office/2006/activeX" xmlns:r="http://schemas.openxmlformats.org/officeDocument/2006/relationships" ax:classid="{8BD21D40-EC42-11CE-9E0D-00AA006002F3}" r:id="rId1" ax:persistence="persistStorage"/>
</file>

<file path=word/activeX/activeX93.xml><?xml version="1.0" encoding="utf-8"?>
<ax:ocx xmlns:ax="http://schemas.microsoft.com/office/2006/activeX" xmlns:r="http://schemas.openxmlformats.org/officeDocument/2006/relationships" ax:classid="{8BD21D40-EC42-11CE-9E0D-00AA006002F3}" r:id="rId1" ax:persistence="persistStorage"/>
</file>

<file path=word/activeX/activeX94.xml><?xml version="1.0" encoding="utf-8"?>
<ax:ocx xmlns:ax="http://schemas.microsoft.com/office/2006/activeX" xmlns:r="http://schemas.openxmlformats.org/officeDocument/2006/relationships" ax:classid="{8BD21D40-EC42-11CE-9E0D-00AA006002F3}" r:id="rId1" ax:persistence="persistStorage"/>
</file>

<file path=word/activeX/activeX95.xml><?xml version="1.0" encoding="utf-8"?>
<ax:ocx xmlns:ax="http://schemas.microsoft.com/office/2006/activeX" xmlns:r="http://schemas.openxmlformats.org/officeDocument/2006/relationships" ax:classid="{8BD21D40-EC42-11CE-9E0D-00AA006002F3}" r:id="rId1" ax:persistence="persistStorage"/>
</file>

<file path=word/activeX/activeX96.xml><?xml version="1.0" encoding="utf-8"?>
<ax:ocx xmlns:ax="http://schemas.microsoft.com/office/2006/activeX" xmlns:r="http://schemas.openxmlformats.org/officeDocument/2006/relationships" ax:classid="{8BD21D40-EC42-11CE-9E0D-00AA006002F3}" r:id="rId1" ax:persistence="persistStorage"/>
</file>

<file path=word/activeX/activeX97.xml><?xml version="1.0" encoding="utf-8"?>
<ax:ocx xmlns:ax="http://schemas.microsoft.com/office/2006/activeX" xmlns:r="http://schemas.openxmlformats.org/officeDocument/2006/relationships" ax:classid="{8BD21D40-EC42-11CE-9E0D-00AA006002F3}" r:id="rId1" ax:persistence="persistStorage"/>
</file>

<file path=word/activeX/activeX98.xml><?xml version="1.0" encoding="utf-8"?>
<ax:ocx xmlns:ax="http://schemas.microsoft.com/office/2006/activeX" xmlns:r="http://schemas.openxmlformats.org/officeDocument/2006/relationships" ax:classid="{8BD21D40-EC42-11CE-9E0D-00AA006002F3}" r:id="rId1" ax:persistence="persistStorage"/>
</file>

<file path=word/activeX/activeX9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142</Pages>
  <Words>86971</Words>
  <Characters>91753</Characters>
  <Lines>0</Lines>
  <Paragraphs>0</Paragraphs>
  <TotalTime>4</TotalTime>
  <ScaleCrop>false</ScaleCrop>
  <LinksUpToDate>false</LinksUpToDate>
  <CharactersWithSpaces>96432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2021-06-27T07:12:00Z</dcterms:created>
  <dc:creator>Administrator</dc:creator>
  <cp:lastModifiedBy>月明风清</cp:lastModifiedBy>
  <dcterms:modified xsi:type="dcterms:W3CDTF">2022-08-26T07:50:24Z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E63964970BED4282859945C02AD85C21</vt:lpwstr>
  </property>
</Properties>
</file>