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宋体"/>
          <w:b/>
          <w:bCs/>
          <w:kern w:val="0"/>
          <w:sz w:val="32"/>
          <w:szCs w:val="32"/>
        </w:rPr>
      </w:pPr>
      <w:r>
        <w:rPr>
          <w:rFonts w:hint="eastAsia" w:ascii="仿宋" w:hAnsi="仿宋" w:eastAsia="仿宋" w:cs="宋体"/>
          <w:b/>
          <w:bCs/>
          <w:kern w:val="0"/>
          <w:sz w:val="32"/>
          <w:szCs w:val="32"/>
        </w:rPr>
        <w:t>深圳音乐学院林木采伐及迁移施工招标公告</w:t>
      </w:r>
    </w:p>
    <w:p>
      <w:pPr>
        <w:adjustRightInd w:val="0"/>
        <w:snapToGrid w:val="0"/>
        <w:spacing w:line="360" w:lineRule="auto"/>
        <w:jc w:val="left"/>
        <w:rPr>
          <w:rFonts w:ascii="仿宋" w:hAnsi="仿宋" w:eastAsia="仿宋" w:cs="宋体"/>
          <w:b/>
          <w:kern w:val="0"/>
          <w:sz w:val="24"/>
          <w:szCs w:val="24"/>
        </w:rPr>
      </w:pPr>
    </w:p>
    <w:p>
      <w:pPr>
        <w:adjustRightInd w:val="0"/>
        <w:snapToGrid w:val="0"/>
        <w:spacing w:line="360" w:lineRule="auto"/>
        <w:rPr>
          <w:rFonts w:hint="default" w:ascii="仿宋" w:hAnsi="仿宋" w:eastAsia="仿宋" w:cs="宋体"/>
          <w:b/>
          <w:kern w:val="0"/>
          <w:sz w:val="24"/>
          <w:szCs w:val="24"/>
          <w:lang w:val="en-US" w:eastAsia="zh-CN"/>
        </w:rPr>
      </w:pPr>
      <w:r>
        <w:rPr>
          <w:rFonts w:hint="eastAsia" w:ascii="仿宋" w:hAnsi="仿宋" w:eastAsia="仿宋" w:cs="宋体"/>
          <w:b/>
          <w:kern w:val="0"/>
          <w:sz w:val="24"/>
          <w:szCs w:val="24"/>
          <w:lang w:val="en-US" w:eastAsia="zh-CN"/>
        </w:rPr>
        <w:t>项目名称：</w:t>
      </w:r>
      <w:r>
        <w:rPr>
          <w:rFonts w:hint="eastAsia" w:ascii="仿宋" w:hAnsi="仿宋" w:eastAsia="仿宋" w:cs="宋体"/>
          <w:b w:val="0"/>
          <w:bCs/>
          <w:kern w:val="0"/>
          <w:sz w:val="24"/>
          <w:szCs w:val="24"/>
          <w:lang w:val="en-US" w:eastAsia="zh-CN"/>
        </w:rPr>
        <w:t>深圳音乐学院</w:t>
      </w:r>
    </w:p>
    <w:p>
      <w:pPr>
        <w:adjustRightInd w:val="0"/>
        <w:snapToGrid w:val="0"/>
        <w:spacing w:line="360" w:lineRule="auto"/>
        <w:rPr>
          <w:rFonts w:ascii="仿宋" w:hAnsi="仿宋" w:eastAsia="仿宋" w:cs="宋体"/>
          <w:b/>
          <w:bCs/>
          <w:kern w:val="0"/>
          <w:sz w:val="32"/>
          <w:szCs w:val="32"/>
        </w:rPr>
      </w:pPr>
      <w:r>
        <w:rPr>
          <w:rFonts w:hint="eastAsia" w:ascii="仿宋" w:hAnsi="仿宋" w:eastAsia="仿宋" w:cs="宋体"/>
          <w:b/>
          <w:kern w:val="0"/>
          <w:sz w:val="24"/>
          <w:szCs w:val="24"/>
        </w:rPr>
        <w:t>工程名称：</w:t>
      </w:r>
      <w:r>
        <w:rPr>
          <w:rFonts w:hint="eastAsia" w:ascii="仿宋" w:hAnsi="仿宋" w:eastAsia="仿宋" w:cs="宋体"/>
          <w:kern w:val="0"/>
          <w:sz w:val="24"/>
          <w:szCs w:val="24"/>
        </w:rPr>
        <w:t>深圳音乐学院林木采伐及迁移施工</w:t>
      </w:r>
    </w:p>
    <w:p>
      <w:pPr>
        <w:adjustRightInd w:val="0"/>
        <w:snapToGrid w:val="0"/>
        <w:spacing w:line="360" w:lineRule="auto"/>
        <w:rPr>
          <w:rFonts w:hint="eastAsia" w:ascii="仿宋" w:hAnsi="仿宋" w:eastAsia="仿宋" w:cs="宋体"/>
          <w:kern w:val="0"/>
          <w:sz w:val="24"/>
          <w:szCs w:val="24"/>
        </w:rPr>
      </w:pPr>
      <w:r>
        <w:rPr>
          <w:rFonts w:ascii="仿宋" w:hAnsi="仿宋" w:eastAsia="仿宋" w:cs="宋体"/>
          <w:b/>
          <w:kern w:val="0"/>
          <w:sz w:val="24"/>
          <w:szCs w:val="24"/>
        </w:rPr>
        <w:t>招标人：</w:t>
      </w:r>
      <w:r>
        <w:rPr>
          <w:rFonts w:hint="eastAsia" w:ascii="仿宋" w:hAnsi="仿宋" w:eastAsia="仿宋" w:cs="宋体"/>
          <w:kern w:val="0"/>
          <w:sz w:val="24"/>
          <w:szCs w:val="24"/>
        </w:rPr>
        <w:t>深圳市建筑工务署教育工程管理中心</w:t>
      </w:r>
      <w:r>
        <w:rPr>
          <w:rFonts w:ascii="仿宋" w:hAnsi="仿宋" w:eastAsia="仿宋" w:cs="宋体"/>
          <w:kern w:val="0"/>
          <w:sz w:val="24"/>
          <w:szCs w:val="24"/>
        </w:rPr>
        <w:br w:type="textWrapping"/>
      </w:r>
      <w:r>
        <w:rPr>
          <w:rFonts w:ascii="仿宋" w:hAnsi="仿宋" w:eastAsia="仿宋" w:cs="宋体"/>
          <w:b/>
          <w:kern w:val="0"/>
          <w:sz w:val="24"/>
          <w:szCs w:val="24"/>
        </w:rPr>
        <w:t>项目地址：</w:t>
      </w:r>
      <w:r>
        <w:rPr>
          <w:rFonts w:hint="eastAsia" w:ascii="仿宋" w:hAnsi="仿宋" w:eastAsia="仿宋" w:cs="宋体"/>
          <w:kern w:val="0"/>
          <w:sz w:val="24"/>
          <w:szCs w:val="24"/>
        </w:rPr>
        <w:t>深圳市龙岗区国际大学园内</w:t>
      </w:r>
    </w:p>
    <w:p>
      <w:pPr>
        <w:adjustRightInd w:val="0"/>
        <w:snapToGrid w:val="0"/>
        <w:spacing w:line="360" w:lineRule="auto"/>
        <w:jc w:val="left"/>
        <w:rPr>
          <w:rFonts w:ascii="仿宋" w:hAnsi="仿宋" w:eastAsia="仿宋" w:cs="宋体"/>
          <w:kern w:val="0"/>
          <w:sz w:val="24"/>
          <w:szCs w:val="24"/>
        </w:rPr>
      </w:pPr>
      <w:r>
        <w:rPr>
          <w:rFonts w:ascii="仿宋" w:hAnsi="仿宋" w:eastAsia="仿宋" w:cs="宋体"/>
          <w:b/>
          <w:kern w:val="0"/>
          <w:sz w:val="24"/>
          <w:szCs w:val="24"/>
        </w:rPr>
        <w:t>招标方式：</w:t>
      </w:r>
      <w:r>
        <w:rPr>
          <w:rFonts w:hint="eastAsia" w:ascii="仿宋" w:hAnsi="仿宋" w:eastAsia="仿宋" w:cs="宋体"/>
          <w:kern w:val="0"/>
          <w:sz w:val="24"/>
          <w:szCs w:val="24"/>
        </w:rPr>
        <w:t>公开</w:t>
      </w:r>
      <w:r>
        <w:rPr>
          <w:rFonts w:ascii="仿宋" w:hAnsi="仿宋" w:eastAsia="仿宋" w:cs="宋体"/>
          <w:kern w:val="0"/>
          <w:sz w:val="24"/>
          <w:szCs w:val="24"/>
        </w:rPr>
        <w:t>招标</w:t>
      </w:r>
    </w:p>
    <w:p>
      <w:pPr>
        <w:adjustRightInd w:val="0"/>
        <w:snapToGrid w:val="0"/>
        <w:spacing w:line="360" w:lineRule="auto"/>
        <w:rPr>
          <w:rFonts w:hint="eastAsia" w:ascii="仿宋" w:hAnsi="仿宋" w:eastAsia="仿宋" w:cs="宋体"/>
          <w:kern w:val="0"/>
          <w:sz w:val="24"/>
          <w:szCs w:val="24"/>
        </w:rPr>
      </w:pPr>
      <w:r>
        <w:rPr>
          <w:rFonts w:ascii="仿宋" w:hAnsi="仿宋" w:eastAsia="仿宋" w:cs="宋体"/>
          <w:b/>
          <w:bCs/>
          <w:kern w:val="0"/>
          <w:sz w:val="24"/>
          <w:szCs w:val="24"/>
        </w:rPr>
        <w:t>招标联系人：</w:t>
      </w:r>
      <w:r>
        <w:rPr>
          <w:rFonts w:hint="eastAsia" w:ascii="仿宋" w:hAnsi="仿宋" w:eastAsia="仿宋" w:cs="宋体"/>
          <w:kern w:val="0"/>
          <w:sz w:val="24"/>
          <w:szCs w:val="24"/>
        </w:rPr>
        <w:t xml:space="preserve">付工    </w:t>
      </w:r>
      <w:r>
        <w:rPr>
          <w:rFonts w:ascii="仿宋" w:hAnsi="仿宋" w:eastAsia="仿宋" w:cs="宋体"/>
          <w:kern w:val="0"/>
          <w:sz w:val="24"/>
          <w:szCs w:val="24"/>
        </w:rPr>
        <w:t>电话：</w:t>
      </w:r>
      <w:r>
        <w:rPr>
          <w:rFonts w:hint="eastAsia" w:ascii="仿宋" w:hAnsi="仿宋" w:eastAsia="仿宋" w:cs="宋体"/>
          <w:kern w:val="0"/>
          <w:sz w:val="24"/>
          <w:szCs w:val="24"/>
        </w:rPr>
        <w:t>（0</w:t>
      </w:r>
      <w:r>
        <w:rPr>
          <w:rFonts w:ascii="仿宋" w:hAnsi="仿宋" w:eastAsia="仿宋" w:cs="宋体"/>
          <w:kern w:val="0"/>
          <w:sz w:val="24"/>
          <w:szCs w:val="24"/>
        </w:rPr>
        <w:t>755</w:t>
      </w:r>
      <w:r>
        <w:rPr>
          <w:rFonts w:hint="eastAsia" w:ascii="仿宋" w:hAnsi="仿宋" w:eastAsia="仿宋" w:cs="宋体"/>
          <w:kern w:val="0"/>
          <w:sz w:val="24"/>
          <w:szCs w:val="24"/>
        </w:rPr>
        <w:t>）</w:t>
      </w:r>
      <w:r>
        <w:rPr>
          <w:rFonts w:ascii="仿宋" w:hAnsi="仿宋" w:eastAsia="仿宋" w:cs="宋体"/>
          <w:kern w:val="0"/>
          <w:sz w:val="24"/>
          <w:szCs w:val="24"/>
        </w:rPr>
        <w:t>83942871</w:t>
      </w:r>
      <w:r>
        <w:rPr>
          <w:rFonts w:hint="eastAsia" w:ascii="仿宋" w:hAnsi="仿宋" w:eastAsia="仿宋" w:cs="宋体"/>
          <w:kern w:val="0"/>
          <w:sz w:val="24"/>
          <w:szCs w:val="24"/>
        </w:rPr>
        <w:t xml:space="preserve">； </w:t>
      </w:r>
      <w:r>
        <w:rPr>
          <w:rFonts w:ascii="仿宋" w:hAnsi="仿宋" w:eastAsia="仿宋" w:cs="宋体"/>
          <w:kern w:val="0"/>
          <w:sz w:val="24"/>
          <w:szCs w:val="24"/>
        </w:rPr>
        <w:t xml:space="preserve"> </w:t>
      </w:r>
      <w:r>
        <w:rPr>
          <w:rFonts w:hint="eastAsia" w:ascii="仿宋" w:hAnsi="仿宋" w:eastAsia="仿宋" w:cs="宋体"/>
          <w:kern w:val="0"/>
          <w:sz w:val="24"/>
          <w:szCs w:val="24"/>
        </w:rPr>
        <w:t xml:space="preserve">吴工    </w:t>
      </w:r>
      <w:r>
        <w:rPr>
          <w:rFonts w:ascii="仿宋" w:hAnsi="仿宋" w:eastAsia="仿宋" w:cs="宋体"/>
          <w:b w:val="0"/>
          <w:bCs/>
          <w:kern w:val="0"/>
          <w:sz w:val="24"/>
          <w:szCs w:val="24"/>
        </w:rPr>
        <w:t>电话：</w:t>
      </w:r>
      <w:r>
        <w:rPr>
          <w:rFonts w:hint="eastAsia" w:ascii="仿宋" w:hAnsi="仿宋" w:eastAsia="仿宋" w:cs="宋体"/>
          <w:kern w:val="0"/>
          <w:sz w:val="24"/>
          <w:szCs w:val="24"/>
        </w:rPr>
        <w:t>15999648056</w:t>
      </w:r>
    </w:p>
    <w:p>
      <w:pPr>
        <w:adjustRightInd w:val="0"/>
        <w:snapToGrid w:val="0"/>
        <w:spacing w:line="360" w:lineRule="auto"/>
        <w:jc w:val="left"/>
        <w:rPr>
          <w:rFonts w:ascii="仿宋" w:hAnsi="仿宋" w:eastAsia="仿宋" w:cs="宋体"/>
          <w:kern w:val="0"/>
          <w:sz w:val="24"/>
          <w:szCs w:val="24"/>
        </w:rPr>
      </w:pPr>
      <w:r>
        <w:rPr>
          <w:rFonts w:hint="eastAsia" w:ascii="仿宋" w:hAnsi="仿宋" w:eastAsia="仿宋" w:cs="宋体"/>
          <w:b/>
          <w:kern w:val="0"/>
          <w:sz w:val="24"/>
          <w:szCs w:val="24"/>
        </w:rPr>
        <w:t>项目概况：</w:t>
      </w:r>
      <w:r>
        <w:rPr>
          <w:rFonts w:hint="eastAsia" w:ascii="仿宋" w:hAnsi="仿宋" w:eastAsia="仿宋" w:cs="宋体"/>
          <w:kern w:val="0"/>
          <w:sz w:val="24"/>
          <w:szCs w:val="24"/>
        </w:rPr>
        <w:t>深圳音乐学院位于龙岗区国际大学园区内，紧邻香港中文大学（深圳）校区，总用地面积约7.38万平方米，林木占地面积约</w:t>
      </w:r>
      <w:r>
        <w:rPr>
          <w:rFonts w:ascii="仿宋" w:hAnsi="仿宋" w:eastAsia="仿宋" w:cs="宋体"/>
          <w:kern w:val="0"/>
          <w:sz w:val="24"/>
          <w:szCs w:val="24"/>
        </w:rPr>
        <w:t>7000</w:t>
      </w:r>
      <w:r>
        <w:rPr>
          <w:rFonts w:hint="eastAsia" w:ascii="仿宋" w:hAnsi="仿宋" w:eastAsia="仿宋" w:cs="宋体"/>
          <w:kern w:val="0"/>
          <w:sz w:val="24"/>
          <w:szCs w:val="24"/>
        </w:rPr>
        <w:t>平方米，建筑面积合计约</w:t>
      </w:r>
      <w:r>
        <w:rPr>
          <w:rFonts w:ascii="仿宋" w:hAnsi="仿宋" w:eastAsia="仿宋" w:cs="宋体"/>
          <w:kern w:val="0"/>
          <w:sz w:val="24"/>
          <w:szCs w:val="24"/>
        </w:rPr>
        <w:t>12.97</w:t>
      </w:r>
      <w:r>
        <w:rPr>
          <w:rFonts w:hint="eastAsia" w:ascii="仿宋" w:hAnsi="仿宋" w:eastAsia="仿宋" w:cs="宋体"/>
          <w:kern w:val="0"/>
          <w:sz w:val="24"/>
          <w:szCs w:val="24"/>
        </w:rPr>
        <w:t>万平方米（最终以发改批复为准）。</w:t>
      </w:r>
    </w:p>
    <w:p>
      <w:pPr>
        <w:adjustRightInd w:val="0"/>
        <w:snapToGrid w:val="0"/>
        <w:spacing w:line="360" w:lineRule="auto"/>
        <w:rPr>
          <w:rFonts w:ascii="仿宋" w:hAnsi="仿宋" w:eastAsia="仿宋" w:cs="宋体"/>
          <w:b/>
          <w:kern w:val="0"/>
          <w:sz w:val="24"/>
          <w:szCs w:val="24"/>
        </w:rPr>
      </w:pPr>
      <w:r>
        <w:rPr>
          <w:rFonts w:ascii="仿宋" w:hAnsi="仿宋" w:eastAsia="仿宋" w:cs="宋体"/>
          <w:b/>
          <w:kern w:val="0"/>
          <w:sz w:val="24"/>
          <w:szCs w:val="24"/>
        </w:rPr>
        <w:t>招标范围：</w:t>
      </w:r>
    </w:p>
    <w:p>
      <w:pPr>
        <w:adjustRightInd w:val="0"/>
        <w:snapToGrid w:val="0"/>
        <w:spacing w:line="360" w:lineRule="auto"/>
        <w:rPr>
          <w:rFonts w:ascii="仿宋" w:hAnsi="仿宋" w:eastAsia="仿宋" w:cs="宋体"/>
          <w:bCs/>
          <w:kern w:val="0"/>
          <w:sz w:val="24"/>
          <w:szCs w:val="24"/>
        </w:rPr>
      </w:pPr>
      <w:bookmarkStart w:id="0" w:name="_Hlk100561082"/>
      <w:r>
        <w:rPr>
          <w:rFonts w:hint="eastAsia" w:ascii="仿宋" w:hAnsi="仿宋" w:eastAsia="仿宋" w:cs="宋体"/>
          <w:bCs/>
          <w:kern w:val="0"/>
          <w:sz w:val="24"/>
          <w:szCs w:val="24"/>
        </w:rPr>
        <w:t>（</w:t>
      </w:r>
      <w:r>
        <w:rPr>
          <w:rFonts w:ascii="仿宋" w:hAnsi="仿宋" w:eastAsia="仿宋" w:cs="宋体"/>
          <w:bCs/>
          <w:kern w:val="0"/>
          <w:sz w:val="24"/>
          <w:szCs w:val="24"/>
        </w:rPr>
        <w:t>1</w:t>
      </w:r>
      <w:r>
        <w:rPr>
          <w:rFonts w:hint="eastAsia" w:ascii="仿宋" w:hAnsi="仿宋" w:eastAsia="仿宋" w:cs="宋体"/>
          <w:bCs/>
          <w:kern w:val="0"/>
          <w:sz w:val="24"/>
          <w:szCs w:val="24"/>
        </w:rPr>
        <w:t xml:space="preserve">）完成项目涉及的无产权部门认领林木登报工作； </w:t>
      </w:r>
    </w:p>
    <w:p>
      <w:pPr>
        <w:pStyle w:val="125"/>
        <w:tabs>
          <w:tab w:val="left" w:pos="886"/>
        </w:tabs>
        <w:adjustRightInd w:val="0"/>
        <w:snapToGrid w:val="0"/>
        <w:spacing w:line="360" w:lineRule="auto"/>
        <w:ind w:firstLine="0"/>
        <w:rPr>
          <w:rFonts w:ascii="仿宋" w:hAnsi="仿宋" w:eastAsia="仿宋"/>
          <w:kern w:val="0"/>
          <w:sz w:val="24"/>
          <w:szCs w:val="24"/>
        </w:rPr>
      </w:pPr>
      <w:r>
        <w:rPr>
          <w:rFonts w:hint="eastAsia" w:ascii="仿宋" w:hAnsi="仿宋" w:eastAsia="仿宋"/>
          <w:bCs/>
          <w:kern w:val="0"/>
          <w:sz w:val="24"/>
          <w:szCs w:val="24"/>
        </w:rPr>
        <w:t>（</w:t>
      </w:r>
      <w:r>
        <w:rPr>
          <w:rFonts w:ascii="仿宋" w:hAnsi="仿宋" w:eastAsia="PMingLiU"/>
          <w:bCs/>
          <w:kern w:val="0"/>
          <w:sz w:val="24"/>
          <w:szCs w:val="24"/>
        </w:rPr>
        <w:t>2</w:t>
      </w:r>
      <w:r>
        <w:rPr>
          <w:rFonts w:hint="eastAsia" w:ascii="仿宋" w:hAnsi="仿宋" w:eastAsia="仿宋"/>
          <w:bCs/>
          <w:kern w:val="0"/>
          <w:sz w:val="24"/>
          <w:szCs w:val="24"/>
        </w:rPr>
        <w:t>）</w:t>
      </w:r>
      <w:r>
        <w:rPr>
          <w:rFonts w:hint="eastAsia" w:ascii="仿宋" w:hAnsi="仿宋" w:eastAsia="仿宋"/>
          <w:kern w:val="0"/>
          <w:sz w:val="24"/>
          <w:szCs w:val="24"/>
          <w:lang w:val="en-US" w:eastAsia="zh-CN"/>
        </w:rPr>
        <w:t>与相关行政主管部门沟通，确定深圳音乐学院项目范围内林木需采伐及迁移的范围及数量，并负责相关迁移及采伐的行政手续办理，直至取得相关行政许可或批复文件；</w:t>
      </w:r>
      <w:r>
        <w:rPr>
          <w:rFonts w:hint="eastAsia" w:ascii="仿宋" w:hAnsi="仿宋" w:eastAsia="仿宋"/>
          <w:kern w:val="0"/>
          <w:sz w:val="24"/>
          <w:szCs w:val="24"/>
          <w:lang w:val="en-US" w:eastAsia="zh-CN" w:bidi="ar-SA"/>
        </w:rPr>
        <w:t xml:space="preserve"> </w:t>
      </w:r>
    </w:p>
    <w:p>
      <w:pPr>
        <w:adjustRightInd w:val="0"/>
        <w:snapToGrid w:val="0"/>
        <w:spacing w:line="360" w:lineRule="auto"/>
        <w:rPr>
          <w:rFonts w:ascii="仿宋" w:hAnsi="仿宋" w:eastAsia="仿宋" w:cs="宋体"/>
          <w:bCs/>
          <w:kern w:val="0"/>
          <w:sz w:val="24"/>
          <w:szCs w:val="24"/>
        </w:rPr>
      </w:pPr>
      <w:bookmarkStart w:id="1" w:name="_Hlk100302737"/>
      <w:r>
        <w:rPr>
          <w:rFonts w:hint="eastAsia" w:ascii="仿宋" w:hAnsi="仿宋" w:eastAsia="仿宋" w:cs="宋体"/>
          <w:bCs/>
          <w:kern w:val="0"/>
          <w:sz w:val="24"/>
          <w:szCs w:val="24"/>
        </w:rPr>
        <w:t>（</w:t>
      </w:r>
      <w:r>
        <w:rPr>
          <w:rFonts w:ascii="仿宋" w:hAnsi="仿宋" w:eastAsia="仿宋" w:cs="宋体"/>
          <w:bCs/>
          <w:kern w:val="0"/>
          <w:sz w:val="24"/>
          <w:szCs w:val="24"/>
        </w:rPr>
        <w:t>3</w:t>
      </w:r>
      <w:r>
        <w:rPr>
          <w:rFonts w:hint="eastAsia" w:ascii="仿宋" w:hAnsi="仿宋" w:eastAsia="仿宋" w:cs="宋体"/>
          <w:bCs/>
          <w:kern w:val="0"/>
          <w:sz w:val="24"/>
          <w:szCs w:val="24"/>
        </w:rPr>
        <w:t>）根据行政主管部门要求，完成项目涉及的所有林木采伐及迁移，并按相关规定进行迁移后的林木管理和养护工作</w:t>
      </w:r>
      <w:bookmarkEnd w:id="1"/>
      <w:r>
        <w:rPr>
          <w:rFonts w:hint="eastAsia" w:ascii="仿宋" w:hAnsi="仿宋" w:eastAsia="仿宋" w:cs="宋体"/>
          <w:bCs/>
          <w:kern w:val="0"/>
          <w:sz w:val="24"/>
          <w:szCs w:val="24"/>
        </w:rPr>
        <w:t>。</w:t>
      </w:r>
    </w:p>
    <w:bookmarkEnd w:id="0"/>
    <w:p>
      <w:pPr>
        <w:adjustRightInd w:val="0"/>
        <w:snapToGrid w:val="0"/>
        <w:spacing w:line="360" w:lineRule="auto"/>
        <w:jc w:val="left"/>
        <w:rPr>
          <w:rFonts w:hint="eastAsia" w:ascii="仿宋" w:hAnsi="仿宋" w:eastAsia="仿宋" w:cs="宋体"/>
          <w:b/>
          <w:kern w:val="0"/>
          <w:sz w:val="24"/>
          <w:szCs w:val="24"/>
        </w:rPr>
      </w:pPr>
      <w:r>
        <w:rPr>
          <w:rFonts w:hint="eastAsia" w:ascii="仿宋" w:hAnsi="仿宋" w:eastAsia="仿宋" w:cs="宋体"/>
          <w:b/>
          <w:kern w:val="0"/>
          <w:sz w:val="24"/>
          <w:szCs w:val="24"/>
        </w:rPr>
        <w:t>递交投标资料的时间及地点：</w:t>
      </w:r>
    </w:p>
    <w:p>
      <w:pPr>
        <w:adjustRightInd w:val="0"/>
        <w:snapToGrid w:val="0"/>
        <w:spacing w:line="360" w:lineRule="auto"/>
        <w:ind w:firstLine="480" w:firstLineChars="200"/>
        <w:rPr>
          <w:rFonts w:hint="eastAsia" w:ascii="仿宋" w:hAnsi="仿宋" w:eastAsia="仿宋"/>
          <w:sz w:val="24"/>
          <w:highlight w:val="none"/>
          <w:u w:val="single"/>
          <w:lang w:eastAsia="zh-CN"/>
        </w:rPr>
      </w:pPr>
      <w:r>
        <w:rPr>
          <w:rFonts w:hint="eastAsia" w:ascii="仿宋" w:hAnsi="仿宋"/>
          <w:sz w:val="24"/>
          <w:highlight w:val="none"/>
        </w:rPr>
        <w:t>202</w:t>
      </w:r>
      <w:r>
        <w:rPr>
          <w:rFonts w:ascii="仿宋" w:hAnsi="仿宋"/>
          <w:sz w:val="24"/>
          <w:highlight w:val="none"/>
        </w:rPr>
        <w:t>2</w:t>
      </w:r>
      <w:r>
        <w:rPr>
          <w:rFonts w:hint="eastAsia" w:ascii="仿宋" w:hAnsi="仿宋"/>
          <w:sz w:val="24"/>
          <w:highlight w:val="none"/>
        </w:rPr>
        <w:t>年</w:t>
      </w:r>
      <w:r>
        <w:rPr>
          <w:rFonts w:hint="eastAsia" w:ascii="仿宋" w:hAnsi="仿宋"/>
          <w:sz w:val="24"/>
          <w:highlight w:val="none"/>
          <w:u w:val="single"/>
          <w:lang w:val="en-US" w:eastAsia="zh-CN"/>
        </w:rPr>
        <w:t>06</w:t>
      </w:r>
      <w:r>
        <w:rPr>
          <w:rFonts w:hint="eastAsia" w:ascii="仿宋" w:hAnsi="仿宋"/>
          <w:sz w:val="24"/>
          <w:highlight w:val="none"/>
        </w:rPr>
        <w:t>月</w:t>
      </w:r>
      <w:r>
        <w:rPr>
          <w:rFonts w:hint="eastAsia" w:ascii="仿宋" w:hAnsi="仿宋"/>
          <w:sz w:val="24"/>
          <w:highlight w:val="none"/>
          <w:u w:val="single"/>
          <w:lang w:val="en-US" w:eastAsia="zh-CN"/>
        </w:rPr>
        <w:t>02</w:t>
      </w:r>
      <w:r>
        <w:rPr>
          <w:rFonts w:hint="eastAsia" w:ascii="仿宋" w:hAnsi="仿宋"/>
          <w:sz w:val="24"/>
          <w:highlight w:val="none"/>
        </w:rPr>
        <w:t>日</w:t>
      </w:r>
      <w:r>
        <w:rPr>
          <w:rFonts w:hint="eastAsia" w:ascii="仿宋" w:hAnsi="仿宋"/>
          <w:sz w:val="24"/>
          <w:highlight w:val="none"/>
          <w:u w:val="single"/>
          <w:lang w:val="en-US" w:eastAsia="zh-CN"/>
        </w:rPr>
        <w:t>10:00</w:t>
      </w:r>
      <w:r>
        <w:rPr>
          <w:rFonts w:hint="eastAsia" w:ascii="仿宋" w:hAnsi="仿宋"/>
          <w:sz w:val="24"/>
          <w:highlight w:val="none"/>
        </w:rPr>
        <w:t>点</w:t>
      </w:r>
      <w:r>
        <w:rPr>
          <w:rFonts w:hint="eastAsia" w:ascii="仿宋" w:hAnsi="仿宋" w:eastAsia="仿宋" w:cs="宋体"/>
          <w:kern w:val="0"/>
          <w:sz w:val="24"/>
          <w:szCs w:val="24"/>
          <w:highlight w:val="none"/>
        </w:rPr>
        <w:t>香港中文大学西门工务署集群项目部</w:t>
      </w:r>
      <w:r>
        <w:rPr>
          <w:rFonts w:hint="eastAsia" w:ascii="仿宋" w:hAnsi="仿宋" w:eastAsia="仿宋" w:cs="宋体"/>
          <w:kern w:val="0"/>
          <w:sz w:val="24"/>
          <w:szCs w:val="24"/>
          <w:highlight w:val="none"/>
          <w:lang w:val="en-US" w:eastAsia="zh-CN"/>
        </w:rPr>
        <w:t>党建</w:t>
      </w:r>
      <w:r>
        <w:rPr>
          <w:rFonts w:ascii="仿宋" w:hAnsi="仿宋" w:eastAsia="仿宋" w:cs="宋体"/>
          <w:kern w:val="0"/>
          <w:sz w:val="24"/>
          <w:szCs w:val="24"/>
          <w:highlight w:val="none"/>
        </w:rPr>
        <w:t>会议室</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深圳市</w:t>
      </w:r>
      <w:r>
        <w:rPr>
          <w:rFonts w:hint="eastAsia" w:ascii="仿宋" w:hAnsi="仿宋" w:eastAsia="仿宋" w:cs="宋体"/>
          <w:kern w:val="0"/>
          <w:sz w:val="24"/>
          <w:szCs w:val="24"/>
          <w:highlight w:val="none"/>
        </w:rPr>
        <w:t>龙岗区龙城街道国际大学园路香港中文大学西门</w:t>
      </w:r>
      <w:r>
        <w:rPr>
          <w:rFonts w:hint="eastAsia" w:ascii="仿宋" w:hAnsi="仿宋" w:eastAsia="仿宋" w:cs="宋体"/>
          <w:kern w:val="0"/>
          <w:sz w:val="24"/>
          <w:szCs w:val="24"/>
          <w:highlight w:val="none"/>
          <w:lang w:eastAsia="zh-CN"/>
        </w:rPr>
        <w:t>）</w:t>
      </w:r>
    </w:p>
    <w:p>
      <w:pPr>
        <w:adjustRightInd w:val="0"/>
        <w:snapToGrid w:val="0"/>
        <w:spacing w:line="360" w:lineRule="auto"/>
        <w:jc w:val="left"/>
        <w:rPr>
          <w:rFonts w:hint="eastAsia" w:ascii="仿宋" w:hAnsi="仿宋" w:eastAsia="仿宋" w:cs="宋体"/>
          <w:b/>
          <w:kern w:val="0"/>
          <w:sz w:val="24"/>
          <w:szCs w:val="24"/>
          <w:highlight w:val="none"/>
        </w:rPr>
      </w:pPr>
      <w:r>
        <w:rPr>
          <w:rFonts w:hint="eastAsia" w:ascii="仿宋" w:hAnsi="仿宋" w:eastAsia="仿宋" w:cs="宋体"/>
          <w:b/>
          <w:kern w:val="0"/>
          <w:sz w:val="24"/>
          <w:szCs w:val="24"/>
          <w:highlight w:val="none"/>
        </w:rPr>
        <w:t>开标（截标）时间及地点：</w:t>
      </w:r>
    </w:p>
    <w:p>
      <w:pPr>
        <w:adjustRightInd w:val="0"/>
        <w:snapToGrid w:val="0"/>
        <w:spacing w:line="360" w:lineRule="auto"/>
        <w:ind w:firstLine="480" w:firstLineChars="200"/>
        <w:rPr>
          <w:rFonts w:hint="eastAsia" w:ascii="仿宋" w:hAnsi="仿宋" w:eastAsia="仿宋" w:cs="宋体"/>
          <w:kern w:val="0"/>
          <w:sz w:val="24"/>
          <w:szCs w:val="24"/>
          <w:highlight w:val="none"/>
          <w:lang w:eastAsia="zh-CN"/>
        </w:rPr>
      </w:pPr>
      <w:r>
        <w:rPr>
          <w:rFonts w:hint="eastAsia" w:ascii="仿宋" w:hAnsi="仿宋"/>
          <w:sz w:val="24"/>
          <w:highlight w:val="none"/>
        </w:rPr>
        <w:t>202</w:t>
      </w:r>
      <w:r>
        <w:rPr>
          <w:rFonts w:ascii="仿宋" w:hAnsi="仿宋"/>
          <w:sz w:val="24"/>
          <w:highlight w:val="none"/>
        </w:rPr>
        <w:t>2</w:t>
      </w:r>
      <w:r>
        <w:rPr>
          <w:rFonts w:hint="eastAsia" w:ascii="仿宋" w:hAnsi="仿宋"/>
          <w:sz w:val="24"/>
          <w:highlight w:val="none"/>
        </w:rPr>
        <w:t>年</w:t>
      </w:r>
      <w:r>
        <w:rPr>
          <w:rFonts w:hint="eastAsia" w:ascii="仿宋" w:hAnsi="仿宋"/>
          <w:sz w:val="24"/>
          <w:highlight w:val="none"/>
          <w:u w:val="single"/>
          <w:lang w:val="en-US" w:eastAsia="zh-CN"/>
        </w:rPr>
        <w:t>06</w:t>
      </w:r>
      <w:r>
        <w:rPr>
          <w:rFonts w:hint="eastAsia" w:ascii="仿宋" w:hAnsi="仿宋"/>
          <w:sz w:val="24"/>
          <w:highlight w:val="none"/>
        </w:rPr>
        <w:t>月</w:t>
      </w:r>
      <w:r>
        <w:rPr>
          <w:rFonts w:hint="eastAsia" w:ascii="仿宋" w:hAnsi="仿宋"/>
          <w:sz w:val="24"/>
          <w:highlight w:val="none"/>
          <w:u w:val="single"/>
          <w:lang w:val="en-US" w:eastAsia="zh-CN"/>
        </w:rPr>
        <w:t>02</w:t>
      </w:r>
      <w:r>
        <w:rPr>
          <w:rFonts w:hint="eastAsia" w:ascii="仿宋" w:hAnsi="仿宋"/>
          <w:sz w:val="24"/>
          <w:highlight w:val="none"/>
        </w:rPr>
        <w:t>日</w:t>
      </w:r>
      <w:r>
        <w:rPr>
          <w:rFonts w:hint="eastAsia" w:ascii="仿宋" w:hAnsi="仿宋"/>
          <w:sz w:val="24"/>
          <w:highlight w:val="none"/>
          <w:u w:val="single"/>
          <w:lang w:val="en-US" w:eastAsia="zh-CN"/>
        </w:rPr>
        <w:t>10:00</w:t>
      </w:r>
      <w:r>
        <w:rPr>
          <w:rFonts w:hint="eastAsia" w:ascii="仿宋" w:hAnsi="仿宋"/>
          <w:sz w:val="24"/>
          <w:highlight w:val="none"/>
        </w:rPr>
        <w:t>点</w:t>
      </w:r>
      <w:r>
        <w:rPr>
          <w:rFonts w:hint="eastAsia" w:ascii="仿宋" w:hAnsi="仿宋" w:eastAsia="仿宋" w:cs="宋体"/>
          <w:kern w:val="0"/>
          <w:sz w:val="24"/>
          <w:szCs w:val="24"/>
          <w:highlight w:val="none"/>
        </w:rPr>
        <w:t>香港中文大学西门工务署集群项目部</w:t>
      </w:r>
      <w:r>
        <w:rPr>
          <w:rFonts w:hint="eastAsia" w:ascii="仿宋" w:hAnsi="仿宋" w:eastAsia="仿宋" w:cs="宋体"/>
          <w:kern w:val="0"/>
          <w:sz w:val="24"/>
          <w:szCs w:val="24"/>
          <w:highlight w:val="none"/>
          <w:lang w:val="en-US" w:eastAsia="zh-CN"/>
        </w:rPr>
        <w:t>党建</w:t>
      </w:r>
      <w:r>
        <w:rPr>
          <w:rFonts w:ascii="仿宋" w:hAnsi="仿宋" w:eastAsia="仿宋" w:cs="宋体"/>
          <w:kern w:val="0"/>
          <w:sz w:val="24"/>
          <w:szCs w:val="24"/>
          <w:highlight w:val="none"/>
        </w:rPr>
        <w:t>会议</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深圳市</w:t>
      </w:r>
      <w:r>
        <w:rPr>
          <w:rFonts w:hint="eastAsia" w:ascii="仿宋" w:hAnsi="仿宋" w:eastAsia="仿宋" w:cs="宋体"/>
          <w:kern w:val="0"/>
          <w:sz w:val="24"/>
          <w:szCs w:val="24"/>
          <w:highlight w:val="none"/>
        </w:rPr>
        <w:t>龙岗区龙城街道国际大学园路香港中文大学西门</w:t>
      </w:r>
      <w:r>
        <w:rPr>
          <w:rFonts w:hint="eastAsia" w:ascii="仿宋" w:hAnsi="仿宋" w:eastAsia="仿宋" w:cs="宋体"/>
          <w:kern w:val="0"/>
          <w:sz w:val="24"/>
          <w:szCs w:val="24"/>
          <w:highlight w:val="none"/>
          <w:lang w:eastAsia="zh-CN"/>
        </w:rPr>
        <w:t>）</w:t>
      </w:r>
    </w:p>
    <w:p>
      <w:p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b/>
          <w:bCs/>
          <w:sz w:val="24"/>
          <w:szCs w:val="24"/>
          <w:highlight w:val="none"/>
          <w:lang w:val="en-US" w:eastAsia="zh-CN"/>
        </w:rPr>
        <w:t>开标定标会期间疫情防控注意事项：</w:t>
      </w:r>
    </w:p>
    <w:p>
      <w:pPr>
        <w:numPr>
          <w:ilvl w:val="0"/>
          <w:numId w:val="4"/>
        </w:num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近14天有中高风险地区旅居史的，不得现场参会；</w:t>
      </w:r>
    </w:p>
    <w:p>
      <w:pPr>
        <w:numPr>
          <w:ilvl w:val="0"/>
          <w:numId w:val="4"/>
        </w:num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各投标单位应最多派遣一名投标代表参会；</w:t>
      </w:r>
    </w:p>
    <w:p>
      <w:pPr>
        <w:numPr>
          <w:ilvl w:val="0"/>
          <w:numId w:val="4"/>
        </w:num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招标人在</w:t>
      </w:r>
      <w:r>
        <w:rPr>
          <w:rFonts w:hint="eastAsia" w:ascii="仿宋" w:hAnsi="仿宋" w:eastAsia="仿宋" w:cs="宋体"/>
          <w:kern w:val="0"/>
          <w:sz w:val="24"/>
          <w:szCs w:val="24"/>
          <w:highlight w:val="none"/>
          <w:lang w:val="en-US" w:eastAsia="zh-CN"/>
        </w:rPr>
        <w:t>深圳市</w:t>
      </w:r>
      <w:r>
        <w:rPr>
          <w:rFonts w:hint="eastAsia" w:ascii="仿宋" w:hAnsi="仿宋" w:eastAsia="仿宋" w:cs="宋体"/>
          <w:kern w:val="0"/>
          <w:sz w:val="24"/>
          <w:szCs w:val="24"/>
          <w:highlight w:val="none"/>
        </w:rPr>
        <w:t>龙岗区龙城街道国际大学园路香港中文大学西门工务署集群项目部</w:t>
      </w:r>
      <w:r>
        <w:rPr>
          <w:rFonts w:hint="eastAsia" w:ascii="仿宋" w:hAnsi="仿宋" w:eastAsia="仿宋" w:cs="宋体"/>
          <w:kern w:val="0"/>
          <w:sz w:val="24"/>
          <w:szCs w:val="24"/>
          <w:highlight w:val="none"/>
          <w:lang w:val="en-US" w:eastAsia="zh-CN"/>
        </w:rPr>
        <w:t>会议室进行身份证明核验，并收集投标资料；</w:t>
      </w:r>
    </w:p>
    <w:p>
      <w:pPr>
        <w:numPr>
          <w:ilvl w:val="0"/>
          <w:numId w:val="4"/>
        </w:num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cs="宋体"/>
          <w:kern w:val="0"/>
          <w:sz w:val="24"/>
          <w:szCs w:val="24"/>
          <w:highlight w:val="none"/>
          <w:lang w:val="en-US" w:eastAsia="zh-CN"/>
        </w:rPr>
        <w:t>开标定标期间，投标人如有异议可现场提出；</w:t>
      </w:r>
    </w:p>
    <w:p>
      <w:pPr>
        <w:numPr>
          <w:ilvl w:val="0"/>
          <w:numId w:val="0"/>
        </w:numPr>
        <w:adjustRightInd w:val="0"/>
        <w:snapToGrid w:val="0"/>
        <w:spacing w:line="360" w:lineRule="auto"/>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疫情期间，如投标人代表无法出示本人当天“深i您”微信小程序“粤康码”绿码、24小时核酸检测阴性报告、连续三天核酸检测记录、通信大数据绿色行程码或体温超过37.3℃的，投标人应承担以下责任：</w:t>
      </w:r>
    </w:p>
    <w:p>
      <w:pPr>
        <w:numPr>
          <w:ilvl w:val="0"/>
          <w:numId w:val="0"/>
        </w:numPr>
        <w:adjustRightInd w:val="0"/>
        <w:snapToGrid w:val="0"/>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1）拒绝投标人参与招投标活动，包括因招标人拒绝投标人参与招投标活动所造成的一切不利于投标人的结果；</w:t>
      </w:r>
    </w:p>
    <w:p>
      <w:pPr>
        <w:adjustRightInd w:val="0"/>
        <w:snapToGrid w:val="0"/>
        <w:spacing w:line="360" w:lineRule="auto"/>
        <w:rPr>
          <w:rFonts w:hint="eastAsia" w:ascii="仿宋" w:hAnsi="仿宋" w:eastAsia="仿宋"/>
          <w:sz w:val="24"/>
          <w:highlight w:val="none"/>
          <w:u w:val="single"/>
          <w:lang w:eastAsia="zh-CN"/>
        </w:rPr>
      </w:pPr>
      <w:r>
        <w:rPr>
          <w:rFonts w:hint="eastAsia" w:ascii="仿宋" w:hAnsi="仿宋" w:eastAsia="仿宋"/>
          <w:sz w:val="24"/>
          <w:szCs w:val="24"/>
          <w:highlight w:val="none"/>
          <w:lang w:val="en-US" w:eastAsia="zh-CN"/>
        </w:rPr>
        <w:t>2）招标人因后续疫情防控措施所产生的实际损失。</w:t>
      </w:r>
    </w:p>
    <w:p>
      <w:pPr>
        <w:adjustRightInd w:val="0"/>
        <w:snapToGrid w:val="0"/>
        <w:spacing w:line="360" w:lineRule="auto"/>
        <w:rPr>
          <w:rFonts w:hint="eastAsia" w:ascii="仿宋" w:hAnsi="仿宋" w:eastAsia="仿宋" w:cs="宋体"/>
          <w:kern w:val="0"/>
          <w:sz w:val="24"/>
          <w:szCs w:val="24"/>
          <w:highlight w:val="none"/>
          <w:lang w:val="en-US" w:eastAsia="zh-CN"/>
        </w:rPr>
      </w:pPr>
      <w:r>
        <w:rPr>
          <w:rFonts w:hint="eastAsia" w:ascii="仿宋" w:hAnsi="仿宋" w:eastAsia="仿宋"/>
          <w:b/>
          <w:sz w:val="24"/>
          <w:szCs w:val="24"/>
          <w:highlight w:val="none"/>
        </w:rPr>
        <w:t>拟采用的定标方法</w:t>
      </w:r>
      <w:r>
        <w:rPr>
          <w:rFonts w:hint="eastAsia" w:ascii="仿宋" w:hAnsi="仿宋" w:eastAsia="仿宋"/>
          <w:sz w:val="24"/>
          <w:szCs w:val="24"/>
          <w:highlight w:val="none"/>
        </w:rPr>
        <w:t>：</w:t>
      </w:r>
      <w:r>
        <w:rPr>
          <w:rFonts w:hint="eastAsia" w:ascii="仿宋" w:hAnsi="仿宋" w:eastAsia="仿宋" w:cs="宋体"/>
          <w:kern w:val="0"/>
          <w:sz w:val="24"/>
          <w:szCs w:val="24"/>
          <w:highlight w:val="none"/>
        </w:rPr>
        <w:t>低价法</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第二低价）</w:t>
      </w:r>
    </w:p>
    <w:p>
      <w:pPr>
        <w:adjustRightInd w:val="0"/>
        <w:snapToGrid w:val="0"/>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highlight w:val="none"/>
          <w:lang w:val="en-US" w:eastAsia="zh-CN"/>
        </w:rPr>
        <w:t>招标人按投标报价由低到高对投标人进行排序，并依次进行资格审查，若满足资格条件的投标人达到三家，则投标报价第二低价者为中标候选人；如经招标人审查后合格投标人仅剩两家，则投标报价低者为中标候选人；如合格投标人仅剩1家则进行重新招标。</w:t>
      </w:r>
      <w:r>
        <w:rPr>
          <w:rFonts w:hint="eastAsia" w:ascii="仿宋" w:hAnsi="仿宋" w:eastAsia="仿宋" w:cs="宋体"/>
          <w:kern w:val="0"/>
          <w:sz w:val="24"/>
          <w:szCs w:val="24"/>
        </w:rPr>
        <w:t>如出现两名及以上投标人报价完全相同且影响中标结果的情形，则采用抽签方式确定1名中标候选人。</w:t>
      </w:r>
    </w:p>
    <w:p>
      <w:pPr>
        <w:adjustRightInd w:val="0"/>
        <w:snapToGrid w:val="0"/>
        <w:spacing w:line="360" w:lineRule="auto"/>
        <w:ind w:firstLine="480" w:firstLineChars="200"/>
        <w:rPr>
          <w:rFonts w:hint="eastAsia" w:ascii="仿宋" w:hAnsi="仿宋" w:eastAsia="仿宋"/>
          <w:sz w:val="24"/>
          <w:szCs w:val="24"/>
          <w:highlight w:val="yellow"/>
          <w:lang w:val="en-US" w:eastAsia="zh-CN"/>
        </w:rPr>
      </w:pPr>
      <w:r>
        <w:rPr>
          <w:rFonts w:hint="eastAsia" w:ascii="仿宋" w:hAnsi="仿宋" w:eastAsia="仿宋" w:cs="宋体"/>
          <w:kern w:val="0"/>
          <w:sz w:val="24"/>
          <w:szCs w:val="24"/>
        </w:rPr>
        <w:t>具体抽签方式为：（1）抽签原则：大号中标。（2）抽签顺序为投标人代表签到顺序。（3）如对抽签会程序及结果存在异议的，需在抽签会结束前当场向招标人提出，接受口头异议投诉方式。</w:t>
      </w:r>
    </w:p>
    <w:p>
      <w:pPr>
        <w:adjustRightInd w:val="0"/>
        <w:snapToGrid w:val="0"/>
        <w:spacing w:line="360" w:lineRule="auto"/>
        <w:rPr>
          <w:rFonts w:ascii="仿宋" w:hAnsi="仿宋" w:eastAsia="仿宋"/>
          <w:sz w:val="24"/>
          <w:szCs w:val="24"/>
        </w:rPr>
      </w:pPr>
      <w:r>
        <w:rPr>
          <w:rFonts w:hint="eastAsia" w:ascii="仿宋" w:hAnsi="仿宋" w:eastAsia="仿宋"/>
          <w:b/>
          <w:bCs/>
          <w:sz w:val="24"/>
          <w:szCs w:val="24"/>
        </w:rPr>
        <w:t>投标上限价：</w:t>
      </w:r>
      <w:bookmarkStart w:id="2" w:name="_Hlk101338080"/>
      <w:r>
        <w:rPr>
          <w:rFonts w:hint="eastAsia" w:ascii="仿宋" w:hAnsi="仿宋" w:eastAsia="仿宋"/>
          <w:sz w:val="24"/>
          <w:szCs w:val="24"/>
        </w:rPr>
        <w:t>4</w:t>
      </w:r>
      <w:r>
        <w:rPr>
          <w:rFonts w:hint="eastAsia" w:ascii="仿宋" w:hAnsi="仿宋" w:eastAsia="仿宋"/>
          <w:sz w:val="24"/>
          <w:szCs w:val="24"/>
          <w:lang w:val="en-US" w:eastAsia="zh-CN"/>
        </w:rPr>
        <w:t>80197</w:t>
      </w:r>
      <w:r>
        <w:rPr>
          <w:rFonts w:hint="eastAsia" w:ascii="仿宋" w:hAnsi="仿宋" w:eastAsia="仿宋"/>
          <w:sz w:val="24"/>
          <w:szCs w:val="24"/>
        </w:rPr>
        <w:t>.</w:t>
      </w:r>
      <w:bookmarkEnd w:id="2"/>
      <w:r>
        <w:rPr>
          <w:rFonts w:hint="eastAsia" w:ascii="仿宋" w:hAnsi="仿宋" w:eastAsia="仿宋"/>
          <w:sz w:val="24"/>
          <w:szCs w:val="24"/>
          <w:lang w:val="en-US" w:eastAsia="zh-CN"/>
        </w:rPr>
        <w:t>6</w:t>
      </w:r>
      <w:r>
        <w:rPr>
          <w:rFonts w:hint="eastAsia" w:ascii="仿宋" w:hAnsi="仿宋" w:eastAsia="仿宋"/>
          <w:sz w:val="24"/>
          <w:szCs w:val="24"/>
        </w:rPr>
        <w:t>元</w:t>
      </w:r>
      <w:r>
        <w:rPr>
          <w:rFonts w:ascii="仿宋" w:hAnsi="仿宋" w:eastAsia="仿宋"/>
          <w:sz w:val="24"/>
          <w:szCs w:val="24"/>
        </w:rPr>
        <w:t>。</w:t>
      </w:r>
    </w:p>
    <w:p>
      <w:pPr>
        <w:adjustRightInd w:val="0"/>
        <w:snapToGrid w:val="0"/>
        <w:spacing w:line="360" w:lineRule="auto"/>
        <w:rPr>
          <w:rFonts w:ascii="仿宋" w:hAnsi="仿宋" w:eastAsia="仿宋"/>
          <w:b/>
          <w:sz w:val="24"/>
          <w:szCs w:val="24"/>
        </w:rPr>
      </w:pPr>
      <w:r>
        <w:rPr>
          <w:rFonts w:hint="eastAsia" w:ascii="仿宋" w:hAnsi="仿宋" w:eastAsia="仿宋"/>
          <w:b/>
          <w:sz w:val="24"/>
          <w:szCs w:val="24"/>
        </w:rPr>
        <w:t>付款</w:t>
      </w:r>
      <w:r>
        <w:rPr>
          <w:rFonts w:hint="eastAsia" w:ascii="仿宋" w:hAnsi="仿宋" w:eastAsia="仿宋"/>
          <w:b/>
          <w:sz w:val="24"/>
          <w:szCs w:val="24"/>
          <w:lang w:val="en-US" w:eastAsia="zh-CN"/>
        </w:rPr>
        <w:t>及结算</w:t>
      </w:r>
      <w:r>
        <w:rPr>
          <w:rFonts w:hint="eastAsia" w:ascii="仿宋" w:hAnsi="仿宋" w:eastAsia="仿宋"/>
          <w:b/>
          <w:sz w:val="24"/>
          <w:szCs w:val="24"/>
        </w:rPr>
        <w:t>方式：</w:t>
      </w:r>
    </w:p>
    <w:p>
      <w:pPr>
        <w:adjustRightInd w:val="0"/>
        <w:snapToGrid w:val="0"/>
        <w:spacing w:line="360" w:lineRule="auto"/>
        <w:rPr>
          <w:rFonts w:ascii="仿宋" w:hAnsi="仿宋" w:eastAsia="仿宋"/>
          <w:sz w:val="24"/>
          <w:szCs w:val="24"/>
        </w:rPr>
      </w:pPr>
      <w:bookmarkStart w:id="3" w:name="_Hlk92786819"/>
      <w:r>
        <w:rPr>
          <w:rFonts w:hint="eastAsia" w:ascii="仿宋" w:hAnsi="仿宋" w:eastAsia="仿宋"/>
          <w:sz w:val="24"/>
          <w:szCs w:val="24"/>
        </w:rPr>
        <w:t>1、本合同不设预付款；</w:t>
      </w:r>
    </w:p>
    <w:p>
      <w:pPr>
        <w:adjustRightInd w:val="0"/>
        <w:snapToGrid w:val="0"/>
        <w:spacing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完成项目涉及的所有林木采伐和迁移工作，经监理、发包人、行政主管部门（如需）确认后，支付至实际完成工程量价款的</w:t>
      </w:r>
      <w:r>
        <w:rPr>
          <w:rFonts w:ascii="仿宋" w:hAnsi="仿宋" w:eastAsia="仿宋"/>
          <w:sz w:val="24"/>
          <w:szCs w:val="24"/>
        </w:rPr>
        <w:t>50%</w:t>
      </w:r>
      <w:r>
        <w:rPr>
          <w:rFonts w:hint="eastAsia" w:ascii="仿宋" w:hAnsi="仿宋" w:eastAsia="仿宋"/>
          <w:sz w:val="24"/>
          <w:szCs w:val="24"/>
        </w:rPr>
        <w:t>；</w:t>
      </w:r>
    </w:p>
    <w:p>
      <w:pPr>
        <w:adjustRightInd w:val="0"/>
        <w:snapToGrid w:val="0"/>
        <w:spacing w:line="36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、完成项目涉及的林木迁移且栽植</w:t>
      </w:r>
      <w:r>
        <w:rPr>
          <w:rFonts w:ascii="仿宋" w:hAnsi="仿宋" w:eastAsia="仿宋"/>
          <w:kern w:val="0"/>
          <w:sz w:val="24"/>
          <w:szCs w:val="24"/>
        </w:rPr>
        <w:t>成活养护期</w:t>
      </w:r>
      <w:r>
        <w:rPr>
          <w:rFonts w:hint="eastAsia" w:ascii="仿宋" w:hAnsi="仿宋" w:eastAsia="仿宋"/>
          <w:kern w:val="0"/>
          <w:sz w:val="24"/>
          <w:szCs w:val="24"/>
        </w:rPr>
        <w:t>满</w:t>
      </w:r>
      <w:r>
        <w:rPr>
          <w:rFonts w:hint="eastAsia" w:ascii="仿宋" w:hAnsi="仿宋" w:eastAsia="仿宋"/>
          <w:sz w:val="24"/>
          <w:szCs w:val="24"/>
        </w:rPr>
        <w:t>，经监理、发包人、行政主管部门（如需）验收合格后，按实际完成的合格工程量（栽植后的林木须存活，否则不予计量）进行计量结算，承包人提交结算资料经发包人认可后二十个工作日内，支付至合同价的</w:t>
      </w:r>
      <w:r>
        <w:rPr>
          <w:rFonts w:ascii="仿宋" w:hAnsi="仿宋" w:eastAsia="仿宋"/>
          <w:sz w:val="24"/>
          <w:szCs w:val="24"/>
        </w:rPr>
        <w:t>90%</w:t>
      </w:r>
      <w:r>
        <w:rPr>
          <w:rFonts w:hint="eastAsia" w:ascii="仿宋" w:hAnsi="仿宋" w:eastAsia="仿宋"/>
          <w:sz w:val="24"/>
          <w:szCs w:val="24"/>
        </w:rPr>
        <w:t xml:space="preserve">； </w:t>
      </w:r>
    </w:p>
    <w:p>
      <w:pPr>
        <w:adjustRightInd w:val="0"/>
        <w:snapToGrid w:val="0"/>
        <w:spacing w:line="360" w:lineRule="auto"/>
        <w:rPr>
          <w:rFonts w:hint="eastAsia" w:ascii="仿宋" w:hAnsi="仿宋" w:eastAsia="仿宋"/>
          <w:sz w:val="24"/>
          <w:szCs w:val="24"/>
          <w:lang w:eastAsia="zh-CN"/>
        </w:rPr>
      </w:pPr>
      <w:r>
        <w:rPr>
          <w:rFonts w:ascii="仿宋" w:hAnsi="仿宋" w:eastAsia="仿宋"/>
          <w:sz w:val="24"/>
          <w:szCs w:val="24"/>
        </w:rPr>
        <w:t>4</w:t>
      </w:r>
      <w:r>
        <w:rPr>
          <w:rFonts w:hint="eastAsia" w:ascii="仿宋" w:hAnsi="仿宋" w:eastAsia="仿宋"/>
          <w:sz w:val="24"/>
          <w:szCs w:val="24"/>
        </w:rPr>
        <w:t>、剩余款项经深圳市财政投资评审中心审核完毕后，支付余款</w:t>
      </w:r>
      <w:r>
        <w:rPr>
          <w:rFonts w:hint="eastAsia" w:ascii="仿宋" w:hAnsi="仿宋" w:eastAsia="仿宋"/>
          <w:sz w:val="24"/>
          <w:szCs w:val="24"/>
          <w:lang w:eastAsia="zh-CN"/>
        </w:rPr>
        <w:t>；</w:t>
      </w:r>
    </w:p>
    <w:p>
      <w:pPr>
        <w:adjustRightInd w:val="0"/>
        <w:snapToGrid w:val="0"/>
        <w:spacing w:line="360" w:lineRule="auto"/>
        <w:rPr>
          <w:rFonts w:hint="eastAsia" w:ascii="仿宋" w:hAnsi="仿宋" w:eastAsia="仿宋"/>
          <w:sz w:val="24"/>
          <w:szCs w:val="24"/>
          <w:lang w:eastAsia="zh-CN"/>
        </w:rPr>
      </w:pPr>
      <w:r>
        <w:rPr>
          <w:rFonts w:hint="eastAsia" w:ascii="仿宋" w:hAnsi="仿宋" w:eastAsia="仿宋"/>
          <w:sz w:val="24"/>
          <w:szCs w:val="24"/>
        </w:rPr>
        <w:t>5、上述费用均须政府部门财政或发改划拨款项到位后支付，发包人不承担因财政或发改审批或拨款延迟造成延迟付款的违约责任</w:t>
      </w:r>
      <w:r>
        <w:rPr>
          <w:rFonts w:hint="eastAsia" w:ascii="仿宋" w:hAnsi="仿宋" w:eastAsia="仿宋"/>
          <w:sz w:val="24"/>
          <w:szCs w:val="24"/>
          <w:lang w:eastAsia="zh-CN"/>
        </w:rPr>
        <w:t>。</w:t>
      </w:r>
    </w:p>
    <w:p>
      <w:pPr>
        <w:adjustRightInd w:val="0"/>
        <w:snapToGrid w:val="0"/>
        <w:spacing w:line="360" w:lineRule="auto"/>
        <w:rPr>
          <w:rFonts w:hint="default" w:ascii="仿宋" w:hAnsi="仿宋" w:eastAsia="仿宋" w:cs="宋体"/>
          <w:kern w:val="0"/>
          <w:sz w:val="24"/>
          <w:szCs w:val="24"/>
          <w:lang w:val="en-US" w:eastAsia="zh-CN"/>
        </w:rPr>
      </w:pPr>
      <w:r>
        <w:rPr>
          <w:rFonts w:hint="eastAsia" w:ascii="仿宋" w:hAnsi="仿宋" w:eastAsia="仿宋" w:cs="宋体"/>
          <w:b/>
          <w:kern w:val="0"/>
          <w:sz w:val="24"/>
          <w:szCs w:val="24"/>
        </w:rPr>
        <w:t>计价原则：</w:t>
      </w:r>
      <w:r>
        <w:rPr>
          <w:rFonts w:hint="eastAsia" w:ascii="仿宋" w:hAnsi="仿宋" w:eastAsia="仿宋"/>
          <w:bCs/>
          <w:sz w:val="24"/>
          <w:szCs w:val="24"/>
        </w:rPr>
        <w:t>固定综</w:t>
      </w:r>
      <w:r>
        <w:rPr>
          <w:rFonts w:hint="eastAsia" w:ascii="仿宋" w:hAnsi="仿宋" w:eastAsia="仿宋" w:cs="宋体"/>
          <w:kern w:val="0"/>
          <w:sz w:val="24"/>
          <w:szCs w:val="24"/>
        </w:rPr>
        <w:t>合单价</w:t>
      </w:r>
      <w:r>
        <w:rPr>
          <w:rFonts w:hint="eastAsia" w:ascii="仿宋" w:hAnsi="仿宋" w:eastAsia="仿宋"/>
          <w:bCs/>
          <w:sz w:val="24"/>
          <w:szCs w:val="24"/>
        </w:rPr>
        <w:t>。</w:t>
      </w:r>
      <w:r>
        <w:rPr>
          <w:rFonts w:hint="eastAsia" w:ascii="仿宋" w:hAnsi="仿宋" w:eastAsia="仿宋" w:cs="宋体"/>
          <w:kern w:val="0"/>
          <w:sz w:val="24"/>
          <w:szCs w:val="24"/>
          <w:lang w:val="en-US" w:eastAsia="zh-CN"/>
        </w:rPr>
        <w:t xml:space="preserve"> </w:t>
      </w:r>
    </w:p>
    <w:bookmarkEnd w:id="3"/>
    <w:p>
      <w:pPr>
        <w:adjustRightInd w:val="0"/>
        <w:snapToGrid w:val="0"/>
        <w:spacing w:line="360" w:lineRule="auto"/>
        <w:rPr>
          <w:rFonts w:ascii="仿宋" w:hAnsi="仿宋" w:eastAsia="仿宋"/>
          <w:sz w:val="24"/>
          <w:szCs w:val="24"/>
        </w:rPr>
      </w:pPr>
      <w:r>
        <w:rPr>
          <w:rFonts w:ascii="仿宋" w:hAnsi="仿宋" w:eastAsia="仿宋" w:cs="宋体"/>
          <w:b/>
          <w:kern w:val="0"/>
          <w:sz w:val="24"/>
          <w:szCs w:val="24"/>
        </w:rPr>
        <w:t>投标人资质要求：</w:t>
      </w:r>
      <w:r>
        <w:rPr>
          <w:rFonts w:hint="eastAsia" w:ascii="仿宋" w:hAnsi="仿宋" w:eastAsia="仿宋"/>
          <w:sz w:val="24"/>
          <w:szCs w:val="24"/>
        </w:rPr>
        <w:t>具备</w:t>
      </w:r>
      <w:r>
        <w:rPr>
          <w:rFonts w:ascii="仿宋" w:hAnsi="仿宋" w:eastAsia="仿宋"/>
          <w:sz w:val="24"/>
          <w:szCs w:val="24"/>
        </w:rPr>
        <w:t>中华人民共和国独立企业法人资格</w:t>
      </w:r>
      <w:r>
        <w:rPr>
          <w:rFonts w:hint="eastAsia" w:ascii="仿宋" w:hAnsi="仿宋" w:eastAsia="仿宋"/>
          <w:sz w:val="24"/>
          <w:szCs w:val="24"/>
        </w:rPr>
        <w:t>。</w:t>
      </w:r>
    </w:p>
    <w:p>
      <w:pPr>
        <w:adjustRightInd w:val="0"/>
        <w:snapToGrid w:val="0"/>
        <w:spacing w:line="360" w:lineRule="auto"/>
        <w:jc w:val="left"/>
        <w:rPr>
          <w:rFonts w:ascii="仿宋" w:hAnsi="仿宋" w:eastAsia="仿宋" w:cs="宋体"/>
          <w:b/>
          <w:kern w:val="0"/>
          <w:sz w:val="24"/>
          <w:szCs w:val="24"/>
        </w:rPr>
      </w:pPr>
      <w:r>
        <w:rPr>
          <w:rFonts w:ascii="仿宋" w:hAnsi="仿宋" w:eastAsia="仿宋" w:cs="宋体"/>
          <w:b/>
          <w:kern w:val="0"/>
          <w:sz w:val="24"/>
          <w:szCs w:val="24"/>
        </w:rPr>
        <w:t>联合体投标</w:t>
      </w:r>
      <w:r>
        <w:rPr>
          <w:rFonts w:hint="eastAsia" w:ascii="仿宋" w:hAnsi="仿宋" w:eastAsia="仿宋" w:cs="宋体"/>
          <w:b/>
          <w:kern w:val="0"/>
          <w:sz w:val="24"/>
          <w:szCs w:val="24"/>
        </w:rPr>
        <w:t>：</w:t>
      </w:r>
      <w:r>
        <w:rPr>
          <w:rFonts w:ascii="仿宋" w:hAnsi="仿宋" w:eastAsia="仿宋"/>
          <w:sz w:val="24"/>
          <w:szCs w:val="24"/>
        </w:rPr>
        <w:t>本项目不接受联合体投标</w:t>
      </w:r>
      <w:r>
        <w:rPr>
          <w:rFonts w:hint="eastAsia" w:ascii="仿宋" w:hAnsi="仿宋" w:eastAsia="仿宋"/>
          <w:sz w:val="24"/>
          <w:szCs w:val="24"/>
        </w:rPr>
        <w:t>。</w:t>
      </w:r>
    </w:p>
    <w:p>
      <w:pPr>
        <w:adjustRightInd w:val="0"/>
        <w:snapToGrid w:val="0"/>
        <w:spacing w:line="360" w:lineRule="auto"/>
        <w:rPr>
          <w:rFonts w:ascii="仿宋" w:hAnsi="仿宋" w:eastAsia="仿宋"/>
          <w:b/>
          <w:sz w:val="24"/>
          <w:szCs w:val="24"/>
        </w:rPr>
      </w:pPr>
      <w:r>
        <w:rPr>
          <w:rFonts w:hint="eastAsia" w:ascii="仿宋" w:hAnsi="仿宋" w:eastAsia="仿宋"/>
          <w:b/>
          <w:sz w:val="24"/>
          <w:szCs w:val="24"/>
        </w:rPr>
        <w:t>本次招标内容具体要求：</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1、本工程招标内容：</w:t>
      </w:r>
    </w:p>
    <w:p>
      <w:pPr>
        <w:pStyle w:val="125"/>
        <w:tabs>
          <w:tab w:val="left" w:pos="886"/>
        </w:tabs>
        <w:snapToGrid w:val="0"/>
        <w:spacing w:line="360" w:lineRule="auto"/>
        <w:ind w:firstLine="0"/>
        <w:rPr>
          <w:rFonts w:ascii="仿宋" w:hAnsi="仿宋" w:eastAsia="仿宋"/>
          <w:kern w:val="0"/>
          <w:sz w:val="24"/>
          <w:szCs w:val="24"/>
          <w:lang w:val="en-US" w:eastAsia="zh-CN"/>
        </w:rPr>
      </w:pPr>
      <w:r>
        <w:rPr>
          <w:rFonts w:hint="eastAsia" w:ascii="仿宋" w:hAnsi="仿宋" w:eastAsia="仿宋"/>
          <w:bCs/>
          <w:kern w:val="0"/>
          <w:sz w:val="24"/>
          <w:szCs w:val="24"/>
        </w:rPr>
        <w:t>（1）完成项目涉及的无产权部门认领林木登报工作；</w:t>
      </w:r>
    </w:p>
    <w:p>
      <w:pPr>
        <w:adjustRightInd w:val="0"/>
        <w:snapToGrid w:val="0"/>
        <w:spacing w:line="360" w:lineRule="auto"/>
        <w:rPr>
          <w:rFonts w:ascii="仿宋" w:hAnsi="仿宋" w:eastAsia="仿宋" w:cs="宋体"/>
          <w:bCs/>
          <w:kern w:val="0"/>
          <w:sz w:val="24"/>
          <w:szCs w:val="24"/>
        </w:rPr>
      </w:pPr>
      <w:r>
        <w:rPr>
          <w:rFonts w:hint="eastAsia" w:ascii="仿宋" w:hAnsi="仿宋" w:eastAsia="仿宋" w:cs="宋体"/>
          <w:bCs/>
          <w:kern w:val="0"/>
          <w:sz w:val="24"/>
          <w:szCs w:val="24"/>
        </w:rPr>
        <w:t>（</w:t>
      </w:r>
      <w:r>
        <w:rPr>
          <w:rFonts w:ascii="仿宋" w:hAnsi="仿宋" w:eastAsia="仿宋" w:cs="宋体"/>
          <w:bCs/>
          <w:kern w:val="0"/>
          <w:sz w:val="24"/>
          <w:szCs w:val="24"/>
        </w:rPr>
        <w:t>2</w:t>
      </w:r>
      <w:r>
        <w:rPr>
          <w:rFonts w:hint="eastAsia" w:ascii="仿宋" w:hAnsi="仿宋" w:eastAsia="仿宋" w:cs="宋体"/>
          <w:bCs/>
          <w:kern w:val="0"/>
          <w:sz w:val="24"/>
          <w:szCs w:val="24"/>
        </w:rPr>
        <w:t>）</w:t>
      </w:r>
      <w:r>
        <w:rPr>
          <w:rFonts w:hint="eastAsia" w:ascii="仿宋" w:hAnsi="仿宋" w:eastAsia="仿宋"/>
          <w:kern w:val="0"/>
          <w:sz w:val="24"/>
          <w:szCs w:val="24"/>
        </w:rPr>
        <w:t>与相关行政主管部门沟通，确定深圳音乐学院项目范围内林木需采伐及迁移的范围及数量，并负责相关迁移及采伐的行政手续办理，直至取得相关行政许可或批复文件；</w:t>
      </w:r>
      <w:r>
        <w:rPr>
          <w:rFonts w:hint="eastAsia" w:ascii="仿宋" w:hAnsi="仿宋" w:eastAsia="仿宋" w:cs="宋体"/>
          <w:bCs/>
          <w:kern w:val="0"/>
          <w:sz w:val="24"/>
          <w:szCs w:val="24"/>
        </w:rPr>
        <w:t xml:space="preserve"> </w:t>
      </w:r>
    </w:p>
    <w:p>
      <w:pPr>
        <w:adjustRightInd w:val="0"/>
        <w:snapToGrid w:val="0"/>
        <w:spacing w:line="360" w:lineRule="auto"/>
        <w:rPr>
          <w:rFonts w:ascii="仿宋" w:hAnsi="仿宋" w:eastAsia="仿宋" w:cs="宋体"/>
          <w:bCs/>
          <w:kern w:val="0"/>
          <w:sz w:val="24"/>
          <w:szCs w:val="24"/>
        </w:rPr>
      </w:pPr>
      <w:r>
        <w:rPr>
          <w:rFonts w:hint="eastAsia" w:ascii="仿宋" w:hAnsi="仿宋" w:eastAsia="仿宋" w:cs="宋体"/>
          <w:bCs/>
          <w:kern w:val="0"/>
          <w:sz w:val="24"/>
          <w:szCs w:val="24"/>
        </w:rPr>
        <w:t>（</w:t>
      </w:r>
      <w:r>
        <w:rPr>
          <w:rFonts w:ascii="仿宋" w:hAnsi="仿宋" w:eastAsia="仿宋" w:cs="宋体"/>
          <w:bCs/>
          <w:kern w:val="0"/>
          <w:sz w:val="24"/>
          <w:szCs w:val="24"/>
        </w:rPr>
        <w:t>3</w:t>
      </w:r>
      <w:r>
        <w:rPr>
          <w:rFonts w:hint="eastAsia" w:ascii="仿宋" w:hAnsi="仿宋" w:eastAsia="仿宋" w:cs="宋体"/>
          <w:bCs/>
          <w:kern w:val="0"/>
          <w:sz w:val="24"/>
          <w:szCs w:val="24"/>
        </w:rPr>
        <w:t>）根据行政主管部门要求，完成项目涉及的所有林木采伐及迁移，并按相关规定进行迁移后的林木管理和养护工作。</w:t>
      </w:r>
    </w:p>
    <w:p>
      <w:pPr>
        <w:pStyle w:val="125"/>
        <w:tabs>
          <w:tab w:val="left" w:pos="1276"/>
        </w:tabs>
        <w:snapToGrid w:val="0"/>
        <w:spacing w:line="360" w:lineRule="auto"/>
        <w:ind w:firstLine="0"/>
        <w:rPr>
          <w:rFonts w:ascii="仿宋" w:hAnsi="仿宋" w:eastAsia="仿宋" w:cstheme="minorBidi"/>
          <w:sz w:val="24"/>
          <w:szCs w:val="24"/>
          <w:lang w:val="en-US" w:eastAsia="zh-CN" w:bidi="ar-SA"/>
        </w:rPr>
      </w:pPr>
      <w:r>
        <w:rPr>
          <w:rFonts w:ascii="仿宋" w:hAnsi="仿宋" w:eastAsia="仿宋" w:cstheme="minorBidi"/>
          <w:sz w:val="24"/>
          <w:szCs w:val="24"/>
          <w:lang w:val="en-US" w:eastAsia="zh-CN" w:bidi="ar-SA"/>
        </w:rPr>
        <w:t>2</w:t>
      </w:r>
      <w:r>
        <w:rPr>
          <w:rFonts w:hint="eastAsia" w:ascii="仿宋" w:hAnsi="仿宋" w:eastAsia="仿宋" w:cstheme="minorBidi"/>
          <w:sz w:val="24"/>
          <w:szCs w:val="24"/>
          <w:lang w:val="en-US" w:eastAsia="zh-CN" w:bidi="ar-SA"/>
        </w:rPr>
        <w:t>、合同工期要求：</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（1）发包人不承诺为承包人提供现场临时办公用地。承包人临时驻地（包括办公、住宿用房等）由其自行解决；</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（2）承包人须于2</w:t>
      </w:r>
      <w:r>
        <w:rPr>
          <w:rFonts w:ascii="仿宋" w:hAnsi="仿宋" w:eastAsia="仿宋"/>
          <w:sz w:val="24"/>
          <w:szCs w:val="24"/>
        </w:rPr>
        <w:t>022</w:t>
      </w:r>
      <w:r>
        <w:rPr>
          <w:rFonts w:hint="eastAsia" w:ascii="仿宋" w:hAnsi="仿宋" w:eastAsia="仿宋"/>
          <w:sz w:val="24"/>
          <w:szCs w:val="24"/>
        </w:rPr>
        <w:t>年</w:t>
      </w:r>
      <w:r>
        <w:rPr>
          <w:rFonts w:ascii="仿宋" w:hAnsi="仿宋" w:eastAsia="仿宋"/>
          <w:sz w:val="24"/>
          <w:szCs w:val="24"/>
        </w:rPr>
        <w:t>10</w:t>
      </w:r>
      <w:r>
        <w:rPr>
          <w:rFonts w:hint="eastAsia" w:ascii="仿宋" w:hAnsi="仿宋" w:eastAsia="仿宋"/>
          <w:sz w:val="24"/>
          <w:szCs w:val="24"/>
        </w:rPr>
        <w:t>月3</w:t>
      </w:r>
      <w:r>
        <w:rPr>
          <w:rFonts w:ascii="仿宋" w:hAnsi="仿宋" w:eastAsia="仿宋"/>
          <w:sz w:val="24"/>
          <w:szCs w:val="24"/>
        </w:rPr>
        <w:t>0</w:t>
      </w:r>
      <w:r>
        <w:rPr>
          <w:rFonts w:hint="eastAsia" w:ascii="仿宋" w:hAnsi="仿宋" w:eastAsia="仿宋"/>
          <w:sz w:val="24"/>
          <w:szCs w:val="24"/>
        </w:rPr>
        <w:t>日前完成本工程所涉及的所有工程内容（含必须的行政手续办理及迁移、采伐施工），否则发包人将对投标人处以1</w:t>
      </w:r>
      <w:r>
        <w:rPr>
          <w:rFonts w:ascii="仿宋" w:hAnsi="仿宋" w:eastAsia="仿宋"/>
          <w:sz w:val="24"/>
          <w:szCs w:val="24"/>
        </w:rPr>
        <w:t>000</w:t>
      </w:r>
      <w:r>
        <w:rPr>
          <w:rFonts w:hint="eastAsia" w:ascii="仿宋" w:hAnsi="仿宋" w:eastAsia="仿宋"/>
          <w:sz w:val="24"/>
          <w:szCs w:val="24"/>
        </w:rPr>
        <w:t>元/日历天的工期延误罚款，总计罚款不超合同价的5%。若因行政审批滞后、政策法规影响等非承包人原因造成的工期延误，经发包人认定情况属实，可免于处罚。</w:t>
      </w:r>
    </w:p>
    <w:p>
      <w:pPr>
        <w:adjustRightInd w:val="0"/>
        <w:snapToGrid w:val="0"/>
        <w:spacing w:line="360" w:lineRule="auto"/>
        <w:rPr>
          <w:rFonts w:hint="eastAsia" w:ascii="仿宋" w:hAnsi="仿宋" w:eastAsia="仿宋"/>
          <w:sz w:val="24"/>
          <w:szCs w:val="24"/>
          <w:highlight w:val="yellow"/>
          <w:lang w:val="en-US" w:eastAsia="zh-CN"/>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）承包人应保证完成本合同规定的所有工作内容合法合规，并满足相关行政主管部门的要求，若因工作失误（林木误伐、误迁、迁移后的林木死亡等）所产生的一切后果，均由承包人承担。</w:t>
      </w:r>
    </w:p>
    <w:p>
      <w:pPr>
        <w:pStyle w:val="49"/>
        <w:adjustRightInd w:val="0"/>
        <w:snapToGrid w:val="0"/>
        <w:spacing w:line="360" w:lineRule="auto"/>
        <w:ind w:left="964" w:hanging="964" w:hangingChars="400"/>
        <w:rPr>
          <w:rFonts w:ascii="仿宋" w:hAnsi="仿宋" w:eastAsia="仿宋" w:cs="宋体"/>
          <w:b/>
          <w:kern w:val="0"/>
          <w:sz w:val="24"/>
          <w:szCs w:val="24"/>
        </w:rPr>
      </w:pPr>
      <w:r>
        <w:rPr>
          <w:rFonts w:ascii="仿宋" w:hAnsi="仿宋" w:eastAsia="仿宋" w:cs="宋体"/>
          <w:b/>
          <w:kern w:val="0"/>
          <w:sz w:val="24"/>
          <w:szCs w:val="24"/>
        </w:rPr>
        <w:t>投标文件组成</w:t>
      </w:r>
      <w:r>
        <w:rPr>
          <w:rFonts w:hint="eastAsia" w:ascii="仿宋" w:hAnsi="仿宋" w:eastAsia="仿宋" w:cs="宋体"/>
          <w:b/>
          <w:kern w:val="0"/>
          <w:sz w:val="24"/>
          <w:szCs w:val="24"/>
        </w:rPr>
        <w:t>：</w:t>
      </w:r>
      <w:r>
        <w:rPr>
          <w:rFonts w:hint="eastAsia" w:ascii="仿宋" w:hAnsi="仿宋" w:eastAsia="仿宋" w:cs="宋体"/>
          <w:kern w:val="0"/>
          <w:sz w:val="24"/>
          <w:szCs w:val="24"/>
        </w:rPr>
        <w:t>（相关证明材料须加盖公章）</w:t>
      </w:r>
    </w:p>
    <w:p>
      <w:pPr>
        <w:adjustRightInd w:val="0"/>
        <w:snapToGrid w:val="0"/>
        <w:spacing w:line="360" w:lineRule="auto"/>
        <w:rPr>
          <w:rFonts w:ascii="宋体" w:hAnsi="宋体" w:eastAsia="仿宋"/>
          <w:sz w:val="24"/>
        </w:rPr>
      </w:pPr>
      <w:r>
        <w:rPr>
          <w:rFonts w:hint="eastAsia" w:ascii="仿宋" w:hAnsi="仿宋" w:eastAsia="仿宋" w:cs="宋体"/>
          <w:b/>
          <w:kern w:val="0"/>
          <w:sz w:val="24"/>
          <w:szCs w:val="24"/>
        </w:rPr>
        <w:t>1、</w:t>
      </w:r>
      <w:r>
        <w:rPr>
          <w:rFonts w:ascii="仿宋" w:hAnsi="仿宋" w:eastAsia="仿宋" w:cs="宋体"/>
          <w:b/>
          <w:kern w:val="0"/>
          <w:sz w:val="24"/>
          <w:szCs w:val="24"/>
        </w:rPr>
        <w:t>资格审查文件</w:t>
      </w:r>
      <w:r>
        <w:rPr>
          <w:rFonts w:hint="eastAsia" w:ascii="仿宋" w:hAnsi="仿宋" w:eastAsia="仿宋" w:cs="宋体"/>
          <w:b/>
          <w:kern w:val="0"/>
          <w:sz w:val="24"/>
          <w:szCs w:val="24"/>
        </w:rPr>
        <w:t>：</w:t>
      </w:r>
      <w:r>
        <w:rPr>
          <w:rFonts w:hint="eastAsia" w:ascii="仿宋" w:hAnsi="仿宋" w:eastAsia="仿宋" w:cs="宋体"/>
          <w:kern w:val="0"/>
          <w:sz w:val="24"/>
          <w:szCs w:val="24"/>
        </w:rPr>
        <w:t>营业执照（复印件加盖公章）；</w:t>
      </w:r>
    </w:p>
    <w:p>
      <w:pPr>
        <w:pStyle w:val="49"/>
        <w:adjustRightInd w:val="0"/>
        <w:snapToGrid w:val="0"/>
        <w:spacing w:line="360" w:lineRule="auto"/>
        <w:ind w:firstLine="0" w:firstLineChars="0"/>
        <w:rPr>
          <w:rFonts w:ascii="仿宋_GB2312" w:hAnsi="仿宋_GB2312" w:eastAsia="仿宋_GB2312" w:cs="仿宋_GB2312"/>
          <w:color w:val="000000"/>
          <w:szCs w:val="21"/>
        </w:rPr>
      </w:pPr>
      <w:r>
        <w:rPr>
          <w:rFonts w:ascii="仿宋" w:hAnsi="仿宋" w:eastAsia="仿宋" w:cs="宋体"/>
          <w:b/>
          <w:kern w:val="0"/>
          <w:sz w:val="24"/>
          <w:szCs w:val="24"/>
        </w:rPr>
        <w:t>2</w:t>
      </w:r>
      <w:r>
        <w:rPr>
          <w:rFonts w:hint="eastAsia" w:ascii="仿宋" w:hAnsi="仿宋" w:eastAsia="仿宋" w:cs="宋体"/>
          <w:b/>
          <w:kern w:val="0"/>
          <w:sz w:val="24"/>
          <w:szCs w:val="24"/>
        </w:rPr>
        <w:t>、商务标书：</w:t>
      </w:r>
    </w:p>
    <w:p>
      <w:pPr>
        <w:pStyle w:val="49"/>
        <w:adjustRightInd w:val="0"/>
        <w:snapToGrid w:val="0"/>
        <w:spacing w:line="360" w:lineRule="auto"/>
        <w:ind w:firstLine="240" w:firstLineChars="100"/>
        <w:rPr>
          <w:rFonts w:ascii="仿宋" w:hAnsi="仿宋" w:eastAsia="仿宋" w:cs="宋体"/>
          <w:kern w:val="0"/>
          <w:sz w:val="24"/>
          <w:szCs w:val="24"/>
        </w:rPr>
      </w:pPr>
      <w:r>
        <w:rPr>
          <w:rFonts w:hint="eastAsia" w:ascii="仿宋" w:hAnsi="仿宋" w:eastAsia="仿宋" w:cs="宋体"/>
          <w:kern w:val="0"/>
          <w:sz w:val="24"/>
          <w:szCs w:val="24"/>
        </w:rPr>
        <w:t>详见附件</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w:t>
      </w:r>
    </w:p>
    <w:p>
      <w:pPr>
        <w:pStyle w:val="49"/>
        <w:adjustRightInd w:val="0"/>
        <w:snapToGrid w:val="0"/>
        <w:spacing w:line="360" w:lineRule="auto"/>
        <w:ind w:firstLine="0" w:firstLineChars="0"/>
        <w:rPr>
          <w:rFonts w:ascii="仿宋" w:hAnsi="仿宋" w:eastAsia="仿宋" w:cs="宋体"/>
          <w:b/>
          <w:kern w:val="0"/>
          <w:sz w:val="24"/>
          <w:szCs w:val="24"/>
        </w:rPr>
      </w:pPr>
      <w:r>
        <w:rPr>
          <w:rFonts w:hint="eastAsia" w:ascii="仿宋" w:hAnsi="仿宋" w:eastAsia="仿宋" w:cs="宋体"/>
          <w:b/>
          <w:kern w:val="0"/>
          <w:sz w:val="24"/>
          <w:szCs w:val="24"/>
        </w:rPr>
        <w:t>3、其他文件：</w:t>
      </w:r>
    </w:p>
    <w:p>
      <w:pPr>
        <w:pStyle w:val="50"/>
        <w:adjustRightInd w:val="0"/>
        <w:snapToGrid w:val="0"/>
        <w:spacing w:line="360" w:lineRule="auto"/>
        <w:rPr>
          <w:rFonts w:ascii="仿宋" w:hAnsi="仿宋" w:eastAsia="仿宋" w:cs="宋体"/>
          <w:kern w:val="0"/>
          <w:sz w:val="24"/>
          <w:szCs w:val="24"/>
        </w:rPr>
      </w:pPr>
      <w:r>
        <w:rPr>
          <w:rFonts w:hint="eastAsia" w:ascii="仿宋" w:hAnsi="仿宋" w:eastAsia="仿宋" w:cs="宋体"/>
          <w:kern w:val="0"/>
          <w:sz w:val="24"/>
          <w:szCs w:val="24"/>
        </w:rPr>
        <w:t>法定代表人证明书及法定代表人授权委托书（格式自拟，原件且需签名加盖公章），法定代表人和法定代表人授权委托人身份证复印件（加盖公章）。</w:t>
      </w:r>
    </w:p>
    <w:p>
      <w:pPr>
        <w:adjustRightInd w:val="0"/>
        <w:snapToGrid w:val="0"/>
        <w:spacing w:line="360" w:lineRule="auto"/>
        <w:rPr>
          <w:rFonts w:ascii="仿宋" w:hAnsi="仿宋" w:eastAsia="仿宋" w:cs="宋体"/>
          <w:kern w:val="0"/>
          <w:sz w:val="24"/>
          <w:szCs w:val="24"/>
        </w:rPr>
      </w:pPr>
      <w:r>
        <w:rPr>
          <w:rFonts w:ascii="仿宋" w:hAnsi="仿宋" w:eastAsia="仿宋" w:cs="宋体"/>
          <w:b/>
          <w:kern w:val="0"/>
          <w:sz w:val="24"/>
          <w:szCs w:val="24"/>
        </w:rPr>
        <w:t>其他说明：</w:t>
      </w:r>
      <w:r>
        <w:rPr>
          <w:rFonts w:ascii="仿宋" w:hAnsi="仿宋" w:eastAsia="仿宋" w:cs="宋体"/>
          <w:kern w:val="0"/>
          <w:sz w:val="24"/>
          <w:szCs w:val="24"/>
        </w:rPr>
        <w:br w:type="textWrapping"/>
      </w:r>
      <w:r>
        <w:rPr>
          <w:rFonts w:ascii="仿宋" w:hAnsi="仿宋" w:eastAsia="仿宋" w:cs="宋体"/>
          <w:kern w:val="0"/>
          <w:sz w:val="24"/>
          <w:szCs w:val="24"/>
        </w:rPr>
        <w:t>1、投标人根据</w:t>
      </w:r>
      <w:r>
        <w:rPr>
          <w:rFonts w:hint="eastAsia" w:ascii="仿宋" w:hAnsi="仿宋" w:eastAsia="仿宋" w:cs="宋体"/>
          <w:kern w:val="0"/>
          <w:sz w:val="24"/>
          <w:szCs w:val="24"/>
        </w:rPr>
        <w:t>本公告</w:t>
      </w:r>
      <w:r>
        <w:rPr>
          <w:rFonts w:ascii="仿宋" w:hAnsi="仿宋" w:eastAsia="仿宋" w:cs="宋体"/>
          <w:kern w:val="0"/>
          <w:sz w:val="24"/>
          <w:szCs w:val="24"/>
        </w:rPr>
        <w:t>具体要求自行报价，报价上限价为</w:t>
      </w:r>
      <w:r>
        <w:rPr>
          <w:rFonts w:hint="eastAsia" w:ascii="仿宋" w:hAnsi="仿宋" w:eastAsia="仿宋"/>
          <w:sz w:val="24"/>
          <w:szCs w:val="24"/>
        </w:rPr>
        <w:t>4</w:t>
      </w:r>
      <w:r>
        <w:rPr>
          <w:rFonts w:hint="eastAsia" w:ascii="仿宋" w:hAnsi="仿宋" w:eastAsia="仿宋"/>
          <w:sz w:val="24"/>
          <w:szCs w:val="24"/>
          <w:lang w:val="en-US" w:eastAsia="zh-CN"/>
        </w:rPr>
        <w:t>80197</w:t>
      </w: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cs="宋体"/>
          <w:kern w:val="0"/>
          <w:sz w:val="24"/>
          <w:szCs w:val="24"/>
        </w:rPr>
        <w:t>元，投标报价超过最高上限价按无效标处理。</w:t>
      </w:r>
    </w:p>
    <w:p>
      <w:pPr>
        <w:adjustRightInd w:val="0"/>
        <w:snapToGrid w:val="0"/>
        <w:spacing w:line="360" w:lineRule="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2、</w:t>
      </w:r>
      <w:r>
        <w:rPr>
          <w:rFonts w:hint="eastAsia" w:ascii="仿宋" w:hAnsi="仿宋" w:eastAsia="仿宋" w:cs="宋体"/>
          <w:kern w:val="0"/>
          <w:sz w:val="24"/>
          <w:szCs w:val="24"/>
          <w:highlight w:val="yellow"/>
        </w:rPr>
        <w:t>投标人的投标报价以《投标报价书》为准</w:t>
      </w:r>
      <w:r>
        <w:rPr>
          <w:rFonts w:hint="eastAsia" w:ascii="仿宋" w:hAnsi="仿宋" w:eastAsia="仿宋" w:cs="宋体"/>
          <w:kern w:val="0"/>
          <w:sz w:val="24"/>
          <w:szCs w:val="24"/>
        </w:rPr>
        <w:t>；投标人须按招标人提供的附件</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文件格式填报商务标书，内容提供不全按无效标处理；其中分部分项工程量清单报价中的工程量、项目特征描述等内容不允许更改</w:t>
      </w:r>
      <w:r>
        <w:rPr>
          <w:rFonts w:hint="eastAsia" w:ascii="仿宋" w:hAnsi="仿宋" w:eastAsia="仿宋" w:cs="宋体"/>
          <w:kern w:val="0"/>
          <w:sz w:val="24"/>
          <w:szCs w:val="24"/>
          <w:lang w:val="en-US" w:eastAsia="zh-CN" w:bidi="ar-SA"/>
        </w:rPr>
        <w:t>，若投标人私自更改，其标书作无效标处理。</w:t>
      </w:r>
    </w:p>
    <w:p>
      <w:pPr>
        <w:pStyle w:val="50"/>
        <w:adjustRightInd w:val="0"/>
        <w:snapToGrid w:val="0"/>
        <w:spacing w:line="360" w:lineRule="auto"/>
        <w:ind w:firstLine="0" w:firstLineChars="0"/>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3、招标人提供本工程的招标控制价文件供投标人参考，投标人可在投标期内通过百度网盘获取链接（链接：https://pan.baidu.com/s/1mDjNWKrc0ig5z86WvrfcsQ? </w:t>
      </w:r>
    </w:p>
    <w:p>
      <w:pPr>
        <w:pStyle w:val="50"/>
        <w:adjustRightInd w:val="0"/>
        <w:snapToGrid w:val="0"/>
        <w:spacing w:line="36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bidi="ar-SA"/>
        </w:rPr>
        <w:t>提取码：khe9），其</w:t>
      </w:r>
      <w:r>
        <w:rPr>
          <w:rFonts w:hint="eastAsia" w:ascii="仿宋" w:hAnsi="仿宋" w:eastAsia="仿宋" w:cs="宋体"/>
          <w:kern w:val="0"/>
          <w:sz w:val="24"/>
          <w:szCs w:val="24"/>
        </w:rPr>
        <w:t>中安全文明施工措施费、暂列金额投标人须按照招标控制价中公示的金额进行填报，不允许更改，否则其标书作无效标处理。</w:t>
      </w:r>
    </w:p>
    <w:p>
      <w:pPr>
        <w:pStyle w:val="125"/>
        <w:tabs>
          <w:tab w:val="left" w:pos="886"/>
        </w:tabs>
        <w:snapToGrid w:val="0"/>
        <w:spacing w:line="360" w:lineRule="auto"/>
        <w:ind w:firstLine="0"/>
        <w:rPr>
          <w:rFonts w:ascii="仿宋" w:hAnsi="仿宋" w:eastAsia="仿宋"/>
          <w:kern w:val="0"/>
          <w:sz w:val="24"/>
          <w:szCs w:val="24"/>
          <w:lang w:val="en-US" w:eastAsia="zh-CN" w:bidi="ar-SA"/>
        </w:rPr>
      </w:pPr>
      <w:r>
        <w:rPr>
          <w:rFonts w:ascii="仿宋" w:hAnsi="仿宋" w:eastAsia="仿宋"/>
          <w:kern w:val="0"/>
          <w:sz w:val="24"/>
          <w:szCs w:val="24"/>
          <w:lang w:val="en-US" w:eastAsia="zh-CN" w:bidi="ar-SA"/>
        </w:rPr>
        <w:t>4</w:t>
      </w:r>
      <w:r>
        <w:rPr>
          <w:rFonts w:hint="eastAsia" w:ascii="仿宋" w:hAnsi="仿宋" w:eastAsia="仿宋"/>
          <w:kern w:val="0"/>
          <w:sz w:val="24"/>
          <w:szCs w:val="24"/>
          <w:lang w:val="en-US" w:eastAsia="zh-CN" w:bidi="ar-SA"/>
        </w:rPr>
        <w:t>、工作要求：（1）林木采伐：采伐高度与地面保持一致，伐后的树干、树枝、树叶等均视为建筑垃圾由承包人外运出场自行处置；（2）林木迁移：①负责落实林木迁移栽植的具体位置及与土地相关使用单位的沟通；②林木</w:t>
      </w:r>
      <w:r>
        <w:rPr>
          <w:rFonts w:ascii="仿宋" w:hAnsi="仿宋" w:eastAsia="仿宋"/>
          <w:kern w:val="0"/>
          <w:sz w:val="24"/>
          <w:szCs w:val="24"/>
          <w:lang w:val="en-US" w:eastAsia="zh-CN" w:bidi="ar-SA"/>
        </w:rPr>
        <w:t>栽植</w:t>
      </w:r>
      <w:r>
        <w:rPr>
          <w:rFonts w:hint="eastAsia" w:ascii="仿宋" w:hAnsi="仿宋" w:eastAsia="仿宋"/>
          <w:kern w:val="0"/>
          <w:sz w:val="24"/>
          <w:szCs w:val="24"/>
          <w:lang w:val="en-US" w:eastAsia="zh-CN" w:bidi="ar-SA"/>
        </w:rPr>
        <w:t>后须经监理、建设单位、行政主管部门（如需）</w:t>
      </w:r>
      <w:r>
        <w:rPr>
          <w:rFonts w:ascii="仿宋" w:hAnsi="仿宋" w:eastAsia="仿宋"/>
          <w:kern w:val="0"/>
          <w:sz w:val="24"/>
          <w:szCs w:val="24"/>
          <w:lang w:val="en-US" w:eastAsia="zh-CN" w:bidi="ar-SA"/>
        </w:rPr>
        <w:t>初验</w:t>
      </w:r>
      <w:r>
        <w:rPr>
          <w:rFonts w:hint="eastAsia" w:ascii="仿宋" w:hAnsi="仿宋" w:eastAsia="仿宋"/>
          <w:kern w:val="0"/>
          <w:sz w:val="24"/>
          <w:szCs w:val="24"/>
          <w:lang w:val="en-US" w:eastAsia="zh-CN" w:bidi="ar-SA"/>
        </w:rPr>
        <w:t>，自初验</w:t>
      </w:r>
      <w:r>
        <w:rPr>
          <w:rFonts w:ascii="仿宋" w:hAnsi="仿宋" w:eastAsia="仿宋"/>
          <w:kern w:val="0"/>
          <w:sz w:val="24"/>
          <w:szCs w:val="24"/>
          <w:lang w:val="en-US" w:eastAsia="zh-CN" w:bidi="ar-SA"/>
        </w:rPr>
        <w:t>合格之日起开始计算</w:t>
      </w:r>
      <w:r>
        <w:rPr>
          <w:rFonts w:hint="eastAsia" w:ascii="仿宋" w:hAnsi="仿宋" w:eastAsia="仿宋"/>
          <w:kern w:val="0"/>
          <w:sz w:val="24"/>
          <w:szCs w:val="24"/>
          <w:lang w:val="en-US" w:eastAsia="zh-CN" w:bidi="ar-SA"/>
        </w:rPr>
        <w:t>，</w:t>
      </w:r>
      <w:r>
        <w:rPr>
          <w:rFonts w:ascii="仿宋" w:hAnsi="仿宋" w:eastAsia="仿宋"/>
          <w:kern w:val="0"/>
          <w:sz w:val="24"/>
          <w:szCs w:val="24"/>
          <w:lang w:val="en-US" w:eastAsia="zh-CN" w:bidi="ar-SA"/>
        </w:rPr>
        <w:t>成活期养护</w:t>
      </w:r>
      <w:r>
        <w:rPr>
          <w:rFonts w:hint="eastAsia" w:ascii="仿宋" w:hAnsi="仿宋" w:eastAsia="仿宋"/>
          <w:kern w:val="0"/>
          <w:sz w:val="24"/>
          <w:szCs w:val="24"/>
          <w:lang w:val="en-US" w:eastAsia="zh-CN" w:bidi="ar-SA"/>
        </w:rPr>
        <w:t>按照行政主管部门要求为准，结算不因养护期限的长短而调整；移植后的现场土洞须就地均匀取土填平压实覆盖；③负责完成林木移植后的相关移交手续办理及行政主管部门要求的其他相关工作。</w:t>
      </w:r>
    </w:p>
    <w:p>
      <w:pPr>
        <w:adjustRightInd w:val="0"/>
        <w:snapToGrid w:val="0"/>
        <w:spacing w:line="360" w:lineRule="auto"/>
        <w:rPr>
          <w:rFonts w:ascii="仿宋" w:hAnsi="仿宋" w:eastAsia="仿宋" w:cs="宋体"/>
          <w:kern w:val="0"/>
          <w:sz w:val="24"/>
          <w:szCs w:val="24"/>
        </w:rPr>
      </w:pPr>
      <w:r>
        <w:rPr>
          <w:rFonts w:ascii="仿宋" w:hAnsi="仿宋" w:eastAsia="仿宋"/>
          <w:kern w:val="0"/>
          <w:sz w:val="24"/>
          <w:szCs w:val="24"/>
        </w:rPr>
        <w:t>5、</w:t>
      </w:r>
      <w:r>
        <w:rPr>
          <w:rFonts w:hint="eastAsia" w:ascii="仿宋" w:hAnsi="仿宋" w:eastAsia="仿宋" w:cs="宋体"/>
          <w:kern w:val="0"/>
          <w:sz w:val="24"/>
          <w:szCs w:val="24"/>
        </w:rPr>
        <w:t>报价书的林木采伐及迁移为固定综合单价，采伐方式、采伐外运运距、</w:t>
      </w:r>
      <w:r>
        <w:rPr>
          <w:rFonts w:hint="eastAsia" w:ascii="仿宋" w:hAnsi="仿宋" w:eastAsia="仿宋" w:cs="宋体"/>
          <w:bCs/>
          <w:kern w:val="0"/>
          <w:sz w:val="24"/>
          <w:szCs w:val="24"/>
        </w:rPr>
        <w:t>迁移运距及养护期限均由投标人综合考虑，结算不予调整；</w:t>
      </w:r>
      <w:r>
        <w:rPr>
          <w:rFonts w:hint="eastAsia" w:ascii="仿宋" w:hAnsi="仿宋" w:eastAsia="仿宋" w:cs="宋体"/>
          <w:kern w:val="0"/>
          <w:sz w:val="24"/>
          <w:szCs w:val="24"/>
        </w:rPr>
        <w:t>工程量为暂估量，后续根据行政主管部门要求及现场实际完成工程量按实结算且综合单价不因工程量的增减而调整；为完成本次林木采伐和迁移工作而进行的必要前置措施（含与行政主管部门沟通及其相关资料的编制、</w:t>
      </w:r>
      <w:r>
        <w:rPr>
          <w:rFonts w:hint="eastAsia" w:ascii="仿宋" w:hAnsi="仿宋" w:eastAsia="仿宋" w:cs="宋体"/>
          <w:kern w:val="0"/>
          <w:sz w:val="24"/>
        </w:rPr>
        <w:t>等</w:t>
      </w:r>
      <w:r>
        <w:rPr>
          <w:rFonts w:hint="eastAsia" w:ascii="仿宋" w:hAnsi="仿宋" w:eastAsia="仿宋" w:cs="宋体"/>
          <w:kern w:val="0"/>
          <w:sz w:val="24"/>
          <w:szCs w:val="24"/>
        </w:rPr>
        <w:t>行政手续办理、</w:t>
      </w:r>
      <w:r>
        <w:rPr>
          <w:rFonts w:hint="eastAsia" w:ascii="仿宋" w:hAnsi="仿宋" w:eastAsia="仿宋" w:cs="宋体"/>
          <w:bCs/>
          <w:kern w:val="0"/>
          <w:sz w:val="24"/>
          <w:szCs w:val="24"/>
        </w:rPr>
        <w:t>无产权部门认领林木</w:t>
      </w:r>
      <w:r>
        <w:rPr>
          <w:rFonts w:hint="eastAsia" w:ascii="仿宋" w:hAnsi="仿宋" w:eastAsia="仿宋" w:cs="宋体"/>
          <w:kern w:val="0"/>
          <w:sz w:val="24"/>
        </w:rPr>
        <w:t>登报、</w:t>
      </w:r>
      <w:r>
        <w:rPr>
          <w:rFonts w:hint="eastAsia" w:ascii="仿宋" w:hAnsi="仿宋" w:eastAsia="仿宋" w:cs="宋体"/>
          <w:kern w:val="0"/>
          <w:sz w:val="24"/>
          <w:szCs w:val="24"/>
        </w:rPr>
        <w:t>可能涉及的边界桩、临时挂牌、专家评审费用等）</w:t>
      </w:r>
      <w:r>
        <w:rPr>
          <w:rFonts w:ascii="仿宋" w:hAnsi="仿宋" w:eastAsia="仿宋" w:cs="宋体"/>
          <w:kern w:val="0"/>
          <w:sz w:val="24"/>
          <w:szCs w:val="24"/>
        </w:rPr>
        <w:t xml:space="preserve"> </w:t>
      </w:r>
      <w:r>
        <w:rPr>
          <w:rFonts w:hint="eastAsia" w:ascii="仿宋" w:hAnsi="仿宋" w:eastAsia="仿宋" w:cs="宋体"/>
          <w:kern w:val="0"/>
          <w:sz w:val="24"/>
          <w:szCs w:val="24"/>
        </w:rPr>
        <w:t>总价包干，结算不因工作内容的多少、复杂及难以程度等因素而调整，请投标人注意其中的风险。</w:t>
      </w:r>
    </w:p>
    <w:p>
      <w:pPr>
        <w:pStyle w:val="124"/>
        <w:adjustRightInd w:val="0"/>
        <w:snapToGrid w:val="0"/>
        <w:spacing w:line="360" w:lineRule="auto"/>
        <w:ind w:firstLine="0" w:firstLineChars="0"/>
        <w:jc w:val="left"/>
        <w:rPr>
          <w:rFonts w:ascii="仿宋" w:hAnsi="仿宋" w:eastAsia="仿宋" w:cs="宋体"/>
          <w:kern w:val="0"/>
          <w:sz w:val="24"/>
        </w:rPr>
      </w:pPr>
      <w:r>
        <w:rPr>
          <w:rFonts w:ascii="仿宋" w:hAnsi="仿宋" w:eastAsia="仿宋" w:cs="宋体"/>
          <w:kern w:val="0"/>
          <w:sz w:val="24"/>
        </w:rPr>
        <w:t>6、本次标书</w:t>
      </w:r>
      <w:r>
        <w:rPr>
          <w:rFonts w:hint="eastAsia" w:ascii="仿宋" w:hAnsi="仿宋" w:eastAsia="仿宋" w:cs="宋体"/>
          <w:kern w:val="0"/>
          <w:sz w:val="24"/>
        </w:rPr>
        <w:t>不采用电子投标，由投标人将上述投标文件（资格审查文件、商务标、其他文件）</w:t>
      </w:r>
      <w:r>
        <w:rPr>
          <w:rFonts w:ascii="仿宋" w:hAnsi="仿宋" w:eastAsia="仿宋" w:cs="宋体"/>
          <w:kern w:val="0"/>
          <w:sz w:val="24"/>
        </w:rPr>
        <w:t>采用A4纸双面打印</w:t>
      </w:r>
      <w:r>
        <w:rPr>
          <w:rFonts w:hint="eastAsia" w:ascii="仿宋" w:hAnsi="仿宋" w:eastAsia="仿宋" w:cs="宋体"/>
          <w:kern w:val="0"/>
          <w:sz w:val="24"/>
        </w:rPr>
        <w:t>，</w:t>
      </w:r>
      <w:r>
        <w:rPr>
          <w:rFonts w:ascii="仿宋" w:hAnsi="仿宋" w:eastAsia="仿宋" w:cs="宋体"/>
          <w:kern w:val="0"/>
          <w:sz w:val="24"/>
        </w:rPr>
        <w:t>一式</w:t>
      </w:r>
      <w:r>
        <w:rPr>
          <w:rFonts w:hint="eastAsia" w:ascii="仿宋" w:hAnsi="仿宋" w:eastAsia="仿宋" w:cs="宋体"/>
          <w:kern w:val="0"/>
          <w:sz w:val="24"/>
        </w:rPr>
        <w:t>三</w:t>
      </w:r>
      <w:r>
        <w:rPr>
          <w:rFonts w:ascii="仿宋" w:hAnsi="仿宋" w:eastAsia="仿宋" w:cs="宋体"/>
          <w:kern w:val="0"/>
          <w:sz w:val="24"/>
        </w:rPr>
        <w:t>份</w:t>
      </w:r>
      <w:r>
        <w:rPr>
          <w:rFonts w:hint="eastAsia" w:ascii="仿宋" w:hAnsi="仿宋" w:eastAsia="仿宋" w:cs="宋体"/>
          <w:kern w:val="0"/>
          <w:sz w:val="24"/>
        </w:rPr>
        <w:t>（两正一副）</w:t>
      </w:r>
      <w:r>
        <w:rPr>
          <w:rFonts w:ascii="仿宋" w:hAnsi="仿宋" w:eastAsia="仿宋" w:cs="宋体"/>
          <w:kern w:val="0"/>
          <w:sz w:val="24"/>
        </w:rPr>
        <w:t>，装订成册，密封包装并加盖公章</w:t>
      </w:r>
      <w:r>
        <w:rPr>
          <w:rFonts w:hint="eastAsia" w:ascii="仿宋" w:hAnsi="仿宋" w:eastAsia="仿宋" w:cs="宋体"/>
          <w:kern w:val="0"/>
          <w:sz w:val="24"/>
        </w:rPr>
        <w:t>。</w:t>
      </w:r>
    </w:p>
    <w:p>
      <w:pPr>
        <w:pStyle w:val="124"/>
        <w:adjustRightInd w:val="0"/>
        <w:snapToGrid w:val="0"/>
        <w:spacing w:line="360" w:lineRule="auto"/>
        <w:ind w:firstLine="0" w:firstLineChars="0"/>
        <w:rPr>
          <w:rFonts w:ascii="仿宋" w:hAnsi="仿宋" w:eastAsia="仿宋" w:cs="宋体"/>
          <w:kern w:val="0"/>
          <w:sz w:val="24"/>
        </w:rPr>
      </w:pPr>
      <w:r>
        <w:rPr>
          <w:rFonts w:ascii="仿宋" w:hAnsi="仿宋" w:eastAsia="仿宋" w:cs="宋体"/>
          <w:kern w:val="0"/>
          <w:sz w:val="24"/>
        </w:rPr>
        <w:t>7</w:t>
      </w:r>
      <w:r>
        <w:rPr>
          <w:rFonts w:hint="eastAsia" w:ascii="仿宋" w:hAnsi="仿宋" w:eastAsia="仿宋" w:cs="宋体"/>
          <w:kern w:val="0"/>
          <w:sz w:val="24"/>
        </w:rPr>
        <w:t>、本次招标不需编制技术标。</w:t>
      </w:r>
    </w:p>
    <w:p>
      <w:pPr>
        <w:pStyle w:val="124"/>
        <w:adjustRightInd w:val="0"/>
        <w:snapToGrid w:val="0"/>
        <w:spacing w:line="360" w:lineRule="auto"/>
        <w:ind w:firstLine="0" w:firstLineChars="0"/>
        <w:rPr>
          <w:rFonts w:ascii="仿宋" w:hAnsi="仿宋" w:eastAsia="仿宋" w:cs="宋体"/>
          <w:kern w:val="0"/>
          <w:sz w:val="24"/>
        </w:rPr>
      </w:pPr>
      <w:r>
        <w:rPr>
          <w:rFonts w:ascii="仿宋" w:hAnsi="仿宋" w:eastAsia="仿宋" w:cs="宋体"/>
          <w:kern w:val="0"/>
          <w:sz w:val="24"/>
        </w:rPr>
        <w:t>8</w:t>
      </w:r>
      <w:r>
        <w:rPr>
          <w:rFonts w:hint="eastAsia" w:ascii="仿宋" w:hAnsi="仿宋" w:eastAsia="仿宋" w:cs="宋体"/>
          <w:kern w:val="0"/>
          <w:sz w:val="24"/>
        </w:rPr>
        <w:t>、投标人必须携带法定代表人证明书、法人授权委托书及被委托人身份证证明文件递交投标文件及参加开标、定标会，否则其投标文件将不予受理。</w:t>
      </w:r>
    </w:p>
    <w:p>
      <w:pPr>
        <w:pStyle w:val="124"/>
        <w:adjustRightInd w:val="0"/>
        <w:snapToGrid w:val="0"/>
        <w:spacing w:line="360" w:lineRule="auto"/>
        <w:ind w:firstLine="0" w:firstLineChars="0"/>
        <w:rPr>
          <w:rFonts w:ascii="仿宋" w:hAnsi="仿宋" w:eastAsia="仿宋"/>
          <w:sz w:val="24"/>
        </w:rPr>
      </w:pPr>
      <w:r>
        <w:rPr>
          <w:rFonts w:ascii="仿宋" w:hAnsi="仿宋" w:eastAsia="仿宋"/>
          <w:sz w:val="24"/>
        </w:rPr>
        <w:t>9</w:t>
      </w:r>
      <w:r>
        <w:rPr>
          <w:rFonts w:hint="eastAsia" w:ascii="仿宋" w:hAnsi="仿宋" w:eastAsia="仿宋"/>
          <w:sz w:val="24"/>
        </w:rPr>
        <w:t>、安全文明要求：控制噪声较大的工序施工时间，并合理选用低噪音的先进机械设备，合理安排施工时间，尽量避免夜间施工，服务期间，投标人必须做好安全防护措施，并承担所有安全责任。</w:t>
      </w:r>
    </w:p>
    <w:p>
      <w:pPr>
        <w:pStyle w:val="124"/>
        <w:adjustRightInd w:val="0"/>
        <w:snapToGrid w:val="0"/>
        <w:spacing w:line="360" w:lineRule="auto"/>
        <w:ind w:firstLine="0" w:firstLineChars="0"/>
        <w:rPr>
          <w:rFonts w:hint="eastAsia" w:ascii="仿宋" w:hAnsi="仿宋" w:eastAsia="仿宋"/>
          <w:sz w:val="24"/>
        </w:rPr>
      </w:pPr>
      <w:r>
        <w:rPr>
          <w:rFonts w:ascii="仿宋" w:hAnsi="仿宋" w:eastAsia="仿宋" w:cs="宋体"/>
          <w:kern w:val="0"/>
          <w:sz w:val="24"/>
        </w:rPr>
        <w:t>10</w:t>
      </w:r>
      <w:r>
        <w:rPr>
          <w:rFonts w:hint="eastAsia" w:ascii="仿宋" w:hAnsi="仿宋" w:eastAsia="仿宋"/>
          <w:sz w:val="24"/>
        </w:rPr>
        <w:t>、现场施工过程中，按照深圳市及发包人要求做好现场的疫情防控工作。</w:t>
      </w:r>
    </w:p>
    <w:p>
      <w:pPr>
        <w:pStyle w:val="50"/>
        <w:adjustRightInd w:val="0"/>
        <w:snapToGrid w:val="0"/>
        <w:spacing w:line="360" w:lineRule="auto"/>
        <w:ind w:left="0" w:leftChars="0" w:firstLine="0" w:firstLineChars="0"/>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11、在投标文件密封袋上均应写明投标人名称，并注明下列识别标志：</w:t>
      </w:r>
    </w:p>
    <w:p>
      <w:pPr>
        <w:pStyle w:val="50"/>
        <w:adjustRightInd w:val="0"/>
        <w:snapToGrid w:val="0"/>
        <w:spacing w:line="360" w:lineRule="auto"/>
        <w:ind w:firstLine="0" w:firstLineChars="0"/>
        <w:rPr>
          <w:rFonts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“工程名称：</w:t>
      </w:r>
      <w:r>
        <w:rPr>
          <w:rFonts w:hint="eastAsia" w:ascii="仿宋" w:hAnsi="仿宋" w:eastAsia="仿宋" w:cs="宋体"/>
          <w:kern w:val="0"/>
          <w:sz w:val="24"/>
          <w:szCs w:val="24"/>
          <w:highlight w:val="none"/>
        </w:rPr>
        <w:t>深圳音乐学院林木采伐及迁移施工</w:t>
      </w:r>
      <w:r>
        <w:rPr>
          <w:rFonts w:hint="eastAsia" w:ascii="仿宋" w:hAnsi="仿宋"/>
          <w:sz w:val="24"/>
          <w:highlight w:val="none"/>
        </w:rPr>
        <w:t>202</w:t>
      </w:r>
      <w:r>
        <w:rPr>
          <w:rFonts w:ascii="仿宋" w:hAnsi="仿宋"/>
          <w:sz w:val="24"/>
          <w:highlight w:val="none"/>
        </w:rPr>
        <w:t>2</w:t>
      </w:r>
      <w:r>
        <w:rPr>
          <w:rFonts w:hint="eastAsia" w:ascii="仿宋" w:hAnsi="仿宋"/>
          <w:sz w:val="24"/>
          <w:highlight w:val="none"/>
        </w:rPr>
        <w:t>年</w:t>
      </w:r>
      <w:r>
        <w:rPr>
          <w:rFonts w:hint="eastAsia" w:ascii="仿宋" w:hAnsi="仿宋"/>
          <w:sz w:val="24"/>
          <w:highlight w:val="none"/>
          <w:u w:val="single"/>
          <w:lang w:val="en-US" w:eastAsia="zh-CN"/>
        </w:rPr>
        <w:t>06</w:t>
      </w:r>
      <w:r>
        <w:rPr>
          <w:rFonts w:hint="eastAsia" w:ascii="仿宋" w:hAnsi="仿宋"/>
          <w:sz w:val="24"/>
          <w:highlight w:val="none"/>
        </w:rPr>
        <w:t>月</w:t>
      </w:r>
      <w:r>
        <w:rPr>
          <w:rFonts w:hint="eastAsia" w:ascii="仿宋" w:hAnsi="仿宋"/>
          <w:sz w:val="24"/>
          <w:highlight w:val="none"/>
          <w:u w:val="single"/>
          <w:lang w:val="en-US" w:eastAsia="zh-CN"/>
        </w:rPr>
        <w:t>02</w:t>
      </w:r>
      <w:r>
        <w:rPr>
          <w:rFonts w:hint="eastAsia" w:ascii="仿宋" w:hAnsi="仿宋"/>
          <w:sz w:val="24"/>
          <w:highlight w:val="none"/>
        </w:rPr>
        <w:t>日</w:t>
      </w:r>
      <w:r>
        <w:rPr>
          <w:rFonts w:hint="eastAsia" w:ascii="仿宋" w:hAnsi="仿宋"/>
          <w:sz w:val="24"/>
          <w:highlight w:val="none"/>
          <w:u w:val="single"/>
          <w:lang w:val="en-US" w:eastAsia="zh-CN"/>
        </w:rPr>
        <w:t>10:00时</w:t>
      </w:r>
      <w:r>
        <w:rPr>
          <w:rFonts w:hint="eastAsia" w:ascii="仿宋" w:hAnsi="仿宋" w:eastAsia="仿宋" w:cs="宋体"/>
          <w:kern w:val="0"/>
          <w:sz w:val="24"/>
          <w:szCs w:val="24"/>
          <w:highlight w:val="none"/>
          <w:lang w:val="en-US" w:eastAsia="zh-CN" w:bidi="ar-SA"/>
        </w:rPr>
        <w:t>开标，此时间以前不得开封”</w:t>
      </w:r>
    </w:p>
    <w:p>
      <w:pPr>
        <w:adjustRightInd w:val="0"/>
        <w:snapToGrid w:val="0"/>
        <w:spacing w:line="360" w:lineRule="auto"/>
        <w:rPr>
          <w:rFonts w:hint="default" w:ascii="仿宋" w:hAnsi="仿宋" w:eastAsia="仿宋" w:cs="宋体"/>
          <w:kern w:val="0"/>
          <w:sz w:val="24"/>
          <w:szCs w:val="24"/>
          <w:highlight w:val="none"/>
          <w:lang w:val="en-US" w:eastAsia="zh-CN" w:bidi="ar-SA"/>
        </w:rPr>
      </w:pPr>
      <w:r>
        <w:rPr>
          <w:rFonts w:hint="eastAsia" w:ascii="仿宋" w:hAnsi="仿宋" w:eastAsia="仿宋"/>
          <w:sz w:val="24"/>
          <w:szCs w:val="24"/>
          <w:highlight w:val="none"/>
          <w:lang w:val="en-US" w:eastAsia="zh-CN"/>
        </w:rPr>
        <w:t>12、根据《深圳市建筑工务署小型工程简易招标管理办法（2018）》、《深圳市2021-2022年政府集中采购目录及限额</w:t>
      </w:r>
      <w:r>
        <w:rPr>
          <w:rFonts w:hint="eastAsia" w:ascii="仿宋" w:hAnsi="仿宋" w:eastAsia="仿宋" w:cstheme="minorBidi"/>
          <w:kern w:val="2"/>
          <w:sz w:val="24"/>
          <w:szCs w:val="24"/>
          <w:highlight w:val="none"/>
          <w:lang w:val="en-US" w:eastAsia="zh-CN" w:bidi="ar-SA"/>
        </w:rPr>
        <w:t>标准》（深财购[2020]60号）及深建市场【2018】19号文</w:t>
      </w:r>
      <w:r>
        <w:rPr>
          <w:rFonts w:hint="eastAsia" w:ascii="仿宋" w:hAnsi="仿宋" w:eastAsia="仿宋"/>
          <w:sz w:val="24"/>
          <w:szCs w:val="24"/>
          <w:highlight w:val="none"/>
          <w:lang w:val="en-US" w:eastAsia="zh-CN"/>
        </w:rPr>
        <w:t>的有关规定，工程类项目小于400万元，可采用小型简易招标。本工程采用小型工程简易招标形式（工程类），最终结算金额小于400万元，最终结算以《深圳市财政投资评审中心评审报告》的评审结果为准，请投标人根据图纸、技术要求及工程量清单合理报价，超过最高上限价投标报价规定按无效标处理。投标人应当仔细阅读上述文件并承诺，严格执行招标公告、施工图纸及报价清单等文件的相关约定，充分考虑各种风险，合理竞价。</w:t>
      </w:r>
    </w:p>
    <w:p>
      <w:pPr>
        <w:pStyle w:val="124"/>
        <w:adjustRightInd w:val="0"/>
        <w:snapToGrid w:val="0"/>
        <w:spacing w:line="360" w:lineRule="auto"/>
        <w:ind w:firstLine="0" w:firstLineChars="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、合同协议书详见附件</w:t>
      </w:r>
      <w:r>
        <w:rPr>
          <w:rFonts w:hint="eastAsia" w:ascii="仿宋" w:hAnsi="仿宋" w:eastAsia="仿宋"/>
          <w:sz w:val="24"/>
          <w:lang w:val="en-US" w:eastAsia="zh-CN"/>
        </w:rPr>
        <w:t>2</w:t>
      </w:r>
      <w:r>
        <w:rPr>
          <w:rFonts w:hint="eastAsia" w:ascii="仿宋" w:hAnsi="仿宋" w:eastAsia="仿宋"/>
          <w:sz w:val="24"/>
        </w:rPr>
        <w:t>。</w:t>
      </w:r>
    </w:p>
    <w:p>
      <w:pPr>
        <w:pStyle w:val="2"/>
        <w:ind w:left="0" w:leftChars="0" w:firstLine="0" w:firstLineChars="0"/>
        <w:rPr>
          <w:rFonts w:hint="eastAsia" w:eastAsiaTheme="minorEastAsia"/>
          <w:lang w:eastAsia="zh-CN"/>
        </w:rPr>
      </w:pPr>
      <w:r>
        <w:br w:type="page"/>
      </w:r>
    </w:p>
    <w:p>
      <w:pPr>
        <w:pStyle w:val="2"/>
        <w:ind w:left="0" w:leftChars="0" w:firstLine="0" w:firstLineChars="0"/>
      </w:pPr>
      <w:r>
        <w:rPr>
          <w:rFonts w:hint="eastAsia" w:ascii="仿宋" w:hAnsi="仿宋"/>
          <w:sz w:val="28"/>
          <w:szCs w:val="28"/>
        </w:rPr>
        <w:t>附</w:t>
      </w:r>
      <w:r>
        <w:rPr>
          <w:rFonts w:hint="eastAsia" w:ascii="等线" w:hAnsi="等线" w:eastAsia="等线"/>
          <w:sz w:val="28"/>
          <w:szCs w:val="28"/>
        </w:rPr>
        <w:t>件</w:t>
      </w:r>
      <w:r>
        <w:rPr>
          <w:rFonts w:hint="eastAsia" w:ascii="等线" w:hAnsi="等线" w:eastAsia="等线"/>
          <w:sz w:val="28"/>
          <w:szCs w:val="28"/>
          <w:lang w:val="en-US" w:eastAsia="zh-CN"/>
        </w:rPr>
        <w:t>1</w:t>
      </w:r>
      <w:r>
        <w:rPr>
          <w:rFonts w:hint="eastAsia" w:ascii="仿宋" w:hAnsi="仿宋"/>
          <w:sz w:val="28"/>
          <w:szCs w:val="28"/>
        </w:rPr>
        <w:t>：</w:t>
      </w:r>
    </w:p>
    <w:p>
      <w:pPr>
        <w:jc w:val="center"/>
        <w:rPr>
          <w:rFonts w:ascii="仿宋" w:hAnsi="仿宋"/>
          <w:b/>
          <w:sz w:val="32"/>
          <w:szCs w:val="32"/>
        </w:rPr>
      </w:pPr>
      <w:r>
        <w:rPr>
          <w:rFonts w:hint="eastAsia" w:ascii="仿宋" w:hAnsi="仿宋"/>
          <w:b/>
          <w:sz w:val="32"/>
          <w:szCs w:val="32"/>
        </w:rPr>
        <w:t>投标报价书</w:t>
      </w:r>
    </w:p>
    <w:tbl>
      <w:tblPr>
        <w:tblStyle w:val="39"/>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5103"/>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jc w:val="center"/>
              <w:rPr>
                <w:rFonts w:ascii="仿宋" w:hAnsi="仿宋"/>
                <w:b/>
              </w:rPr>
            </w:pPr>
            <w:r>
              <w:rPr>
                <w:rFonts w:hint="eastAsia" w:ascii="仿宋" w:hAnsi="仿宋"/>
                <w:b/>
              </w:rPr>
              <w:t>编号</w:t>
            </w:r>
          </w:p>
        </w:tc>
        <w:tc>
          <w:tcPr>
            <w:tcW w:w="5103" w:type="dxa"/>
            <w:vAlign w:val="center"/>
          </w:tcPr>
          <w:p>
            <w:pPr>
              <w:jc w:val="center"/>
              <w:rPr>
                <w:rFonts w:ascii="仿宋" w:hAnsi="仿宋"/>
                <w:b/>
              </w:rPr>
            </w:pPr>
            <w:r>
              <w:rPr>
                <w:rFonts w:hint="eastAsia" w:ascii="仿宋" w:hAnsi="仿宋"/>
                <w:b/>
              </w:rPr>
              <w:t>工程名称</w:t>
            </w:r>
          </w:p>
        </w:tc>
        <w:tc>
          <w:tcPr>
            <w:tcW w:w="1559" w:type="dxa"/>
            <w:tcBorders>
              <w:right w:val="single" w:color="auto" w:sz="4" w:space="0"/>
            </w:tcBorders>
            <w:vAlign w:val="center"/>
          </w:tcPr>
          <w:p>
            <w:pPr>
              <w:jc w:val="center"/>
              <w:rPr>
                <w:rFonts w:ascii="仿宋" w:hAnsi="仿宋"/>
                <w:b/>
              </w:rPr>
            </w:pPr>
            <w:r>
              <w:rPr>
                <w:rFonts w:hint="eastAsia" w:ascii="仿宋" w:hAnsi="仿宋"/>
                <w:b/>
              </w:rPr>
              <w:t>投标上限价（元）</w:t>
            </w:r>
          </w:p>
        </w:tc>
        <w:tc>
          <w:tcPr>
            <w:tcW w:w="1843" w:type="dxa"/>
            <w:tcBorders>
              <w:left w:val="single" w:color="auto" w:sz="4" w:space="0"/>
            </w:tcBorders>
            <w:vAlign w:val="center"/>
          </w:tcPr>
          <w:p>
            <w:pPr>
              <w:jc w:val="center"/>
              <w:rPr>
                <w:rFonts w:ascii="仿宋" w:hAnsi="仿宋"/>
                <w:b/>
              </w:rPr>
            </w:pPr>
            <w:r>
              <w:rPr>
                <w:rFonts w:hint="eastAsia" w:ascii="仿宋" w:hAnsi="仿宋"/>
                <w:b/>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vAlign w:val="center"/>
          </w:tcPr>
          <w:p>
            <w:pPr>
              <w:adjustRightInd w:val="0"/>
              <w:snapToGrid w:val="0"/>
              <w:spacing w:line="360" w:lineRule="auto"/>
              <w:jc w:val="center"/>
              <w:rPr>
                <w:rFonts w:ascii="仿宋" w:hAnsi="仿宋" w:eastAsia="仿宋"/>
                <w:bCs/>
                <w:sz w:val="24"/>
                <w:highlight w:val="yellow"/>
              </w:rPr>
            </w:pPr>
            <w:r>
              <w:rPr>
                <w:rFonts w:hint="eastAsia" w:ascii="仿宋" w:hAnsi="仿宋" w:eastAsia="仿宋"/>
                <w:bCs/>
                <w:sz w:val="24"/>
                <w:highlight w:val="yellow"/>
              </w:rPr>
              <w:t>1</w:t>
            </w:r>
          </w:p>
        </w:tc>
        <w:tc>
          <w:tcPr>
            <w:tcW w:w="5103" w:type="dxa"/>
            <w:vAlign w:val="center"/>
          </w:tcPr>
          <w:p>
            <w:pPr>
              <w:adjustRightInd w:val="0"/>
              <w:snapToGrid w:val="0"/>
              <w:spacing w:line="360" w:lineRule="auto"/>
              <w:ind w:firstLine="480" w:firstLineChars="200"/>
              <w:rPr>
                <w:rFonts w:ascii="仿宋" w:hAnsi="仿宋" w:eastAsia="仿宋"/>
                <w:bCs/>
                <w:sz w:val="24"/>
                <w:highlight w:val="yellow"/>
              </w:rPr>
            </w:pPr>
            <w:r>
              <w:rPr>
                <w:rFonts w:hint="eastAsia" w:ascii="仿宋" w:hAnsi="仿宋" w:eastAsia="仿宋"/>
                <w:bCs/>
                <w:sz w:val="24"/>
                <w:highlight w:val="yellow"/>
              </w:rPr>
              <w:t>深圳音乐学院林木采伐及迁移施工</w:t>
            </w:r>
          </w:p>
        </w:tc>
        <w:tc>
          <w:tcPr>
            <w:tcW w:w="1559" w:type="dxa"/>
            <w:tcBorders>
              <w:right w:val="single" w:color="auto" w:sz="4" w:space="0"/>
            </w:tcBorders>
            <w:vAlign w:val="center"/>
          </w:tcPr>
          <w:p>
            <w:pPr>
              <w:adjustRightInd w:val="0"/>
              <w:snapToGrid w:val="0"/>
              <w:spacing w:line="360" w:lineRule="auto"/>
              <w:jc w:val="center"/>
              <w:rPr>
                <w:rFonts w:hint="default" w:ascii="仿宋" w:hAnsi="仿宋" w:eastAsiaTheme="minorEastAsia"/>
                <w:sz w:val="24"/>
                <w:highlight w:val="yellow"/>
                <w:lang w:val="en-US" w:eastAsia="zh-CN"/>
              </w:rPr>
            </w:pPr>
            <w:r>
              <w:rPr>
                <w:rFonts w:hint="eastAsia" w:ascii="仿宋" w:hAnsi="仿宋" w:eastAsia="仿宋"/>
                <w:sz w:val="24"/>
                <w:szCs w:val="24"/>
                <w:highlight w:val="yellow"/>
                <w:lang w:val="en-US" w:eastAsia="zh-CN"/>
              </w:rPr>
              <w:t>436597.60</w:t>
            </w:r>
          </w:p>
        </w:tc>
        <w:tc>
          <w:tcPr>
            <w:tcW w:w="1843" w:type="dxa"/>
            <w:tcBorders>
              <w:left w:val="single" w:color="auto" w:sz="4" w:space="0"/>
            </w:tcBorders>
            <w:vAlign w:val="center"/>
          </w:tcPr>
          <w:p>
            <w:pPr>
              <w:adjustRightInd w:val="0"/>
              <w:snapToGrid w:val="0"/>
              <w:spacing w:line="360" w:lineRule="auto"/>
              <w:jc w:val="center"/>
              <w:rPr>
                <w:rFonts w:ascii="仿宋" w:hAnsi="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vAlign w:val="center"/>
          </w:tcPr>
          <w:p>
            <w:pPr>
              <w:adjustRightInd w:val="0"/>
              <w:snapToGrid w:val="0"/>
              <w:spacing w:line="360" w:lineRule="auto"/>
              <w:jc w:val="center"/>
              <w:rPr>
                <w:rFonts w:hint="eastAsia" w:ascii="仿宋" w:hAnsi="仿宋" w:eastAsia="仿宋"/>
                <w:bCs/>
                <w:sz w:val="24"/>
                <w:highlight w:val="yellow"/>
                <w:lang w:val="en-US" w:eastAsia="zh-CN"/>
              </w:rPr>
            </w:pPr>
            <w:r>
              <w:rPr>
                <w:rFonts w:hint="eastAsia" w:ascii="仿宋" w:hAnsi="仿宋" w:eastAsia="仿宋"/>
                <w:bCs/>
                <w:sz w:val="24"/>
                <w:highlight w:val="yellow"/>
                <w:lang w:val="en-US" w:eastAsia="zh-CN"/>
              </w:rPr>
              <w:t>2</w:t>
            </w:r>
          </w:p>
        </w:tc>
        <w:tc>
          <w:tcPr>
            <w:tcW w:w="5103" w:type="dxa"/>
            <w:vAlign w:val="center"/>
          </w:tcPr>
          <w:p>
            <w:pPr>
              <w:adjustRightInd w:val="0"/>
              <w:snapToGrid w:val="0"/>
              <w:spacing w:line="360" w:lineRule="auto"/>
              <w:jc w:val="center"/>
              <w:rPr>
                <w:rFonts w:hint="default" w:ascii="仿宋" w:hAnsi="仿宋" w:eastAsia="仿宋"/>
                <w:bCs/>
                <w:sz w:val="24"/>
                <w:highlight w:val="yellow"/>
                <w:lang w:val="en-US" w:eastAsia="zh-CN"/>
              </w:rPr>
            </w:pPr>
            <w:r>
              <w:rPr>
                <w:rFonts w:hint="eastAsia" w:ascii="仿宋" w:hAnsi="仿宋" w:eastAsia="仿宋"/>
                <w:bCs/>
                <w:sz w:val="24"/>
                <w:highlight w:val="yellow"/>
                <w:lang w:val="en-US" w:eastAsia="zh-CN"/>
              </w:rPr>
              <w:t>不可竞争费（暂列金+安全文明施工措施费）</w:t>
            </w:r>
          </w:p>
        </w:tc>
        <w:tc>
          <w:tcPr>
            <w:tcW w:w="1559" w:type="dxa"/>
            <w:tcBorders>
              <w:right w:val="single" w:color="auto" w:sz="4" w:space="0"/>
            </w:tcBorders>
            <w:vAlign w:val="center"/>
          </w:tcPr>
          <w:p>
            <w:pPr>
              <w:adjustRightInd w:val="0"/>
              <w:snapToGrid w:val="0"/>
              <w:spacing w:line="360" w:lineRule="auto"/>
              <w:jc w:val="center"/>
              <w:rPr>
                <w:rFonts w:hint="default" w:ascii="仿宋" w:hAnsi="仿宋" w:eastAsia="仿宋"/>
                <w:sz w:val="24"/>
                <w:szCs w:val="24"/>
                <w:highlight w:val="yellow"/>
                <w:lang w:val="en-US" w:eastAsia="zh-CN"/>
              </w:rPr>
            </w:pPr>
            <w:r>
              <w:rPr>
                <w:rFonts w:hint="eastAsia" w:ascii="仿宋" w:hAnsi="仿宋" w:eastAsia="仿宋"/>
                <w:sz w:val="24"/>
                <w:szCs w:val="24"/>
                <w:highlight w:val="yellow"/>
                <w:lang w:val="en-US" w:eastAsia="zh-CN"/>
              </w:rPr>
              <w:t>48926.50</w:t>
            </w:r>
          </w:p>
        </w:tc>
        <w:tc>
          <w:tcPr>
            <w:tcW w:w="1843" w:type="dxa"/>
            <w:tcBorders>
              <w:left w:val="single" w:color="auto" w:sz="4" w:space="0"/>
            </w:tcBorders>
            <w:vAlign w:val="center"/>
          </w:tcPr>
          <w:p>
            <w:pPr>
              <w:adjustRightInd w:val="0"/>
              <w:snapToGrid w:val="0"/>
              <w:spacing w:line="360" w:lineRule="auto"/>
              <w:jc w:val="center"/>
              <w:rPr>
                <w:rFonts w:ascii="仿宋" w:hAnsi="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vAlign w:val="center"/>
          </w:tcPr>
          <w:p>
            <w:pPr>
              <w:adjustRightInd w:val="0"/>
              <w:snapToGrid w:val="0"/>
              <w:spacing w:line="360" w:lineRule="auto"/>
              <w:jc w:val="center"/>
              <w:rPr>
                <w:rFonts w:hint="eastAsia" w:ascii="仿宋" w:hAnsi="仿宋" w:eastAsia="仿宋"/>
                <w:bCs/>
                <w:sz w:val="24"/>
                <w:highlight w:val="yellow"/>
                <w:lang w:val="en-US" w:eastAsia="zh-CN"/>
              </w:rPr>
            </w:pPr>
            <w:r>
              <w:rPr>
                <w:rFonts w:hint="eastAsia" w:ascii="仿宋" w:hAnsi="仿宋" w:eastAsia="仿宋"/>
                <w:bCs/>
                <w:sz w:val="24"/>
                <w:highlight w:val="yellow"/>
                <w:lang w:val="en-US" w:eastAsia="zh-CN"/>
              </w:rPr>
              <w:t>其中</w:t>
            </w:r>
          </w:p>
        </w:tc>
        <w:tc>
          <w:tcPr>
            <w:tcW w:w="5103" w:type="dxa"/>
            <w:vAlign w:val="center"/>
          </w:tcPr>
          <w:p>
            <w:pPr>
              <w:adjustRightInd w:val="0"/>
              <w:snapToGrid w:val="0"/>
              <w:spacing w:line="360" w:lineRule="auto"/>
              <w:jc w:val="center"/>
              <w:rPr>
                <w:rFonts w:hint="default" w:ascii="仿宋" w:hAnsi="仿宋" w:eastAsia="仿宋"/>
                <w:bCs/>
                <w:sz w:val="24"/>
                <w:highlight w:val="yellow"/>
                <w:lang w:val="en-US" w:eastAsia="zh-CN"/>
              </w:rPr>
            </w:pPr>
            <w:r>
              <w:rPr>
                <w:rFonts w:hint="eastAsia" w:ascii="仿宋" w:hAnsi="仿宋" w:eastAsia="仿宋"/>
                <w:bCs/>
                <w:sz w:val="24"/>
                <w:highlight w:val="yellow"/>
                <w:lang w:val="en-US" w:eastAsia="zh-CN"/>
              </w:rPr>
              <w:t>暂列金额</w:t>
            </w:r>
          </w:p>
        </w:tc>
        <w:tc>
          <w:tcPr>
            <w:tcW w:w="1559" w:type="dxa"/>
            <w:tcBorders>
              <w:right w:val="single" w:color="auto" w:sz="4" w:space="0"/>
            </w:tcBorders>
            <w:vAlign w:val="center"/>
          </w:tcPr>
          <w:p>
            <w:pPr>
              <w:adjustRightInd w:val="0"/>
              <w:snapToGrid w:val="0"/>
              <w:spacing w:line="360" w:lineRule="auto"/>
              <w:jc w:val="center"/>
              <w:rPr>
                <w:rFonts w:hint="default" w:ascii="仿宋" w:hAnsi="仿宋" w:eastAsia="仿宋"/>
                <w:sz w:val="24"/>
                <w:szCs w:val="24"/>
                <w:highlight w:val="yellow"/>
                <w:lang w:val="en-US" w:eastAsia="zh-CN"/>
              </w:rPr>
            </w:pPr>
            <w:r>
              <w:rPr>
                <w:rFonts w:hint="eastAsia" w:ascii="仿宋" w:hAnsi="仿宋" w:eastAsia="仿宋"/>
                <w:sz w:val="24"/>
                <w:szCs w:val="24"/>
                <w:highlight w:val="yellow"/>
                <w:lang w:val="en-US" w:eastAsia="zh-CN"/>
              </w:rPr>
              <w:t>43600.00</w:t>
            </w:r>
          </w:p>
        </w:tc>
        <w:tc>
          <w:tcPr>
            <w:tcW w:w="1843" w:type="dxa"/>
            <w:tcBorders>
              <w:left w:val="single" w:color="auto" w:sz="4" w:space="0"/>
            </w:tcBorders>
            <w:vAlign w:val="center"/>
          </w:tcPr>
          <w:p>
            <w:pPr>
              <w:adjustRightInd w:val="0"/>
              <w:snapToGrid w:val="0"/>
              <w:spacing w:line="360" w:lineRule="auto"/>
              <w:jc w:val="center"/>
              <w:rPr>
                <w:rFonts w:ascii="仿宋" w:hAnsi="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vAlign w:val="center"/>
          </w:tcPr>
          <w:p>
            <w:pPr>
              <w:adjustRightInd w:val="0"/>
              <w:snapToGrid w:val="0"/>
              <w:spacing w:line="360" w:lineRule="auto"/>
              <w:jc w:val="center"/>
              <w:rPr>
                <w:rFonts w:hint="eastAsia" w:ascii="仿宋" w:hAnsi="仿宋" w:eastAsia="仿宋"/>
                <w:bCs/>
                <w:sz w:val="24"/>
                <w:highlight w:val="yellow"/>
              </w:rPr>
            </w:pPr>
          </w:p>
        </w:tc>
        <w:tc>
          <w:tcPr>
            <w:tcW w:w="5103" w:type="dxa"/>
            <w:vAlign w:val="center"/>
          </w:tcPr>
          <w:p>
            <w:pPr>
              <w:adjustRightInd w:val="0"/>
              <w:snapToGrid w:val="0"/>
              <w:spacing w:line="360" w:lineRule="auto"/>
              <w:jc w:val="center"/>
              <w:rPr>
                <w:rFonts w:hint="default" w:ascii="仿宋" w:hAnsi="仿宋" w:eastAsia="仿宋"/>
                <w:bCs/>
                <w:sz w:val="24"/>
                <w:highlight w:val="yellow"/>
                <w:lang w:val="en-US" w:eastAsia="zh-CN"/>
              </w:rPr>
            </w:pPr>
            <w:r>
              <w:rPr>
                <w:rFonts w:hint="eastAsia" w:ascii="仿宋" w:hAnsi="仿宋" w:eastAsia="仿宋"/>
                <w:bCs/>
                <w:sz w:val="24"/>
                <w:highlight w:val="yellow"/>
                <w:lang w:val="en-US" w:eastAsia="zh-CN"/>
              </w:rPr>
              <w:t>安全文明施工措施费</w:t>
            </w:r>
          </w:p>
        </w:tc>
        <w:tc>
          <w:tcPr>
            <w:tcW w:w="1559" w:type="dxa"/>
            <w:tcBorders>
              <w:right w:val="single" w:color="auto" w:sz="4" w:space="0"/>
            </w:tcBorders>
            <w:vAlign w:val="center"/>
          </w:tcPr>
          <w:p>
            <w:pPr>
              <w:adjustRightInd w:val="0"/>
              <w:snapToGrid w:val="0"/>
              <w:spacing w:line="360" w:lineRule="auto"/>
              <w:jc w:val="center"/>
              <w:rPr>
                <w:rFonts w:hint="default" w:ascii="仿宋" w:hAnsi="仿宋" w:eastAsia="仿宋"/>
                <w:sz w:val="24"/>
                <w:szCs w:val="24"/>
                <w:highlight w:val="yellow"/>
                <w:lang w:val="en-US" w:eastAsia="zh-CN"/>
              </w:rPr>
            </w:pPr>
            <w:r>
              <w:rPr>
                <w:rFonts w:hint="eastAsia" w:ascii="仿宋" w:hAnsi="仿宋" w:eastAsia="仿宋"/>
                <w:sz w:val="24"/>
                <w:szCs w:val="24"/>
                <w:highlight w:val="yellow"/>
                <w:lang w:val="en-US" w:eastAsia="zh-CN"/>
              </w:rPr>
              <w:t>5326.50</w:t>
            </w:r>
          </w:p>
        </w:tc>
        <w:tc>
          <w:tcPr>
            <w:tcW w:w="1843" w:type="dxa"/>
            <w:tcBorders>
              <w:left w:val="single" w:color="auto" w:sz="4" w:space="0"/>
            </w:tcBorders>
            <w:vAlign w:val="center"/>
          </w:tcPr>
          <w:p>
            <w:pPr>
              <w:adjustRightInd w:val="0"/>
              <w:snapToGrid w:val="0"/>
              <w:spacing w:line="360" w:lineRule="auto"/>
              <w:jc w:val="center"/>
              <w:rPr>
                <w:rFonts w:ascii="仿宋" w:hAnsi="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7" w:type="dxa"/>
            <w:gridSpan w:val="4"/>
          </w:tcPr>
          <w:p>
            <w:pPr>
              <w:adjustRightInd w:val="0"/>
              <w:snapToGrid w:val="0"/>
              <w:spacing w:line="360" w:lineRule="auto"/>
              <w:rPr>
                <w:rFonts w:ascii="仿宋" w:hAnsi="仿宋" w:eastAsia="仿宋"/>
                <w:szCs w:val="21"/>
                <w:shd w:val="clear" w:color="auto" w:fill="FFFFFF"/>
              </w:rPr>
            </w:pPr>
            <w:r>
              <w:rPr>
                <w:rFonts w:hint="eastAsia" w:ascii="仿宋" w:hAnsi="仿宋"/>
                <w:b/>
                <w:szCs w:val="21"/>
              </w:rPr>
              <w:t xml:space="preserve">服务要求：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s="宋体"/>
                <w:bCs/>
                <w:kern w:val="0"/>
                <w:sz w:val="24"/>
                <w:szCs w:val="24"/>
              </w:rPr>
            </w:pPr>
            <w:r>
              <w:rPr>
                <w:rFonts w:hint="eastAsia" w:ascii="仿宋" w:hAnsi="仿宋" w:eastAsia="仿宋" w:cs="宋体"/>
                <w:bCs/>
                <w:kern w:val="0"/>
                <w:sz w:val="24"/>
                <w:szCs w:val="24"/>
                <w:lang w:val="en-US" w:eastAsia="zh-CN"/>
              </w:rPr>
              <w:t>1、</w:t>
            </w:r>
            <w:r>
              <w:rPr>
                <w:rFonts w:hint="eastAsia" w:ascii="仿宋" w:hAnsi="仿宋" w:eastAsia="仿宋" w:cs="宋体"/>
                <w:bCs/>
                <w:kern w:val="0"/>
                <w:sz w:val="24"/>
                <w:szCs w:val="24"/>
              </w:rPr>
              <w:t xml:space="preserve">完成项目涉及的无产权部门认领林木登报工作； </w:t>
            </w:r>
          </w:p>
          <w:p>
            <w:pPr>
              <w:pStyle w:val="125"/>
              <w:keepNext w:val="0"/>
              <w:keepLines w:val="0"/>
              <w:pageBreakBefore w:val="0"/>
              <w:widowControl w:val="0"/>
              <w:tabs>
                <w:tab w:val="left" w:pos="886"/>
              </w:tabs>
              <w:kinsoku/>
              <w:wordWrap/>
              <w:overflowPunct/>
              <w:topLinePunct w:val="0"/>
              <w:autoSpaceDE/>
              <w:autoSpaceDN/>
              <w:bidi w:val="0"/>
              <w:adjustRightInd w:val="0"/>
              <w:snapToGrid w:val="0"/>
              <w:spacing w:line="400" w:lineRule="exact"/>
              <w:ind w:firstLine="0"/>
              <w:textAlignment w:val="auto"/>
              <w:rPr>
                <w:rFonts w:ascii="仿宋" w:hAnsi="仿宋" w:eastAsia="仿宋"/>
                <w:kern w:val="0"/>
                <w:sz w:val="24"/>
                <w:szCs w:val="24"/>
              </w:rPr>
            </w:pPr>
            <w:r>
              <w:rPr>
                <w:rFonts w:hint="eastAsia" w:ascii="仿宋" w:hAnsi="仿宋" w:eastAsia="仿宋"/>
                <w:bCs/>
                <w:kern w:val="0"/>
                <w:sz w:val="24"/>
                <w:szCs w:val="24"/>
                <w:lang w:val="en-US" w:eastAsia="zh-CN"/>
              </w:rPr>
              <w:t>2、</w:t>
            </w:r>
            <w:r>
              <w:rPr>
                <w:rFonts w:hint="eastAsia" w:ascii="仿宋" w:hAnsi="仿宋" w:eastAsia="仿宋"/>
                <w:kern w:val="0"/>
                <w:sz w:val="24"/>
                <w:szCs w:val="24"/>
                <w:lang w:val="en-US" w:eastAsia="zh-CN"/>
              </w:rPr>
              <w:t>与相关行政主管部门沟通，确定深圳音乐学院项目范围内林木需采伐及迁移的范围及数量，并负责相关迁移及采伐的行政手续办理，直至取得相关行政许可或批复文件；</w:t>
            </w:r>
            <w:r>
              <w:rPr>
                <w:rFonts w:hint="eastAsia" w:ascii="仿宋" w:hAnsi="仿宋" w:eastAsia="仿宋"/>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sz w:val="24"/>
              </w:rPr>
            </w:pPr>
            <w:r>
              <w:rPr>
                <w:rFonts w:hint="eastAsia" w:ascii="仿宋" w:hAnsi="仿宋" w:eastAsia="仿宋" w:cs="宋体"/>
                <w:bCs/>
                <w:kern w:val="0"/>
                <w:sz w:val="24"/>
                <w:szCs w:val="24"/>
                <w:lang w:val="en-US" w:eastAsia="zh-CN"/>
              </w:rPr>
              <w:t>3、</w:t>
            </w:r>
            <w:r>
              <w:rPr>
                <w:rFonts w:hint="eastAsia" w:ascii="仿宋" w:hAnsi="仿宋" w:eastAsia="仿宋" w:cs="宋体"/>
                <w:bCs/>
                <w:kern w:val="0"/>
                <w:sz w:val="24"/>
                <w:szCs w:val="24"/>
              </w:rPr>
              <w:t>根据行政主管部门要求，完成项目涉及的所有林木采伐及迁移，并按相关规定进行迁移后的林木管理和养护工作。</w:t>
            </w:r>
          </w:p>
          <w:p>
            <w:pPr>
              <w:adjustRightInd w:val="0"/>
              <w:snapToGrid w:val="0"/>
              <w:spacing w:line="360" w:lineRule="auto"/>
              <w:jc w:val="both"/>
              <w:rPr>
                <w:rFonts w:ascii="仿宋" w:hAnsi="仿宋"/>
                <w:b/>
                <w:szCs w:val="21"/>
              </w:rPr>
            </w:pPr>
            <w:r>
              <w:rPr>
                <w:rFonts w:hint="eastAsia" w:ascii="仿宋" w:hAnsi="仿宋"/>
                <w:b/>
                <w:szCs w:val="21"/>
              </w:rPr>
              <w:t>付款及结算方式：</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仿宋" w:hAnsi="仿宋" w:eastAsia="仿宋"/>
                <w:sz w:val="24"/>
                <w:szCs w:val="24"/>
              </w:rPr>
            </w:pPr>
            <w:r>
              <w:rPr>
                <w:rFonts w:hint="eastAsia" w:ascii="仿宋" w:hAnsi="仿宋" w:eastAsia="仿宋"/>
                <w:sz w:val="24"/>
                <w:szCs w:val="24"/>
              </w:rPr>
              <w:t>1、本合同不设预付款；</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完成项目涉及的所有林木采伐和迁移工作，经监理、发包人、行政主管部门（如需）确认后，支付至实际完成工程量价款的</w:t>
            </w:r>
            <w:r>
              <w:rPr>
                <w:rFonts w:ascii="仿宋" w:hAnsi="仿宋" w:eastAsia="仿宋"/>
                <w:sz w:val="24"/>
                <w:szCs w:val="24"/>
              </w:rPr>
              <w:t>50%</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、完成项目涉及的林木迁移且栽植</w:t>
            </w:r>
            <w:r>
              <w:rPr>
                <w:rFonts w:ascii="仿宋" w:hAnsi="仿宋" w:eastAsia="仿宋"/>
                <w:kern w:val="0"/>
                <w:sz w:val="24"/>
                <w:szCs w:val="24"/>
              </w:rPr>
              <w:t>成活养护期</w:t>
            </w:r>
            <w:r>
              <w:rPr>
                <w:rFonts w:hint="eastAsia" w:ascii="仿宋" w:hAnsi="仿宋" w:eastAsia="仿宋"/>
                <w:kern w:val="0"/>
                <w:sz w:val="24"/>
                <w:szCs w:val="24"/>
              </w:rPr>
              <w:t>满</w:t>
            </w:r>
            <w:r>
              <w:rPr>
                <w:rFonts w:hint="eastAsia" w:ascii="仿宋" w:hAnsi="仿宋" w:eastAsia="仿宋"/>
                <w:sz w:val="24"/>
                <w:szCs w:val="24"/>
              </w:rPr>
              <w:t xml:space="preserve">，经监理、发包人、行政主管部门（如需）验收合格后，按实际完成的合格工程量（栽植后的林木须存活，否则不予计量）进行计量结算，承包人提交结算资料经发包人认可后二十个工作日内，支付至结算价款的90%； </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sz w:val="24"/>
                <w:szCs w:val="24"/>
                <w:lang w:eastAsia="zh-CN"/>
              </w:rPr>
            </w:pPr>
            <w:r>
              <w:rPr>
                <w:rFonts w:hint="eastAsia" w:ascii="仿宋" w:hAnsi="仿宋" w:eastAsia="仿宋"/>
                <w:sz w:val="24"/>
                <w:szCs w:val="24"/>
              </w:rPr>
              <w:t>4、剩余款项经深圳市财政投资评审中心审核完毕后，支付余款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sz w:val="24"/>
                <w:szCs w:val="24"/>
              </w:rPr>
            </w:pPr>
            <w:r>
              <w:rPr>
                <w:rFonts w:hint="eastAsia" w:ascii="仿宋" w:hAnsi="仿宋" w:eastAsia="仿宋"/>
                <w:sz w:val="24"/>
                <w:szCs w:val="24"/>
              </w:rPr>
              <w:t>5、上述费用均须政府部门财政或发改划拨款项到位后支付，发包人不承担因财政或发改审批或拨款延迟造成延迟付款的违约责任。</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6、根据《深圳市建筑工务署小型工程简易招标管理办法（2018）》、《深圳市2021-2022年政府集中采购目录及限额</w:t>
            </w:r>
            <w:r>
              <w:rPr>
                <w:rFonts w:hint="eastAsia" w:ascii="仿宋" w:hAnsi="仿宋" w:eastAsia="仿宋" w:cstheme="minorBidi"/>
                <w:kern w:val="2"/>
                <w:sz w:val="24"/>
                <w:szCs w:val="24"/>
                <w:highlight w:val="none"/>
                <w:lang w:val="en-US" w:eastAsia="zh-CN" w:bidi="ar-SA"/>
              </w:rPr>
              <w:t>标准》（深财购[2020]60号）及深建市场【2018】19号文</w:t>
            </w:r>
            <w:r>
              <w:rPr>
                <w:rFonts w:hint="eastAsia" w:ascii="仿宋" w:hAnsi="仿宋" w:eastAsia="仿宋"/>
                <w:sz w:val="24"/>
                <w:szCs w:val="24"/>
                <w:highlight w:val="none"/>
                <w:lang w:val="en-US" w:eastAsia="zh-CN"/>
              </w:rPr>
              <w:t>的有关规定，工程类项目小于400万元，可采用小型简易招标。本工程采用小型工程简易招标形式（工程类），最终结算金额小于400万元。</w:t>
            </w:r>
          </w:p>
          <w:p>
            <w:pPr>
              <w:adjustRightInd w:val="0"/>
              <w:snapToGrid w:val="0"/>
              <w:spacing w:line="360" w:lineRule="auto"/>
              <w:rPr>
                <w:rFonts w:ascii="仿宋" w:hAnsi="仿宋"/>
                <w:b/>
                <w:szCs w:val="21"/>
                <w:highlight w:val="none"/>
              </w:rPr>
            </w:pPr>
            <w:r>
              <w:rPr>
                <w:rFonts w:hint="eastAsia" w:ascii="仿宋" w:hAnsi="仿宋"/>
                <w:b/>
                <w:szCs w:val="21"/>
                <w:highlight w:val="none"/>
              </w:rPr>
              <w:t>报价要求：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sz w:val="24"/>
                <w:szCs w:val="24"/>
                <w:highlight w:val="none"/>
              </w:rPr>
            </w:pPr>
            <w:r>
              <w:rPr>
                <w:rFonts w:hint="eastAsia" w:ascii="仿宋" w:hAnsi="仿宋" w:eastAsia="仿宋"/>
                <w:sz w:val="24"/>
                <w:szCs w:val="24"/>
                <w:highlight w:val="none"/>
              </w:rPr>
              <w:t>1、报价以元为单位，保留小数点后两位；</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sz w:val="24"/>
                <w:szCs w:val="24"/>
              </w:rPr>
            </w:pPr>
            <w:r>
              <w:rPr>
                <w:rFonts w:hint="eastAsia" w:ascii="仿宋" w:hAnsi="仿宋" w:eastAsia="仿宋"/>
                <w:sz w:val="24"/>
                <w:szCs w:val="24"/>
                <w:highlight w:val="none"/>
              </w:rPr>
              <w:t>2、除填报本报价书外，本附件所包含的如下汇总表、分部分项工程量清单、措施项目清单、规费及税金项目清单均需填报，否则按无效标处理。</w:t>
            </w:r>
          </w:p>
        </w:tc>
      </w:tr>
    </w:tbl>
    <w:p>
      <w:pPr>
        <w:rPr>
          <w:rFonts w:ascii="仿宋" w:hAnsi="仿宋"/>
          <w:sz w:val="28"/>
          <w:szCs w:val="28"/>
        </w:rPr>
      </w:pPr>
      <w:r>
        <w:rPr>
          <w:rFonts w:hint="eastAsia" w:ascii="仿宋" w:hAnsi="仿宋"/>
          <w:sz w:val="28"/>
          <w:szCs w:val="28"/>
        </w:rPr>
        <w:t>投标人法定代表签名：              投标单位（署名并盖章）：</w:t>
      </w:r>
    </w:p>
    <w:p>
      <w:pPr>
        <w:ind w:firstLine="4760" w:firstLineChars="1700"/>
        <w:rPr>
          <w:rFonts w:hint="eastAsia" w:ascii="仿宋" w:hAnsi="仿宋"/>
          <w:sz w:val="28"/>
          <w:szCs w:val="28"/>
        </w:rPr>
      </w:pPr>
      <w:r>
        <w:rPr>
          <w:rFonts w:hint="eastAsia" w:ascii="仿宋" w:hAnsi="仿宋"/>
          <w:sz w:val="28"/>
          <w:szCs w:val="28"/>
        </w:rPr>
        <w:t>日期：</w:t>
      </w:r>
      <w:bookmarkStart w:id="4" w:name="Bookmark40"/>
      <w:bookmarkEnd w:id="4"/>
      <w:bookmarkStart w:id="5" w:name="Bookmark44"/>
      <w:bookmarkEnd w:id="5"/>
      <w:bookmarkStart w:id="6" w:name="Bookmark38"/>
      <w:bookmarkEnd w:id="6"/>
      <w:bookmarkStart w:id="7" w:name="Bookmark39"/>
      <w:bookmarkEnd w:id="7"/>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tbl>
      <w:tblPr>
        <w:tblStyle w:val="39"/>
        <w:tblW w:w="9950" w:type="dxa"/>
        <w:jc w:val="center"/>
        <w:tblLayout w:type="fixed"/>
        <w:tblCellMar>
          <w:top w:w="0" w:type="dxa"/>
          <w:left w:w="0" w:type="dxa"/>
          <w:bottom w:w="0" w:type="dxa"/>
          <w:right w:w="0" w:type="dxa"/>
        </w:tblCellMar>
      </w:tblPr>
      <w:tblGrid>
        <w:gridCol w:w="3845"/>
        <w:gridCol w:w="700"/>
        <w:gridCol w:w="1813"/>
        <w:gridCol w:w="2225"/>
        <w:gridCol w:w="1367"/>
      </w:tblGrid>
      <w:tr>
        <w:tblPrEx>
          <w:tblCellMar>
            <w:top w:w="0" w:type="dxa"/>
            <w:left w:w="0" w:type="dxa"/>
            <w:bottom w:w="0" w:type="dxa"/>
            <w:right w:w="0" w:type="dxa"/>
          </w:tblCellMar>
        </w:tblPrEx>
        <w:trPr>
          <w:trHeight w:val="660" w:hRule="atLeast"/>
          <w:jc w:val="center"/>
        </w:trPr>
        <w:tc>
          <w:tcPr>
            <w:tcW w:w="9950" w:type="dxa"/>
            <w:gridSpan w:val="5"/>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lang w:bidi="ar"/>
              </w:rPr>
              <w:t>工程造价预算编制汇总表</w:t>
            </w:r>
          </w:p>
        </w:tc>
      </w:tr>
      <w:tr>
        <w:tblPrEx>
          <w:tblCellMar>
            <w:top w:w="0" w:type="dxa"/>
            <w:left w:w="0" w:type="dxa"/>
            <w:bottom w:w="0" w:type="dxa"/>
            <w:right w:w="0" w:type="dxa"/>
          </w:tblCellMar>
        </w:tblPrEx>
        <w:trPr>
          <w:trHeight w:val="494" w:hRule="atLeast"/>
          <w:jc w:val="center"/>
        </w:trPr>
        <w:tc>
          <w:tcPr>
            <w:tcW w:w="4545" w:type="dxa"/>
            <w:gridSpan w:val="2"/>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工程名称：深圳音乐学院林木采伐及迁移施工</w:t>
            </w:r>
          </w:p>
        </w:tc>
        <w:tc>
          <w:tcPr>
            <w:tcW w:w="1813" w:type="dxa"/>
            <w:tcBorders>
              <w:top w:val="nil"/>
              <w:left w:val="nil"/>
              <w:bottom w:val="nil"/>
              <w:right w:val="nil"/>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c>
          <w:tcPr>
            <w:tcW w:w="2225" w:type="dxa"/>
            <w:tcBorders>
              <w:top w:val="nil"/>
              <w:left w:val="nil"/>
              <w:bottom w:val="nil"/>
              <w:right w:val="nil"/>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c>
          <w:tcPr>
            <w:tcW w:w="1367" w:type="dxa"/>
            <w:tcBorders>
              <w:top w:val="nil"/>
              <w:left w:val="nil"/>
              <w:bottom w:val="nil"/>
              <w:right w:val="nil"/>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614" w:hRule="atLeast"/>
          <w:jc w:val="center"/>
        </w:trPr>
        <w:tc>
          <w:tcPr>
            <w:tcW w:w="384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序号</w:t>
            </w:r>
          </w:p>
        </w:tc>
        <w:tc>
          <w:tcPr>
            <w:tcW w:w="2513"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单位工程名称</w:t>
            </w:r>
          </w:p>
        </w:tc>
        <w:tc>
          <w:tcPr>
            <w:tcW w:w="222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 xml:space="preserve"> 金额（元）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备注</w:t>
            </w:r>
          </w:p>
        </w:tc>
      </w:tr>
      <w:tr>
        <w:tblPrEx>
          <w:tblCellMar>
            <w:top w:w="0" w:type="dxa"/>
            <w:left w:w="0" w:type="dxa"/>
            <w:bottom w:w="0" w:type="dxa"/>
            <w:right w:w="0" w:type="dxa"/>
          </w:tblCellMar>
        </w:tblPrEx>
        <w:trPr>
          <w:trHeight w:val="630" w:hRule="atLeast"/>
          <w:jc w:val="center"/>
        </w:trPr>
        <w:tc>
          <w:tcPr>
            <w:tcW w:w="3845"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一</w:t>
            </w:r>
          </w:p>
        </w:tc>
        <w:tc>
          <w:tcPr>
            <w:tcW w:w="2513" w:type="dxa"/>
            <w:gridSpan w:val="2"/>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深圳音乐学院林木采伐及迁移施工</w:t>
            </w:r>
          </w:p>
        </w:tc>
        <w:tc>
          <w:tcPr>
            <w:tcW w:w="2225"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30" w:hRule="atLeast"/>
          <w:jc w:val="center"/>
        </w:trPr>
        <w:tc>
          <w:tcPr>
            <w:tcW w:w="3845"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1.1</w:t>
            </w:r>
          </w:p>
        </w:tc>
        <w:tc>
          <w:tcPr>
            <w:tcW w:w="2513" w:type="dxa"/>
            <w:gridSpan w:val="2"/>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深圳音乐学院绿化迁移工程</w:t>
            </w:r>
          </w:p>
        </w:tc>
        <w:tc>
          <w:tcPr>
            <w:tcW w:w="2225"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jc w:val="center"/>
              <w:rPr>
                <w:rFonts w:ascii="仿宋_GB2312" w:hAnsi="宋体" w:eastAsia="仿宋_GB2312" w:cs="仿宋_GB2312"/>
                <w:color w:val="000000"/>
                <w:sz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安全文明施工费：5326.5元</w:t>
            </w:r>
          </w:p>
        </w:tc>
      </w:tr>
      <w:tr>
        <w:tblPrEx>
          <w:tblCellMar>
            <w:top w:w="0" w:type="dxa"/>
            <w:left w:w="0" w:type="dxa"/>
            <w:bottom w:w="0" w:type="dxa"/>
            <w:right w:w="0" w:type="dxa"/>
          </w:tblCellMar>
        </w:tblPrEx>
        <w:trPr>
          <w:trHeight w:val="630" w:hRule="atLeast"/>
          <w:jc w:val="center"/>
        </w:trPr>
        <w:tc>
          <w:tcPr>
            <w:tcW w:w="3845"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二</w:t>
            </w:r>
          </w:p>
        </w:tc>
        <w:tc>
          <w:tcPr>
            <w:tcW w:w="2513" w:type="dxa"/>
            <w:gridSpan w:val="2"/>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工程建设其他费</w:t>
            </w:r>
          </w:p>
        </w:tc>
        <w:tc>
          <w:tcPr>
            <w:tcW w:w="2225"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jc w:val="center"/>
              <w:rPr>
                <w:rFonts w:ascii="仿宋_GB2312" w:hAnsi="宋体" w:eastAsia="仿宋_GB2312" w:cs="仿宋_GB2312"/>
                <w:color w:val="000000"/>
                <w:sz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630" w:hRule="atLeast"/>
          <w:jc w:val="center"/>
        </w:trPr>
        <w:tc>
          <w:tcPr>
            <w:tcW w:w="3845"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2.1</w:t>
            </w:r>
          </w:p>
        </w:tc>
        <w:tc>
          <w:tcPr>
            <w:tcW w:w="2513" w:type="dxa"/>
            <w:gridSpan w:val="2"/>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暂列金额（建安费*10%）</w:t>
            </w:r>
          </w:p>
        </w:tc>
        <w:tc>
          <w:tcPr>
            <w:tcW w:w="2225"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jc w:val="center"/>
              <w:rPr>
                <w:rFonts w:ascii="仿宋_GB2312" w:hAnsi="宋体" w:eastAsia="仿宋_GB2312" w:cs="仿宋_GB2312"/>
                <w:color w:val="000000"/>
                <w:sz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630" w:hRule="atLeast"/>
          <w:jc w:val="center"/>
        </w:trPr>
        <w:tc>
          <w:tcPr>
            <w:tcW w:w="3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三</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lang w:bidi="ar"/>
              </w:rPr>
              <w:t>工程总造价（一+二）:</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仿宋_GB2312"/>
                <w:color w:val="000000"/>
                <w:sz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rPr>
            </w:pPr>
          </w:p>
        </w:tc>
      </w:tr>
    </w:tbl>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p>
      <w:pPr>
        <w:pStyle w:val="2"/>
        <w:rPr>
          <w:rFonts w:hint="eastAsia" w:ascii="仿宋" w:hAnsi="仿宋"/>
          <w:sz w:val="28"/>
          <w:szCs w:val="28"/>
        </w:rPr>
      </w:pPr>
    </w:p>
    <w:tbl>
      <w:tblPr>
        <w:tblStyle w:val="39"/>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4370"/>
        <w:gridCol w:w="1083"/>
        <w:gridCol w:w="870"/>
        <w:gridCol w:w="1541"/>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004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建设项目投标报价汇总表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446"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工程名称：深圳音乐学院林木采伐及迁移施工</w:t>
            </w:r>
          </w:p>
        </w:tc>
        <w:tc>
          <w:tcPr>
            <w:tcW w:w="2602"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restart"/>
            <w:tcBorders>
              <w:top w:val="single" w:color="000000" w:sz="8"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0" w:type="auto"/>
            <w:gridSpan w:val="3"/>
            <w:tcBorders>
              <w:top w:val="single" w:color="000000" w:sz="8"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0" w:type="auto"/>
            <w:vMerge w:val="continue"/>
            <w:tcBorders>
              <w:top w:val="single" w:color="000000" w:sz="8"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3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施工费</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深圳音乐学院林木采伐及迁移施工</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工程建设其他费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设备及工器具购置费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004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注：本表适用于建设项目招标控制价或投标报价的汇总。</w:t>
            </w:r>
          </w:p>
        </w:tc>
      </w:tr>
    </w:tbl>
    <w:p>
      <w:pPr>
        <w:pStyle w:val="2"/>
        <w:ind w:firstLine="0"/>
        <w:rPr>
          <w:rFonts w:ascii="仿宋" w:hAnsi="仿宋"/>
          <w:szCs w:val="28"/>
        </w:rPr>
      </w:pPr>
    </w:p>
    <w:tbl>
      <w:tblPr>
        <w:tblStyle w:val="39"/>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3686"/>
        <w:gridCol w:w="1016"/>
        <w:gridCol w:w="1642"/>
        <w:gridCol w:w="15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004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157" w:type="dxa"/>
            <w:gridSpan w:val="4"/>
            <w:tcBorders>
              <w:top w:val="nil"/>
              <w:left w:val="nil"/>
              <w:bottom w:val="single" w:color="000000"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工程名称：深圳音乐学院林木采伐及迁移施工</w:t>
            </w:r>
          </w:p>
        </w:tc>
        <w:tc>
          <w:tcPr>
            <w:tcW w:w="2890" w:type="dxa"/>
            <w:gridSpan w:val="2"/>
            <w:tcBorders>
              <w:top w:val="nil"/>
              <w:left w:val="nil"/>
              <w:bottom w:val="single" w:color="000000" w:sz="4" w:space="0"/>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0" w:type="auto"/>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53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施工措施费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深圳音乐学院林地采伐与迁移工程</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34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34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专业工程结算价</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4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注：本表适用于单项工程招标控制价或投标报价的汇总。</w:t>
            </w:r>
          </w:p>
        </w:tc>
      </w:tr>
    </w:tbl>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tbl>
      <w:tblPr>
        <w:tblStyle w:val="39"/>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1"/>
        <w:gridCol w:w="3621"/>
        <w:gridCol w:w="1016"/>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51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工程名称:深圳音乐学院林地采伐与迁移工程</w:t>
            </w:r>
          </w:p>
        </w:tc>
        <w:tc>
          <w:tcPr>
            <w:tcW w:w="3621" w:type="dxa"/>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0" w:type="auto"/>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序 号</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 总 内 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材料设备暂估价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【乔木迁移】</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【苗木采伐及外运】</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其中：混凝土、钢筋混凝土模板及支架费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安全文明施工措施费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履约担保手续费、赶工措施费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其它措施项目费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其它项目费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发包人供应材料费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不含税建安工程造价</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应纳税费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增值税应纳税额</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城市维护建设税、教育费附加及地方教育费附加</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1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含税项目合计</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含税建安工程造价=5+6+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注：本表适用于单位工程招标控制价或投标价的汇总，如无单位工程划分，单项工程也使用本表汇总。</w:t>
            </w:r>
          </w:p>
        </w:tc>
      </w:tr>
    </w:tbl>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ascii="仿宋" w:hAnsi="仿宋"/>
          <w:szCs w:val="28"/>
        </w:rPr>
      </w:pPr>
    </w:p>
    <w:p>
      <w:pPr>
        <w:pStyle w:val="2"/>
        <w:ind w:firstLine="0"/>
        <w:rPr>
          <w:rFonts w:hint="eastAsia" w:ascii="仿宋" w:hAnsi="仿宋"/>
          <w:szCs w:val="28"/>
          <w:lang w:eastAsia="zh-CN"/>
        </w:rPr>
      </w:pPr>
    </w:p>
    <w:p>
      <w:pPr>
        <w:pStyle w:val="2"/>
        <w:ind w:firstLine="0"/>
        <w:rPr>
          <w:rFonts w:hint="eastAsia" w:ascii="仿宋" w:hAnsi="仿宋"/>
          <w:szCs w:val="28"/>
          <w:lang w:eastAsia="zh-CN"/>
        </w:rPr>
      </w:pPr>
    </w:p>
    <w:tbl>
      <w:tblPr>
        <w:tblStyle w:val="39"/>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473"/>
        <w:gridCol w:w="1780"/>
        <w:gridCol w:w="2262"/>
        <w:gridCol w:w="542"/>
        <w:gridCol w:w="2"/>
        <w:gridCol w:w="870"/>
        <w:gridCol w:w="2"/>
        <w:gridCol w:w="614"/>
        <w:gridCol w:w="2"/>
        <w:gridCol w:w="614"/>
        <w:gridCol w:w="2"/>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004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分部分项工程量清单与计价表 </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(适用于工程量清单计价)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3869" w:type="dxa"/>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工程名称:深圳音乐学院林地采伐与迁移工程</w:t>
            </w:r>
          </w:p>
        </w:tc>
        <w:tc>
          <w:tcPr>
            <w:tcW w:w="3678"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2498"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4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98" w:type="dxa"/>
            <w:gridSpan w:val="5"/>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4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050102001001</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(1)胸径或干径:10cm以内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(2)土球直径:土球φ60cm以内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050102001005</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(1)胸径或干径:10.1~15cm以内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(2)土球直径:土球φ61~80cm以内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050102001002</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(1)胸径或干径:15.1~20cm以内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(2)土球直径:土球φ81~100cm以内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050102001003</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(1)胸径或干径:20.1~25cm以内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(2)土球直径:土球φ101~120cm以内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050102001004</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(1)胸径或干径:25.1~30cm以内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(2)土球直径:土球φ121~140cm以内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050102001006</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(1)胸径或干径:30.1~35cm以内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(2)土球直径:土球φ141~160cm以内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050102001007</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(1)胸径或干径:35.1~40cm以内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(2)土球直径:土球φ141~160cm以内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050102001008</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(1)胸径或干径:40.1~45cm以内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(2)土球直径:土球φ161~180cm以内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050102001009</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(1)胸径或干径:45.1~50cm以内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(2)土球直径:土球φ161~180cm以内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050102001010</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乔木迁移</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(1)胸径或干径:50.1~55cm以内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(2)土球直径:土球φ181~200cm以内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(3)养护期:满足行政主管部门成活养护时限要求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(4)运输距离:投标人根据项目实际情况及现场踏勘后综合考虑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(5)树木支撑:综合考虑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050307009001</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(1)苗木挂牌费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(2)材料种类、规格:综合考虑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【苗木采伐及外运】</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050101001001</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(1)树干胸径:砍伐乔木 米径10cm以内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(2)工作内容:降低树尾，砍伐，截干，清理树头、树根，清理场地、5km内清运。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050101001002</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(1)树干胸径:砍伐乔木 米径10.1~20cm以内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(2)工作内容:降低树尾，砍伐，截干，清理树头、树根，清理场地、5km内清运。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050101001003</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(1)树干胸径:砍伐乔木 米径20.1~30cm以内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(2)工作内容:降低树尾，砍伐，截干，清理树头、树根，清理场地、5km内清运。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050101001004</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(1)树干胸径:砍伐乔木 米径30.1~40cm以内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(2)工作内容:降低树尾，砍伐，截干，清理树头、树根，清理场地、5km内清运。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050101001005</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(1)树干胸径:砍伐乔木 米径40.1~50cm以内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(2)工作内容:降低树尾，砍伐，截干，清理树头、树根，清理场地、5km内清运。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(3)其他:满足招标文件及相关验收及技术规范要求</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7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1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2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(1)废弃料品种:砍伐乔木枝干及树兜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(2)运距:投标人根据项目实际情况及现场踏勘后综合考虑</w:t>
            </w:r>
          </w:p>
        </w:tc>
        <w:tc>
          <w:tcPr>
            <w:tcW w:w="5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151.50</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6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81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8161" w:type="dxa"/>
            <w:gridSpan w:val="9"/>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  计</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rPr>
          <w:rFonts w:ascii="仿宋" w:hAnsi="仿宋"/>
          <w:szCs w:val="28"/>
        </w:rPr>
      </w:pPr>
    </w:p>
    <w:tbl>
      <w:tblPr>
        <w:tblStyle w:val="39"/>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825"/>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0047"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措施项目清单与计价汇总表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574"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工程名称:深圳音乐学院林地采伐与迁移工程</w:t>
            </w:r>
          </w:p>
        </w:tc>
        <w:tc>
          <w:tcPr>
            <w:tcW w:w="2473"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安全文明施工措施费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安全文明施工措施费(按费率计算)</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其他安全文明施工措施(按清单列项)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施工临时围挡费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基坑内场地硬地化</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产业工人职业训练专项经费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履约担保手续费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赶工措施费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已完成工程及设备保护费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地上地下设施及建筑物的临时保护费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垂直运输机械费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施工排水、降水费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专业工程措施项目费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支撑</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环绕</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假植</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757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04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注：专业工程措施项目费可根据工程实际在本表中补充。</w:t>
            </w:r>
          </w:p>
        </w:tc>
      </w:tr>
    </w:tbl>
    <w:p>
      <w:pPr>
        <w:pStyle w:val="2"/>
        <w:rPr>
          <w:rFonts w:ascii="仿宋" w:hAnsi="仿宋"/>
          <w:szCs w:val="28"/>
        </w:rPr>
      </w:pPr>
    </w:p>
    <w:p>
      <w:pPr>
        <w:pStyle w:val="2"/>
        <w:rPr>
          <w:rFonts w:ascii="仿宋" w:hAnsi="仿宋"/>
          <w:szCs w:val="28"/>
        </w:rPr>
      </w:pPr>
    </w:p>
    <w:p>
      <w:pPr>
        <w:pStyle w:val="2"/>
        <w:rPr>
          <w:rFonts w:ascii="仿宋" w:hAnsi="仿宋"/>
          <w:szCs w:val="28"/>
        </w:rPr>
      </w:pPr>
    </w:p>
    <w:tbl>
      <w:tblPr>
        <w:tblStyle w:val="39"/>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3986"/>
        <w:gridCol w:w="3078"/>
        <w:gridCol w:w="1143"/>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01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规费、应纳税费项目清单与计价表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4645"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工程名称:深圳音乐学院林地采伐与迁移工程</w:t>
            </w:r>
          </w:p>
        </w:tc>
        <w:tc>
          <w:tcPr>
            <w:tcW w:w="3062"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2443"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p>
        </w:tc>
        <w:tc>
          <w:tcPr>
            <w:tcW w:w="13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(分部分项工程费+措施项目工程费+其他项目费)中的人工费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应纳税费</w:t>
            </w:r>
          </w:p>
        </w:tc>
        <w:tc>
          <w:tcPr>
            <w:tcW w:w="3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应纳税费合计</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9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增值税应纳税额</w:t>
            </w:r>
          </w:p>
        </w:tc>
        <w:tc>
          <w:tcPr>
            <w:tcW w:w="3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分部分项工程费+措施项目费+其他项目费+规费-发包人供应材料费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城市维护建设税、教育费附加及地方教育费附加</w:t>
            </w:r>
          </w:p>
        </w:tc>
        <w:tc>
          <w:tcPr>
            <w:tcW w:w="3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增值税应纳税额</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pStyle w:val="2"/>
        <w:rPr>
          <w:rFonts w:ascii="仿宋" w:hAnsi="仿宋"/>
          <w:szCs w:val="28"/>
        </w:rPr>
      </w:pPr>
    </w:p>
    <w:p>
      <w:pPr>
        <w:spacing w:line="360" w:lineRule="auto"/>
        <w:ind w:right="1739"/>
        <w:rPr>
          <w:rFonts w:ascii="仿宋_GB2312" w:eastAsia="仿宋_GB2312"/>
          <w:sz w:val="32"/>
        </w:rPr>
      </w:pPr>
      <w:r>
        <w:rPr>
          <w:rFonts w:hint="eastAsia" w:ascii="仿宋" w:hAnsi="仿宋"/>
          <w:sz w:val="28"/>
          <w:szCs w:val="28"/>
        </w:rPr>
        <w:t>附</w:t>
      </w:r>
      <w:r>
        <w:rPr>
          <w:rFonts w:hint="eastAsia" w:ascii="等线" w:hAnsi="等线" w:eastAsia="等线"/>
          <w:sz w:val="28"/>
          <w:szCs w:val="28"/>
        </w:rPr>
        <w:t>件</w:t>
      </w:r>
      <w:r>
        <w:rPr>
          <w:rFonts w:hint="eastAsia" w:ascii="仿宋" w:hAnsi="仿宋" w:eastAsia="等线"/>
          <w:sz w:val="28"/>
          <w:szCs w:val="28"/>
          <w:lang w:val="en-US" w:eastAsia="zh-CN"/>
        </w:rPr>
        <w:t>2</w:t>
      </w:r>
      <w:r>
        <w:rPr>
          <w:rFonts w:hint="eastAsia" w:ascii="仿宋" w:hAnsi="仿宋"/>
          <w:sz w:val="28"/>
          <w:szCs w:val="28"/>
        </w:rPr>
        <w:t>：</w:t>
      </w:r>
    </w:p>
    <w:p>
      <w:pPr>
        <w:spacing w:line="360" w:lineRule="auto"/>
        <w:ind w:right="1739" w:firstLine="560"/>
        <w:jc w:val="right"/>
        <w:rPr>
          <w:rFonts w:ascii="仿宋_GB2312" w:eastAsia="仿宋_GB2312"/>
          <w:sz w:val="32"/>
        </w:rPr>
      </w:pPr>
      <w:r>
        <w:rPr>
          <w:rFonts w:hint="eastAsia" w:ascii="仿宋_GB2312" w:eastAsia="仿宋_GB2312"/>
          <w:sz w:val="32"/>
        </w:rPr>
        <w:t>合同编号：</w:t>
      </w:r>
    </w:p>
    <w:p>
      <w:pPr>
        <w:spacing w:line="360" w:lineRule="auto"/>
        <w:ind w:right="139" w:firstLine="560"/>
        <w:jc w:val="right"/>
        <w:rPr>
          <w:rFonts w:ascii="宋体" w:hAnsi="宋体"/>
          <w:sz w:val="28"/>
          <w:szCs w:val="28"/>
        </w:rPr>
      </w:pPr>
      <w:r>
        <w:drawing>
          <wp:anchor distT="0" distB="0" distL="114300" distR="114300" simplePos="0" relativeHeight="251659264" behindDoc="0" locked="0" layoutInCell="1" allowOverlap="1">
            <wp:simplePos x="0" y="0"/>
            <wp:positionH relativeFrom="column">
              <wp:posOffset>-10795</wp:posOffset>
            </wp:positionH>
            <wp:positionV relativeFrom="paragraph">
              <wp:posOffset>-143510</wp:posOffset>
            </wp:positionV>
            <wp:extent cx="1068070" cy="1278255"/>
            <wp:effectExtent l="0" t="0" r="13970" b="1905"/>
            <wp:wrapNone/>
            <wp:docPr id="1" name="图片 1" descr="说明: 工务署VI-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工务署VI-标志"/>
                    <pic:cNvPicPr>
                      <a:picLocks noChangeAspect="1"/>
                    </pic:cNvPicPr>
                  </pic:nvPicPr>
                  <pic:blipFill>
                    <a:blip r:embed="rId5"/>
                    <a:stretch>
                      <a:fillRect/>
                    </a:stretch>
                  </pic:blipFill>
                  <pic:spPr>
                    <a:xfrm>
                      <a:off x="0" y="0"/>
                      <a:ext cx="1068070" cy="1278255"/>
                    </a:xfrm>
                    <a:prstGeom prst="rect">
                      <a:avLst/>
                    </a:prstGeom>
                    <a:noFill/>
                    <a:ln>
                      <a:noFill/>
                    </a:ln>
                  </pic:spPr>
                </pic:pic>
              </a:graphicData>
            </a:graphic>
          </wp:anchor>
        </w:drawing>
      </w:r>
    </w:p>
    <w:p>
      <w:pPr>
        <w:spacing w:line="560" w:lineRule="exact"/>
        <w:ind w:firstLine="560"/>
        <w:jc w:val="center"/>
        <w:rPr>
          <w:rFonts w:ascii="宋体" w:hAnsi="宋体"/>
          <w:sz w:val="28"/>
          <w:szCs w:val="28"/>
        </w:rPr>
      </w:pPr>
      <w:r>
        <w:rPr>
          <w:rFonts w:hint="eastAsia" w:ascii="宋体" w:hAnsi="宋体"/>
          <w:sz w:val="28"/>
          <w:szCs w:val="28"/>
        </w:rPr>
        <w:t xml:space="preserve">  </w:t>
      </w:r>
    </w:p>
    <w:p>
      <w:pPr>
        <w:adjustRightInd w:val="0"/>
        <w:snapToGrid w:val="0"/>
        <w:spacing w:after="100" w:line="560" w:lineRule="exact"/>
        <w:ind w:firstLine="1204"/>
        <w:jc w:val="center"/>
        <w:rPr>
          <w:rFonts w:ascii="宋体" w:hAnsi="宋体"/>
          <w:b/>
          <w:spacing w:val="40"/>
          <w:sz w:val="52"/>
          <w:szCs w:val="52"/>
        </w:rPr>
      </w:pPr>
    </w:p>
    <w:p>
      <w:pPr>
        <w:adjustRightInd w:val="0"/>
        <w:snapToGrid w:val="0"/>
        <w:spacing w:after="100" w:line="560" w:lineRule="exact"/>
        <w:ind w:firstLine="1204"/>
        <w:jc w:val="center"/>
        <w:rPr>
          <w:rFonts w:ascii="宋体" w:hAnsi="宋体"/>
          <w:b/>
          <w:spacing w:val="40"/>
          <w:sz w:val="52"/>
          <w:szCs w:val="52"/>
        </w:rPr>
      </w:pPr>
    </w:p>
    <w:p>
      <w:pPr>
        <w:adjustRightInd w:val="0"/>
        <w:snapToGrid w:val="0"/>
        <w:spacing w:after="100" w:line="560" w:lineRule="exact"/>
        <w:ind w:firstLine="1204"/>
        <w:jc w:val="center"/>
        <w:rPr>
          <w:rFonts w:ascii="宋体" w:hAnsi="宋体"/>
          <w:b/>
          <w:spacing w:val="40"/>
          <w:sz w:val="52"/>
          <w:szCs w:val="52"/>
        </w:rPr>
      </w:pPr>
    </w:p>
    <w:p>
      <w:pPr>
        <w:adjustRightInd w:val="0"/>
        <w:snapToGrid w:val="0"/>
        <w:spacing w:after="100" w:line="560" w:lineRule="exact"/>
        <w:ind w:firstLine="722"/>
        <w:jc w:val="center"/>
        <w:rPr>
          <w:rFonts w:ascii="宋体" w:hAnsi="宋体"/>
          <w:b/>
          <w:spacing w:val="40"/>
          <w:sz w:val="28"/>
          <w:szCs w:val="28"/>
        </w:rPr>
      </w:pPr>
    </w:p>
    <w:p>
      <w:pPr>
        <w:adjustRightInd w:val="0"/>
        <w:snapToGrid w:val="0"/>
        <w:spacing w:after="100" w:line="360" w:lineRule="auto"/>
        <w:jc w:val="center"/>
        <w:rPr>
          <w:rFonts w:ascii="宋体" w:hAnsi="宋体"/>
          <w:b/>
          <w:sz w:val="44"/>
          <w:szCs w:val="44"/>
        </w:rPr>
      </w:pPr>
      <w:r>
        <w:rPr>
          <w:rFonts w:hint="eastAsia" w:ascii="宋体" w:hAnsi="宋体"/>
          <w:b/>
          <w:sz w:val="44"/>
          <w:szCs w:val="44"/>
        </w:rPr>
        <w:t>深圳市建筑工务署教育工程管理中心</w:t>
      </w:r>
    </w:p>
    <w:p>
      <w:pPr>
        <w:adjustRightInd w:val="0"/>
        <w:snapToGrid w:val="0"/>
        <w:spacing w:after="100"/>
        <w:jc w:val="center"/>
        <w:rPr>
          <w:rFonts w:ascii="宋体" w:hAnsi="宋体"/>
          <w:b/>
          <w:sz w:val="32"/>
          <w:szCs w:val="44"/>
        </w:rPr>
      </w:pPr>
      <w:r>
        <w:rPr>
          <w:rFonts w:hint="eastAsia" w:ascii="宋体" w:hAnsi="宋体"/>
          <w:b/>
          <w:sz w:val="44"/>
          <w:szCs w:val="44"/>
        </w:rPr>
        <w:t>合同协议书</w:t>
      </w:r>
    </w:p>
    <w:p>
      <w:pPr>
        <w:adjustRightInd w:val="0"/>
        <w:snapToGrid w:val="0"/>
        <w:spacing w:after="100"/>
        <w:rPr>
          <w:rFonts w:ascii="宋体" w:hAnsi="宋体"/>
          <w:b/>
          <w:sz w:val="32"/>
          <w:szCs w:val="32"/>
        </w:rPr>
      </w:pPr>
      <w:r>
        <w:rPr>
          <w:rFonts w:hint="eastAsia" w:ascii="宋体" w:hAnsi="宋体"/>
          <w:b/>
          <w:sz w:val="32"/>
          <w:szCs w:val="32"/>
        </w:rPr>
        <w:t xml:space="preserve">   </w:t>
      </w:r>
    </w:p>
    <w:p>
      <w:pPr>
        <w:spacing w:line="560" w:lineRule="exact"/>
        <w:ind w:firstLine="560"/>
        <w:rPr>
          <w:rFonts w:ascii="宋体" w:hAnsi="宋体"/>
          <w:sz w:val="28"/>
          <w:szCs w:val="28"/>
        </w:rPr>
      </w:pPr>
    </w:p>
    <w:p>
      <w:pPr>
        <w:pStyle w:val="2"/>
        <w:rPr>
          <w:rFonts w:ascii="宋体" w:hAnsi="宋体"/>
          <w:szCs w:val="28"/>
        </w:rPr>
      </w:pPr>
    </w:p>
    <w:p>
      <w:pPr>
        <w:pStyle w:val="2"/>
        <w:rPr>
          <w:rFonts w:ascii="宋体" w:hAnsi="宋体"/>
          <w:szCs w:val="28"/>
        </w:rPr>
      </w:pPr>
    </w:p>
    <w:p>
      <w:pPr>
        <w:pStyle w:val="2"/>
        <w:ind w:firstLine="0"/>
        <w:rPr>
          <w:rFonts w:ascii="宋体" w:hAnsi="宋体"/>
          <w:szCs w:val="28"/>
        </w:rPr>
      </w:pPr>
    </w:p>
    <w:p>
      <w:pPr>
        <w:spacing w:line="560" w:lineRule="exact"/>
        <w:rPr>
          <w:rFonts w:ascii="宋体" w:hAnsi="宋体"/>
          <w:sz w:val="28"/>
          <w:szCs w:val="28"/>
        </w:rPr>
      </w:pPr>
    </w:p>
    <w:p>
      <w:pPr>
        <w:spacing w:line="360" w:lineRule="auto"/>
        <w:ind w:left="2558" w:leftChars="300" w:hanging="1928" w:hangingChars="600"/>
        <w:rPr>
          <w:rFonts w:ascii="宋体" w:hAnsi="宋体"/>
          <w:b/>
          <w:sz w:val="32"/>
          <w:szCs w:val="32"/>
          <w:u w:val="single"/>
        </w:rPr>
      </w:pPr>
      <w:r>
        <w:rPr>
          <w:rFonts w:hint="eastAsia" w:ascii="宋体" w:hAnsi="宋体"/>
          <w:b/>
          <w:sz w:val="32"/>
          <w:szCs w:val="32"/>
        </w:rPr>
        <w:t>项目名称：</w:t>
      </w:r>
      <w:bookmarkStart w:id="8" w:name="_Hlk85815558"/>
      <w:r>
        <w:rPr>
          <w:rFonts w:hint="eastAsia" w:ascii="宋体" w:hAnsi="宋体"/>
          <w:b/>
          <w:sz w:val="32"/>
          <w:szCs w:val="32"/>
          <w:u w:val="single"/>
        </w:rPr>
        <w:t>深圳</w:t>
      </w:r>
      <w:bookmarkEnd w:id="8"/>
      <w:r>
        <w:rPr>
          <w:rFonts w:hint="eastAsia" w:ascii="宋体" w:hAnsi="宋体"/>
          <w:b/>
          <w:sz w:val="32"/>
          <w:szCs w:val="32"/>
          <w:u w:val="single"/>
        </w:rPr>
        <w:t xml:space="preserve">音乐学院 </w:t>
      </w:r>
    </w:p>
    <w:p>
      <w:pPr>
        <w:spacing w:line="360" w:lineRule="auto"/>
        <w:ind w:right="-199" w:rightChars="-95" w:firstLine="643" w:firstLineChars="200"/>
        <w:rPr>
          <w:rFonts w:ascii="宋体" w:hAnsi="宋体"/>
          <w:b/>
          <w:sz w:val="32"/>
          <w:szCs w:val="32"/>
        </w:rPr>
      </w:pPr>
      <w:r>
        <w:rPr>
          <w:rFonts w:hint="eastAsia" w:ascii="宋体" w:hAnsi="宋体"/>
          <w:b/>
          <w:sz w:val="32"/>
          <w:szCs w:val="32"/>
        </w:rPr>
        <w:t>合同名称：</w:t>
      </w:r>
      <w:r>
        <w:rPr>
          <w:rFonts w:hint="eastAsia" w:ascii="宋体" w:hAnsi="宋体"/>
          <w:b/>
          <w:sz w:val="32"/>
          <w:szCs w:val="32"/>
          <w:u w:val="single"/>
        </w:rPr>
        <w:t>深圳音乐学院林木采伐及迁移施工</w:t>
      </w:r>
    </w:p>
    <w:p>
      <w:pPr>
        <w:spacing w:line="360" w:lineRule="auto"/>
        <w:ind w:firstLine="643"/>
        <w:rPr>
          <w:rFonts w:ascii="宋体" w:hAnsi="宋体"/>
          <w:b/>
          <w:sz w:val="32"/>
          <w:szCs w:val="32"/>
          <w:u w:val="single"/>
        </w:rPr>
      </w:pPr>
      <w:r>
        <w:rPr>
          <w:rFonts w:hint="eastAsia" w:ascii="宋体" w:hAnsi="宋体"/>
          <w:b/>
          <w:sz w:val="32"/>
          <w:szCs w:val="32"/>
        </w:rPr>
        <w:t>发 包 人：</w:t>
      </w:r>
      <w:r>
        <w:rPr>
          <w:rFonts w:hint="eastAsia" w:ascii="宋体" w:hAnsi="宋体"/>
          <w:b/>
          <w:sz w:val="32"/>
          <w:szCs w:val="32"/>
          <w:u w:val="single"/>
        </w:rPr>
        <w:t xml:space="preserve">深圳市建筑工务署教育工程管理中心 </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360" w:lineRule="auto"/>
        <w:ind w:firstLine="643"/>
        <w:rPr>
          <w:rFonts w:ascii="宋体" w:hAnsi="宋体"/>
          <w:b/>
          <w:sz w:val="32"/>
          <w:szCs w:val="32"/>
        </w:rPr>
      </w:pPr>
      <w:r>
        <w:rPr>
          <w:rFonts w:hint="eastAsia" w:ascii="宋体" w:hAnsi="宋体"/>
          <w:b/>
          <w:sz w:val="32"/>
          <w:szCs w:val="32"/>
        </w:rPr>
        <w:t>承 包 人：</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p>
      <w:pPr>
        <w:widowControl/>
        <w:spacing w:before="156" w:beforeLines="50" w:line="360" w:lineRule="auto"/>
        <w:ind w:firstLine="643" w:firstLineChars="200"/>
        <w:jc w:val="left"/>
        <w:rPr>
          <w:rFonts w:ascii="宋体" w:hAnsi="宋体"/>
          <w:b/>
          <w:sz w:val="32"/>
          <w:szCs w:val="32"/>
        </w:rPr>
        <w:sectPr>
          <w:pgSz w:w="11906" w:h="16838"/>
          <w:pgMar w:top="1440" w:right="1800" w:bottom="1440" w:left="1800" w:header="851" w:footer="992" w:gutter="0"/>
          <w:pgNumType w:start="1"/>
          <w:cols w:space="720" w:num="1"/>
          <w:docGrid w:type="lines" w:linePitch="312" w:charSpace="0"/>
        </w:sectPr>
      </w:pPr>
      <w:r>
        <w:rPr>
          <w:rFonts w:hint="eastAsia" w:ascii="宋体" w:hAnsi="宋体"/>
          <w:b/>
          <w:sz w:val="32"/>
          <w:szCs w:val="32"/>
        </w:rPr>
        <w:t>日    期：</w:t>
      </w:r>
      <w:r>
        <w:rPr>
          <w:rFonts w:hint="eastAsia" w:ascii="宋体" w:hAnsi="宋体"/>
          <w:b/>
          <w:sz w:val="32"/>
          <w:szCs w:val="32"/>
          <w:u w:val="single"/>
        </w:rPr>
        <w:t xml:space="preserve"> 二0二二年 </w:t>
      </w:r>
      <w:r>
        <w:rPr>
          <w:rFonts w:ascii="宋体" w:hAnsi="宋体"/>
          <w:b/>
          <w:sz w:val="32"/>
          <w:szCs w:val="32"/>
          <w:u w:val="single"/>
        </w:rPr>
        <w:t xml:space="preserve">  </w:t>
      </w:r>
      <w:r>
        <w:rPr>
          <w:rFonts w:hint="eastAsia" w:ascii="宋体" w:hAnsi="宋体"/>
          <w:b/>
          <w:sz w:val="32"/>
          <w:szCs w:val="32"/>
          <w:u w:val="single"/>
        </w:rPr>
        <w:t>月</w:t>
      </w: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深圳音乐学院林木采伐及迁移施工合同</w:t>
      </w:r>
    </w:p>
    <w:p>
      <w:pPr>
        <w:pStyle w:val="2"/>
      </w:pPr>
    </w:p>
    <w:p>
      <w:pPr>
        <w:pStyle w:val="125"/>
        <w:snapToGrid w:val="0"/>
        <w:spacing w:line="360" w:lineRule="auto"/>
        <w:ind w:firstLine="560" w:firstLineChars="200"/>
        <w:jc w:val="left"/>
        <w:rPr>
          <w:sz w:val="28"/>
          <w:szCs w:val="28"/>
          <w:lang w:val="en-US" w:eastAsia="zh-CN"/>
        </w:rPr>
      </w:pPr>
      <w:r>
        <w:rPr>
          <w:rFonts w:hint="eastAsia"/>
          <w:sz w:val="28"/>
          <w:szCs w:val="28"/>
          <w:lang w:val="en-US" w:eastAsia="zh-CN"/>
        </w:rPr>
        <w:t>发包人</w:t>
      </w:r>
      <w:r>
        <w:rPr>
          <w:rFonts w:hint="eastAsia"/>
          <w:sz w:val="28"/>
          <w:szCs w:val="28"/>
        </w:rPr>
        <w:t>（</w:t>
      </w:r>
      <w:r>
        <w:rPr>
          <w:rFonts w:hint="eastAsia"/>
          <w:sz w:val="28"/>
          <w:szCs w:val="28"/>
          <w:lang w:val="en-US" w:eastAsia="zh-CN"/>
        </w:rPr>
        <w:t>以下简称</w:t>
      </w:r>
      <w:r>
        <w:rPr>
          <w:rFonts w:hint="eastAsia"/>
          <w:sz w:val="28"/>
          <w:szCs w:val="28"/>
        </w:rPr>
        <w:t>甲方）：</w:t>
      </w:r>
      <w:r>
        <w:rPr>
          <w:rFonts w:hint="eastAsia"/>
          <w:sz w:val="28"/>
          <w:szCs w:val="28"/>
          <w:lang w:val="en-US" w:eastAsia="zh-CN"/>
        </w:rPr>
        <w:t xml:space="preserve">深圳市建筑工务署教育工程管理中心   </w:t>
      </w:r>
    </w:p>
    <w:p>
      <w:pPr>
        <w:pStyle w:val="125"/>
        <w:snapToGrid w:val="0"/>
        <w:spacing w:line="360" w:lineRule="auto"/>
        <w:ind w:firstLine="560" w:firstLineChars="200"/>
        <w:jc w:val="left"/>
        <w:rPr>
          <w:sz w:val="28"/>
          <w:szCs w:val="28"/>
          <w:lang w:val="en-US" w:eastAsia="zh-CN"/>
        </w:rPr>
      </w:pPr>
      <w:r>
        <w:rPr>
          <w:rFonts w:hint="eastAsia"/>
          <w:sz w:val="28"/>
          <w:szCs w:val="28"/>
          <w:lang w:val="en-US" w:eastAsia="zh-CN"/>
        </w:rPr>
        <w:t>承包人</w:t>
      </w:r>
      <w:r>
        <w:rPr>
          <w:rFonts w:hint="eastAsia"/>
          <w:sz w:val="28"/>
          <w:szCs w:val="28"/>
        </w:rPr>
        <w:t>（</w:t>
      </w:r>
      <w:r>
        <w:rPr>
          <w:rFonts w:hint="eastAsia"/>
          <w:sz w:val="28"/>
          <w:szCs w:val="28"/>
          <w:lang w:val="en-US" w:eastAsia="zh-CN"/>
        </w:rPr>
        <w:t>以下简称</w:t>
      </w:r>
      <w:r>
        <w:rPr>
          <w:rFonts w:hint="eastAsia"/>
          <w:sz w:val="28"/>
          <w:szCs w:val="28"/>
        </w:rPr>
        <w:t>乙方）：</w:t>
      </w:r>
      <w:r>
        <w:rPr>
          <w:rFonts w:hint="eastAsia"/>
          <w:sz w:val="28"/>
          <w:szCs w:val="28"/>
          <w:lang w:val="en-US" w:eastAsia="zh-CN"/>
        </w:rPr>
        <w:t xml:space="preserve"> </w:t>
      </w:r>
    </w:p>
    <w:p>
      <w:pPr>
        <w:pStyle w:val="125"/>
        <w:snapToGrid w:val="0"/>
        <w:spacing w:line="360" w:lineRule="auto"/>
        <w:ind w:firstLine="0"/>
        <w:jc w:val="left"/>
        <w:rPr>
          <w:sz w:val="28"/>
          <w:szCs w:val="28"/>
          <w:lang w:val="en-US" w:eastAsia="zh-CN"/>
        </w:rPr>
      </w:pPr>
    </w:p>
    <w:p>
      <w:pPr>
        <w:pStyle w:val="125"/>
        <w:snapToGrid w:val="0"/>
        <w:spacing w:line="360" w:lineRule="auto"/>
        <w:ind w:firstLine="560" w:firstLineChars="200"/>
        <w:jc w:val="left"/>
        <w:rPr>
          <w:sz w:val="28"/>
          <w:szCs w:val="28"/>
          <w:lang w:val="en-US" w:eastAsia="zh-CN"/>
        </w:rPr>
      </w:pPr>
      <w:r>
        <w:rPr>
          <w:rFonts w:hint="eastAsia"/>
          <w:sz w:val="28"/>
          <w:szCs w:val="28"/>
          <w:lang w:val="en-US" w:eastAsia="zh-CN"/>
        </w:rPr>
        <w:t>甲方由于</w:t>
      </w:r>
      <w:r>
        <w:rPr>
          <w:rFonts w:hint="eastAsia"/>
          <w:sz w:val="28"/>
          <w:szCs w:val="28"/>
          <w:u w:val="single"/>
          <w:lang w:val="en-US" w:eastAsia="zh-CN"/>
        </w:rPr>
        <w:t>深圳音乐学院项目</w:t>
      </w:r>
      <w:r>
        <w:rPr>
          <w:rFonts w:hint="eastAsia"/>
          <w:sz w:val="28"/>
          <w:szCs w:val="28"/>
          <w:lang w:val="en-US" w:eastAsia="zh-CN"/>
        </w:rPr>
        <w:t>施工场地内存在林木，根据相关规定，对</w:t>
      </w:r>
      <w:r>
        <w:rPr>
          <w:rFonts w:hint="eastAsia"/>
          <w:sz w:val="28"/>
          <w:szCs w:val="28"/>
          <w:u w:val="single"/>
          <w:lang w:val="en-US" w:eastAsia="zh-CN"/>
        </w:rPr>
        <w:t>深圳音乐学院林木采伐及迁移施工</w:t>
      </w:r>
      <w:r>
        <w:rPr>
          <w:rFonts w:hint="eastAsia"/>
          <w:sz w:val="28"/>
          <w:szCs w:val="28"/>
          <w:lang w:val="en-US" w:eastAsia="zh-CN"/>
        </w:rPr>
        <w:t>进行公开招标，确定由乙方中标。</w:t>
      </w:r>
    </w:p>
    <w:p>
      <w:pPr>
        <w:pStyle w:val="125"/>
        <w:snapToGrid w:val="0"/>
        <w:spacing w:line="360" w:lineRule="auto"/>
        <w:ind w:firstLine="560" w:firstLineChars="200"/>
        <w:jc w:val="left"/>
        <w:rPr>
          <w:sz w:val="28"/>
          <w:szCs w:val="28"/>
        </w:rPr>
      </w:pPr>
      <w:r>
        <w:rPr>
          <w:rFonts w:hint="eastAsia"/>
          <w:sz w:val="28"/>
          <w:szCs w:val="28"/>
          <w:lang w:val="en-US" w:eastAsia="zh-CN"/>
        </w:rPr>
        <w:t>按照《中华人民共和</w:t>
      </w:r>
      <w:r>
        <w:rPr>
          <w:rFonts w:hint="eastAsia"/>
          <w:sz w:val="28"/>
          <w:szCs w:val="28"/>
        </w:rPr>
        <w:t>国</w:t>
      </w:r>
      <w:r>
        <w:rPr>
          <w:rFonts w:hint="eastAsia"/>
          <w:sz w:val="28"/>
          <w:szCs w:val="28"/>
          <w:lang w:val="en-US" w:eastAsia="zh-CN"/>
        </w:rPr>
        <w:t>民法典》、《中华人民共和国建筑法》及其</w:t>
      </w:r>
      <w:r>
        <w:rPr>
          <w:rFonts w:hint="eastAsia"/>
          <w:sz w:val="28"/>
          <w:szCs w:val="28"/>
          <w:lang w:eastAsia="zh-CN"/>
        </w:rPr>
        <w:t>他</w:t>
      </w:r>
      <w:r>
        <w:rPr>
          <w:rFonts w:hint="eastAsia"/>
          <w:sz w:val="28"/>
          <w:szCs w:val="28"/>
        </w:rPr>
        <w:t>有关法律、法规、规章，并结合深圳市有关规定及本工程的招标要求，遵循平等、自愿、公平和诚实信用的原则，甲、乙双方就</w:t>
      </w:r>
      <w:r>
        <w:rPr>
          <w:rFonts w:hint="eastAsia"/>
          <w:sz w:val="28"/>
          <w:szCs w:val="28"/>
          <w:u w:val="single"/>
          <w:lang w:val="en-US" w:eastAsia="zh-CN"/>
        </w:rPr>
        <w:t>深圳音乐学院林木采伐及迁移施工</w:t>
      </w:r>
      <w:r>
        <w:rPr>
          <w:rFonts w:hint="eastAsia"/>
          <w:sz w:val="28"/>
          <w:szCs w:val="28"/>
        </w:rPr>
        <w:t>事宜协商</w:t>
      </w:r>
      <w:r>
        <w:rPr>
          <w:rFonts w:hint="eastAsia"/>
          <w:sz w:val="28"/>
          <w:szCs w:val="28"/>
          <w:lang w:eastAsia="zh-CN"/>
        </w:rPr>
        <w:t>一致</w:t>
      </w:r>
      <w:r>
        <w:rPr>
          <w:rFonts w:hint="eastAsia"/>
          <w:sz w:val="28"/>
          <w:szCs w:val="28"/>
        </w:rPr>
        <w:t>，订立本</w:t>
      </w:r>
      <w:r>
        <w:rPr>
          <w:rFonts w:hint="eastAsia"/>
          <w:sz w:val="28"/>
          <w:szCs w:val="28"/>
          <w:lang w:val="en-US" w:eastAsia="zh-CN"/>
        </w:rPr>
        <w:t>合同</w:t>
      </w:r>
      <w:r>
        <w:rPr>
          <w:rFonts w:hint="eastAsia"/>
          <w:sz w:val="28"/>
          <w:szCs w:val="28"/>
        </w:rPr>
        <w:t>。</w:t>
      </w:r>
      <w:bookmarkStart w:id="9" w:name="bookmark7"/>
    </w:p>
    <w:p>
      <w:pPr>
        <w:pStyle w:val="125"/>
        <w:snapToGrid w:val="0"/>
        <w:spacing w:line="360" w:lineRule="auto"/>
        <w:ind w:firstLine="560" w:firstLineChars="200"/>
        <w:jc w:val="left"/>
        <w:rPr>
          <w:sz w:val="28"/>
          <w:szCs w:val="28"/>
          <w:lang w:val="en-US" w:eastAsia="zh-CN"/>
        </w:rPr>
      </w:pPr>
    </w:p>
    <w:p>
      <w:pPr>
        <w:pStyle w:val="125"/>
        <w:tabs>
          <w:tab w:val="left" w:pos="996"/>
        </w:tabs>
        <w:snapToGrid w:val="0"/>
        <w:spacing w:line="360" w:lineRule="auto"/>
        <w:ind w:firstLine="562" w:firstLineChars="200"/>
        <w:rPr>
          <w:b/>
          <w:bCs/>
          <w:color w:val="000000"/>
          <w:sz w:val="28"/>
          <w:szCs w:val="28"/>
        </w:rPr>
      </w:pPr>
      <w:r>
        <w:rPr>
          <w:rFonts w:hint="eastAsia"/>
          <w:b/>
          <w:bCs/>
          <w:color w:val="000000"/>
          <w:sz w:val="28"/>
          <w:szCs w:val="28"/>
        </w:rPr>
        <w:t>一</w:t>
      </w:r>
      <w:bookmarkEnd w:id="9"/>
      <w:r>
        <w:rPr>
          <w:rFonts w:hint="eastAsia"/>
          <w:b/>
          <w:bCs/>
          <w:color w:val="000000"/>
          <w:sz w:val="28"/>
          <w:szCs w:val="28"/>
        </w:rPr>
        <w:t>、工程概况</w:t>
      </w:r>
    </w:p>
    <w:p>
      <w:pPr>
        <w:pStyle w:val="125"/>
        <w:snapToGrid w:val="0"/>
        <w:spacing w:line="360" w:lineRule="auto"/>
        <w:ind w:left="559" w:leftChars="266" w:firstLine="0"/>
        <w:rPr>
          <w:sz w:val="28"/>
          <w:szCs w:val="28"/>
        </w:rPr>
      </w:pPr>
      <w:r>
        <w:rPr>
          <w:rFonts w:hint="eastAsia"/>
          <w:color w:val="000000"/>
          <w:sz w:val="28"/>
          <w:szCs w:val="28"/>
        </w:rPr>
        <w:t>工程名称：</w:t>
      </w:r>
      <w:r>
        <w:rPr>
          <w:rFonts w:hint="eastAsia"/>
          <w:color w:val="000000"/>
          <w:sz w:val="28"/>
          <w:szCs w:val="28"/>
          <w:u w:val="single"/>
          <w:lang w:val="en-US" w:eastAsia="zh-CN"/>
        </w:rPr>
        <w:t>深圳音乐学院林木采伐及迁移施工</w:t>
      </w:r>
    </w:p>
    <w:p>
      <w:pPr>
        <w:pStyle w:val="125"/>
        <w:snapToGrid w:val="0"/>
        <w:spacing w:line="360" w:lineRule="auto"/>
        <w:ind w:firstLine="560" w:firstLineChars="200"/>
        <w:rPr>
          <w:sz w:val="28"/>
          <w:szCs w:val="28"/>
        </w:rPr>
      </w:pPr>
      <w:r>
        <w:rPr>
          <w:rFonts w:hint="eastAsia"/>
          <w:color w:val="000000"/>
          <w:sz w:val="28"/>
          <w:szCs w:val="28"/>
        </w:rPr>
        <w:t>工程地点：</w:t>
      </w:r>
      <w:r>
        <w:rPr>
          <w:rFonts w:hint="eastAsia"/>
          <w:color w:val="000000"/>
          <w:sz w:val="28"/>
          <w:szCs w:val="28"/>
          <w:u w:val="single"/>
        </w:rPr>
        <w:t>深圳市龙岗区国际大学园内</w:t>
      </w:r>
    </w:p>
    <w:p>
      <w:pPr>
        <w:pStyle w:val="125"/>
        <w:snapToGrid w:val="0"/>
        <w:spacing w:line="360" w:lineRule="auto"/>
        <w:ind w:firstLine="560" w:firstLineChars="200"/>
        <w:rPr>
          <w:color w:val="000000"/>
          <w:sz w:val="28"/>
          <w:szCs w:val="28"/>
        </w:rPr>
      </w:pPr>
      <w:r>
        <w:rPr>
          <w:rFonts w:hint="eastAsia"/>
          <w:color w:val="000000"/>
          <w:sz w:val="28"/>
          <w:szCs w:val="28"/>
        </w:rPr>
        <w:t>资金来源：政府投资</w:t>
      </w:r>
    </w:p>
    <w:p>
      <w:pPr>
        <w:pStyle w:val="125"/>
        <w:tabs>
          <w:tab w:val="left" w:pos="996"/>
        </w:tabs>
        <w:snapToGrid w:val="0"/>
        <w:spacing w:line="360" w:lineRule="auto"/>
        <w:ind w:firstLine="562" w:firstLineChars="200"/>
        <w:rPr>
          <w:b/>
          <w:bCs/>
          <w:sz w:val="28"/>
          <w:szCs w:val="28"/>
        </w:rPr>
      </w:pPr>
      <w:bookmarkStart w:id="10" w:name="bookmark8"/>
      <w:r>
        <w:rPr>
          <w:rFonts w:hint="eastAsia"/>
          <w:b/>
          <w:bCs/>
          <w:color w:val="000000"/>
          <w:sz w:val="28"/>
          <w:szCs w:val="28"/>
        </w:rPr>
        <w:t>二</w:t>
      </w:r>
      <w:bookmarkEnd w:id="10"/>
      <w:r>
        <w:rPr>
          <w:rFonts w:hint="eastAsia"/>
          <w:b/>
          <w:bCs/>
          <w:color w:val="000000"/>
          <w:sz w:val="28"/>
          <w:szCs w:val="28"/>
        </w:rPr>
        <w:t>、承包范围</w:t>
      </w:r>
    </w:p>
    <w:p>
      <w:pPr>
        <w:pStyle w:val="125"/>
        <w:snapToGrid w:val="0"/>
        <w:spacing w:line="360" w:lineRule="auto"/>
        <w:ind w:firstLine="560" w:firstLineChars="200"/>
        <w:jc w:val="left"/>
        <w:rPr>
          <w:sz w:val="28"/>
          <w:szCs w:val="28"/>
          <w:lang w:val="en-US" w:eastAsia="zh-CN"/>
        </w:rPr>
      </w:pPr>
      <w:bookmarkStart w:id="11" w:name="bookmark17"/>
      <w:r>
        <w:rPr>
          <w:rFonts w:hint="eastAsia"/>
          <w:sz w:val="28"/>
          <w:szCs w:val="28"/>
          <w:lang w:val="en-US" w:eastAsia="zh-CN"/>
        </w:rPr>
        <w:t>1、完成项目涉及的无产权部门认领林木登报工作；</w:t>
      </w:r>
    </w:p>
    <w:p>
      <w:pPr>
        <w:pStyle w:val="125"/>
        <w:snapToGrid w:val="0"/>
        <w:spacing w:line="360" w:lineRule="auto"/>
        <w:ind w:firstLine="560" w:firstLineChars="200"/>
        <w:jc w:val="left"/>
        <w:rPr>
          <w:sz w:val="28"/>
          <w:szCs w:val="28"/>
          <w:lang w:val="en-US" w:eastAsia="zh-CN"/>
        </w:rPr>
      </w:pPr>
      <w:r>
        <w:rPr>
          <w:rFonts w:hint="eastAsia"/>
          <w:sz w:val="28"/>
          <w:szCs w:val="28"/>
          <w:lang w:val="en-US" w:eastAsia="zh-CN"/>
        </w:rPr>
        <w:t>2、与相关行政主管部门沟通，确定深圳音乐学院项目范围内林木需采伐及迁移的范围及数量，并负责相关迁移及采伐的行政手续办理，直至取得相关行政许可或批复文件；</w:t>
      </w:r>
    </w:p>
    <w:p>
      <w:pPr>
        <w:pStyle w:val="125"/>
        <w:snapToGrid w:val="0"/>
        <w:spacing w:line="360" w:lineRule="auto"/>
        <w:ind w:firstLine="560" w:firstLineChars="200"/>
        <w:jc w:val="left"/>
        <w:rPr>
          <w:sz w:val="28"/>
          <w:szCs w:val="28"/>
          <w:lang w:val="en-US" w:eastAsia="zh-CN"/>
        </w:rPr>
      </w:pPr>
      <w:r>
        <w:rPr>
          <w:rFonts w:hint="eastAsia"/>
          <w:sz w:val="28"/>
          <w:szCs w:val="28"/>
          <w:lang w:val="en-US" w:eastAsia="zh-CN"/>
        </w:rPr>
        <w:t>3、根据行政主管部门要求，完成项目涉及的所有林木采伐及迁移，并按相关规定进行迁移后的林木管理和养护工作。</w:t>
      </w:r>
    </w:p>
    <w:p>
      <w:pPr>
        <w:pStyle w:val="125"/>
        <w:tabs>
          <w:tab w:val="left" w:pos="996"/>
        </w:tabs>
        <w:snapToGrid w:val="0"/>
        <w:spacing w:line="360" w:lineRule="auto"/>
        <w:ind w:firstLine="562" w:firstLineChars="200"/>
        <w:rPr>
          <w:b/>
          <w:bCs/>
          <w:color w:val="000000"/>
          <w:sz w:val="28"/>
          <w:szCs w:val="28"/>
        </w:rPr>
      </w:pPr>
      <w:r>
        <w:rPr>
          <w:rFonts w:hint="eastAsia"/>
          <w:b/>
          <w:bCs/>
          <w:color w:val="000000"/>
          <w:sz w:val="28"/>
          <w:szCs w:val="28"/>
        </w:rPr>
        <w:t>三</w:t>
      </w:r>
      <w:bookmarkEnd w:id="11"/>
      <w:r>
        <w:rPr>
          <w:rFonts w:hint="eastAsia"/>
          <w:b/>
          <w:bCs/>
          <w:color w:val="000000"/>
          <w:sz w:val="28"/>
          <w:szCs w:val="28"/>
        </w:rPr>
        <w:t>、合同价款</w:t>
      </w:r>
    </w:p>
    <w:p>
      <w:pPr>
        <w:pStyle w:val="125"/>
        <w:snapToGrid w:val="0"/>
        <w:spacing w:line="360" w:lineRule="auto"/>
        <w:ind w:firstLine="560" w:firstLineChars="200"/>
        <w:rPr>
          <w:color w:val="000000"/>
          <w:sz w:val="28"/>
          <w:szCs w:val="28"/>
        </w:rPr>
      </w:pPr>
      <w:r>
        <w:rPr>
          <w:rFonts w:hint="eastAsia"/>
          <w:color w:val="000000"/>
          <w:sz w:val="28"/>
          <w:szCs w:val="28"/>
          <w:lang w:val="en-US" w:eastAsia="zh-CN"/>
        </w:rPr>
        <w:t>本合同为固定综合单价合同，采伐及迁移运距均由乙方综合考虑，结算不予调整，本合同总费用为人民</w:t>
      </w:r>
      <w:r>
        <w:rPr>
          <w:rFonts w:hint="eastAsia"/>
          <w:color w:val="000000"/>
          <w:sz w:val="28"/>
          <w:szCs w:val="28"/>
        </w:rPr>
        <w:t>币</w:t>
      </w:r>
      <w:r>
        <w:rPr>
          <w:rFonts w:hint="eastAsia"/>
          <w:color w:val="000000"/>
          <w:sz w:val="28"/>
          <w:szCs w:val="28"/>
          <w:u w:val="single"/>
          <w:lang w:val="en-US" w:eastAsia="zh-CN"/>
        </w:rPr>
        <w:t xml:space="preserve">    </w:t>
      </w:r>
      <w:r>
        <w:rPr>
          <w:rFonts w:hint="eastAsia"/>
          <w:color w:val="000000"/>
          <w:sz w:val="28"/>
          <w:szCs w:val="28"/>
        </w:rPr>
        <w:t>万元（大写：）</w:t>
      </w:r>
    </w:p>
    <w:p>
      <w:pPr>
        <w:pStyle w:val="125"/>
        <w:snapToGrid w:val="0"/>
        <w:spacing w:line="360" w:lineRule="auto"/>
        <w:ind w:firstLine="560" w:firstLineChars="200"/>
        <w:rPr>
          <w:color w:val="000000"/>
          <w:sz w:val="28"/>
          <w:szCs w:val="28"/>
        </w:rPr>
      </w:pPr>
      <w:r>
        <w:rPr>
          <w:rFonts w:hint="eastAsia"/>
          <w:color w:val="000000"/>
          <w:sz w:val="28"/>
          <w:szCs w:val="28"/>
          <w:lang w:val="en-US" w:eastAsia="zh-CN"/>
        </w:rPr>
        <w:t>其中，安全文明施工措施费：</w:t>
      </w:r>
      <w:r>
        <w:rPr>
          <w:rFonts w:hint="eastAsia"/>
          <w:color w:val="000000"/>
          <w:sz w:val="28"/>
          <w:szCs w:val="28"/>
          <w:u w:val="single"/>
          <w:lang w:val="en-US" w:eastAsia="zh-CN"/>
        </w:rPr>
        <w:t xml:space="preserve">    </w:t>
      </w:r>
      <w:r>
        <w:rPr>
          <w:rFonts w:hint="eastAsia"/>
          <w:color w:val="000000"/>
          <w:sz w:val="28"/>
          <w:szCs w:val="28"/>
        </w:rPr>
        <w:t>万元</w:t>
      </w:r>
      <w:r>
        <w:rPr>
          <w:rFonts w:hint="eastAsia"/>
          <w:color w:val="000000"/>
          <w:sz w:val="28"/>
          <w:szCs w:val="28"/>
          <w:lang w:eastAsia="zh-CN"/>
        </w:rPr>
        <w:t>，</w:t>
      </w:r>
      <w:r>
        <w:rPr>
          <w:rFonts w:hint="eastAsia"/>
          <w:color w:val="000000"/>
          <w:sz w:val="28"/>
          <w:szCs w:val="28"/>
          <w:lang w:val="en-US" w:eastAsia="zh-CN"/>
        </w:rPr>
        <w:t>暂列金：</w:t>
      </w:r>
      <w:r>
        <w:rPr>
          <w:rFonts w:hint="eastAsia"/>
          <w:color w:val="000000"/>
          <w:sz w:val="28"/>
          <w:szCs w:val="28"/>
          <w:u w:val="single"/>
          <w:lang w:val="en-US" w:eastAsia="zh-CN"/>
        </w:rPr>
        <w:t xml:space="preserve">    </w:t>
      </w:r>
      <w:r>
        <w:rPr>
          <w:rFonts w:hint="eastAsia"/>
          <w:color w:val="000000"/>
          <w:sz w:val="28"/>
          <w:szCs w:val="28"/>
        </w:rPr>
        <w:t>万元</w:t>
      </w:r>
      <w:r>
        <w:rPr>
          <w:rFonts w:hint="eastAsia"/>
          <w:color w:val="000000"/>
          <w:sz w:val="28"/>
          <w:szCs w:val="28"/>
          <w:lang w:eastAsia="zh-CN"/>
        </w:rPr>
        <w:t>，</w:t>
      </w:r>
      <w:r>
        <w:rPr>
          <w:rFonts w:hint="eastAsia"/>
          <w:color w:val="000000"/>
          <w:sz w:val="28"/>
          <w:szCs w:val="28"/>
        </w:rPr>
        <w:t>最终结算价以深圳市财政投资评审中心审核为准。</w:t>
      </w:r>
    </w:p>
    <w:p>
      <w:pPr>
        <w:pStyle w:val="125"/>
        <w:snapToGrid w:val="0"/>
        <w:spacing w:line="360" w:lineRule="auto"/>
        <w:ind w:firstLine="560" w:firstLineChars="200"/>
        <w:rPr>
          <w:color w:val="000000"/>
          <w:sz w:val="28"/>
          <w:szCs w:val="28"/>
          <w:lang w:eastAsia="zh-CN"/>
        </w:rPr>
      </w:pPr>
      <w:r>
        <w:rPr>
          <w:rFonts w:hint="eastAsia"/>
          <w:color w:val="000000"/>
          <w:sz w:val="28"/>
          <w:szCs w:val="28"/>
          <w:lang w:val="en-US" w:eastAsia="zh-CN"/>
        </w:rPr>
        <w:t>1、</w:t>
      </w:r>
      <w:r>
        <w:rPr>
          <w:rFonts w:hint="eastAsia"/>
          <w:color w:val="000000"/>
          <w:sz w:val="28"/>
          <w:szCs w:val="28"/>
        </w:rPr>
        <w:t>该费用包含乙方为实施和完成本工程</w:t>
      </w:r>
      <w:r>
        <w:rPr>
          <w:rFonts w:hint="eastAsia"/>
          <w:color w:val="000000"/>
          <w:sz w:val="28"/>
          <w:szCs w:val="28"/>
          <w:lang w:val="en-US" w:eastAsia="zh-CN"/>
        </w:rPr>
        <w:t>施工</w:t>
      </w:r>
      <w:r>
        <w:rPr>
          <w:rFonts w:hint="eastAsia"/>
          <w:color w:val="000000"/>
          <w:sz w:val="28"/>
          <w:szCs w:val="28"/>
        </w:rPr>
        <w:t>内容所需的人员工资、社会福利、各种津贴及加班、技术服务费、现场费用（包括办公及生活设施、设备、通讯费用）、仪器设备的使用和管理、各种管理费、保险、利润和税金不可预见费用等费用内容，以及合同明示或暗示的所有风险、责任和义务</w:t>
      </w:r>
      <w:r>
        <w:rPr>
          <w:rFonts w:hint="eastAsia"/>
          <w:color w:val="000000"/>
          <w:sz w:val="28"/>
          <w:szCs w:val="28"/>
          <w:lang w:eastAsia="zh-CN"/>
        </w:rPr>
        <w:t>；</w:t>
      </w:r>
    </w:p>
    <w:p>
      <w:pPr>
        <w:pStyle w:val="125"/>
        <w:snapToGrid w:val="0"/>
        <w:spacing w:line="360" w:lineRule="auto"/>
        <w:ind w:firstLine="560" w:firstLineChars="200"/>
        <w:rPr>
          <w:rFonts w:hint="eastAsia"/>
          <w:color w:val="000000"/>
          <w:sz w:val="28"/>
          <w:szCs w:val="28"/>
          <w:lang w:eastAsia="zh-CN"/>
        </w:rPr>
      </w:pPr>
      <w:r>
        <w:rPr>
          <w:rFonts w:hint="eastAsia"/>
          <w:color w:val="000000"/>
          <w:sz w:val="28"/>
          <w:szCs w:val="28"/>
          <w:lang w:val="en-US" w:eastAsia="zh-CN"/>
        </w:rPr>
        <w:t>2、</w:t>
      </w:r>
      <w:r>
        <w:rPr>
          <w:rFonts w:hint="eastAsia"/>
          <w:color w:val="000000"/>
          <w:sz w:val="28"/>
          <w:szCs w:val="28"/>
        </w:rPr>
        <w:t>包含了完成与该分部分项工程有关的一切必要的工序和工作内容以及达到合格工程质量要求的一切工程费用和措施性费用（措施项目清单内单列的除外）</w:t>
      </w:r>
      <w:r>
        <w:rPr>
          <w:rFonts w:hint="eastAsia"/>
          <w:color w:val="000000"/>
          <w:sz w:val="28"/>
          <w:szCs w:val="28"/>
          <w:lang w:eastAsia="zh-CN"/>
        </w:rPr>
        <w:t>。</w:t>
      </w:r>
    </w:p>
    <w:p>
      <w:pPr>
        <w:pStyle w:val="125"/>
        <w:tabs>
          <w:tab w:val="left" w:pos="1396"/>
        </w:tabs>
        <w:snapToGrid w:val="0"/>
        <w:spacing w:line="360" w:lineRule="auto"/>
        <w:ind w:firstLine="562" w:firstLineChars="200"/>
        <w:rPr>
          <w:b/>
          <w:bCs/>
          <w:sz w:val="28"/>
          <w:szCs w:val="28"/>
          <w:highlight w:val="none"/>
        </w:rPr>
      </w:pPr>
      <w:bookmarkStart w:id="12" w:name="bookmark20"/>
      <w:r>
        <w:rPr>
          <w:rFonts w:hint="eastAsia"/>
          <w:b/>
          <w:bCs/>
          <w:color w:val="000000"/>
          <w:sz w:val="28"/>
          <w:szCs w:val="28"/>
          <w:highlight w:val="none"/>
        </w:rPr>
        <w:t>四</w:t>
      </w:r>
      <w:bookmarkEnd w:id="12"/>
      <w:r>
        <w:rPr>
          <w:rFonts w:hint="eastAsia"/>
          <w:b/>
          <w:bCs/>
          <w:color w:val="000000"/>
          <w:sz w:val="28"/>
          <w:szCs w:val="28"/>
          <w:highlight w:val="none"/>
        </w:rPr>
        <w:t>、工期及提交成果的时间</w:t>
      </w:r>
    </w:p>
    <w:p>
      <w:pPr>
        <w:pStyle w:val="125"/>
        <w:tabs>
          <w:tab w:val="left" w:pos="1266"/>
        </w:tabs>
        <w:snapToGrid w:val="0"/>
        <w:spacing w:line="360" w:lineRule="auto"/>
        <w:ind w:firstLine="560" w:firstLineChars="200"/>
        <w:rPr>
          <w:color w:val="000000"/>
          <w:sz w:val="28"/>
          <w:szCs w:val="28"/>
          <w:highlight w:val="none"/>
          <w:lang w:val="en-US" w:eastAsia="zh-CN"/>
        </w:rPr>
      </w:pPr>
      <w:bookmarkStart w:id="13" w:name="bookmark21"/>
      <w:r>
        <w:rPr>
          <w:rFonts w:hint="eastAsia"/>
          <w:color w:val="000000"/>
          <w:sz w:val="28"/>
          <w:szCs w:val="28"/>
          <w:highlight w:val="none"/>
          <w:lang w:val="en-US" w:eastAsia="zh-CN"/>
        </w:rPr>
        <w:t>1、甲方不承诺为乙方提供现场临时办公用地。乙方临时驻场（包括办公、住宿用房等）由其自行解决；</w:t>
      </w:r>
    </w:p>
    <w:p>
      <w:pPr>
        <w:pStyle w:val="125"/>
        <w:tabs>
          <w:tab w:val="left" w:pos="1266"/>
        </w:tabs>
        <w:snapToGrid w:val="0"/>
        <w:spacing w:line="360" w:lineRule="auto"/>
        <w:ind w:firstLine="560" w:firstLineChars="200"/>
        <w:rPr>
          <w:color w:val="000000"/>
          <w:sz w:val="28"/>
          <w:szCs w:val="28"/>
          <w:highlight w:val="none"/>
          <w:lang w:val="en-US" w:eastAsia="zh-CN"/>
        </w:rPr>
      </w:pPr>
      <w:r>
        <w:rPr>
          <w:rFonts w:hint="eastAsia"/>
          <w:color w:val="000000"/>
          <w:sz w:val="28"/>
          <w:szCs w:val="28"/>
          <w:highlight w:val="none"/>
          <w:lang w:val="en-US" w:eastAsia="zh-CN"/>
        </w:rPr>
        <w:t>2、</w:t>
      </w:r>
      <w:r>
        <w:rPr>
          <w:rFonts w:hint="eastAsia" w:ascii="宋体" w:hAnsi="宋体" w:eastAsia="宋体" w:cs="宋体"/>
          <w:color w:val="000000"/>
          <w:kern w:val="2"/>
          <w:sz w:val="28"/>
          <w:szCs w:val="28"/>
          <w:highlight w:val="none"/>
          <w:lang w:val="en-US" w:eastAsia="zh-CN" w:bidi="zh-TW"/>
        </w:rPr>
        <w:t>乙方须于2022年10月30日前完成本工程所涉及的所有工程内容（含必须的行政手续办理及迁移、采伐施工），否则甲方将对乙方处以1000元/日历天的工期延误罚款，总计罚款不超合同价的5%。若因行政审批滞后、政策法规影响等非乙方原因造成的工期延误，经甲方认定情况属实，可免于处罚</w:t>
      </w:r>
      <w:r>
        <w:rPr>
          <w:rFonts w:hint="eastAsia" w:cs="宋体"/>
          <w:color w:val="000000"/>
          <w:kern w:val="2"/>
          <w:sz w:val="28"/>
          <w:szCs w:val="28"/>
          <w:highlight w:val="none"/>
          <w:lang w:val="en-US" w:eastAsia="zh-CN" w:bidi="zh-TW"/>
        </w:rPr>
        <w:t>；</w:t>
      </w:r>
    </w:p>
    <w:p>
      <w:pPr>
        <w:pStyle w:val="125"/>
        <w:tabs>
          <w:tab w:val="left" w:pos="1266"/>
        </w:tabs>
        <w:snapToGrid w:val="0"/>
        <w:spacing w:line="360" w:lineRule="auto"/>
        <w:ind w:firstLine="560" w:firstLineChars="200"/>
        <w:rPr>
          <w:color w:val="000000"/>
          <w:sz w:val="28"/>
          <w:szCs w:val="28"/>
          <w:highlight w:val="none"/>
          <w:lang w:val="en-US" w:eastAsia="zh-CN"/>
        </w:rPr>
      </w:pPr>
      <w:r>
        <w:rPr>
          <w:rFonts w:hint="eastAsia"/>
          <w:color w:val="000000"/>
          <w:sz w:val="28"/>
          <w:szCs w:val="28"/>
          <w:highlight w:val="none"/>
          <w:lang w:val="en-US" w:eastAsia="zh-CN"/>
        </w:rPr>
        <w:t>3、乙方应保证完成本合同规定的所有工作内容合法合规，并满足相关行政主管部门的要求，若因工作失误（林木误伐、误迁、迁移后的林木死亡等）所产生的一切后果，均由乙方承担。</w:t>
      </w:r>
      <w:bookmarkEnd w:id="13"/>
    </w:p>
    <w:p>
      <w:pPr>
        <w:pStyle w:val="125"/>
        <w:tabs>
          <w:tab w:val="left" w:pos="1396"/>
        </w:tabs>
        <w:snapToGrid w:val="0"/>
        <w:spacing w:line="360" w:lineRule="auto"/>
        <w:ind w:firstLine="562" w:firstLineChars="200"/>
        <w:rPr>
          <w:b/>
          <w:bCs/>
          <w:color w:val="000000"/>
          <w:sz w:val="28"/>
          <w:szCs w:val="28"/>
        </w:rPr>
      </w:pPr>
      <w:r>
        <w:rPr>
          <w:rFonts w:hint="eastAsia"/>
          <w:b/>
          <w:bCs/>
          <w:color w:val="000000"/>
          <w:sz w:val="28"/>
          <w:szCs w:val="28"/>
          <w:lang w:val="en-US" w:eastAsia="zh-CN"/>
        </w:rPr>
        <w:t>五</w:t>
      </w:r>
      <w:r>
        <w:rPr>
          <w:rFonts w:hint="eastAsia"/>
          <w:b/>
          <w:bCs/>
          <w:color w:val="000000"/>
          <w:sz w:val="28"/>
          <w:szCs w:val="28"/>
        </w:rPr>
        <w:t>、付款</w:t>
      </w:r>
      <w:r>
        <w:rPr>
          <w:rFonts w:hint="eastAsia"/>
          <w:b/>
          <w:bCs/>
          <w:color w:val="000000"/>
          <w:sz w:val="28"/>
          <w:szCs w:val="28"/>
          <w:lang w:val="en-US" w:eastAsia="zh-CN"/>
        </w:rPr>
        <w:t>及结算</w:t>
      </w:r>
      <w:r>
        <w:rPr>
          <w:rFonts w:hint="eastAsia"/>
          <w:b/>
          <w:bCs/>
          <w:color w:val="000000"/>
          <w:sz w:val="28"/>
          <w:szCs w:val="28"/>
        </w:rPr>
        <w:t>方式</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1、本合同不设预付款；</w:t>
      </w:r>
    </w:p>
    <w:p>
      <w:pPr>
        <w:pStyle w:val="125"/>
        <w:tabs>
          <w:tab w:val="left" w:pos="1266"/>
        </w:tabs>
        <w:snapToGrid w:val="0"/>
        <w:spacing w:line="360" w:lineRule="auto"/>
        <w:ind w:firstLine="560" w:firstLineChars="200"/>
        <w:rPr>
          <w:color w:val="000000"/>
          <w:sz w:val="28"/>
          <w:szCs w:val="28"/>
          <w:lang w:val="en-US" w:eastAsia="zh-CN"/>
        </w:rPr>
      </w:pPr>
      <w:r>
        <w:rPr>
          <w:color w:val="000000"/>
          <w:sz w:val="28"/>
          <w:szCs w:val="28"/>
          <w:lang w:val="en-US" w:eastAsia="zh-CN"/>
        </w:rPr>
        <w:t>2、</w:t>
      </w:r>
      <w:r>
        <w:rPr>
          <w:rFonts w:hint="eastAsia"/>
          <w:color w:val="000000"/>
          <w:sz w:val="28"/>
          <w:szCs w:val="28"/>
          <w:lang w:val="en-US" w:eastAsia="zh-CN"/>
        </w:rPr>
        <w:t>完成项目涉及的所有林木采伐和迁移工作，经监理、甲方、行政主管部门（如需）确认后，支付至实际完成工程量价款的</w:t>
      </w:r>
      <w:r>
        <w:rPr>
          <w:color w:val="000000"/>
          <w:sz w:val="28"/>
          <w:szCs w:val="28"/>
          <w:lang w:val="en-US" w:eastAsia="zh-CN"/>
        </w:rPr>
        <w:t>50%</w:t>
      </w:r>
      <w:r>
        <w:rPr>
          <w:rFonts w:hint="eastAsia"/>
          <w:color w:val="000000"/>
          <w:sz w:val="28"/>
          <w:szCs w:val="28"/>
          <w:lang w:val="en-US" w:eastAsia="zh-CN"/>
        </w:rPr>
        <w:t>；</w:t>
      </w:r>
    </w:p>
    <w:p>
      <w:pPr>
        <w:pStyle w:val="125"/>
        <w:tabs>
          <w:tab w:val="left" w:pos="1266"/>
        </w:tabs>
        <w:snapToGrid w:val="0"/>
        <w:spacing w:line="360" w:lineRule="auto"/>
        <w:ind w:firstLine="560" w:firstLineChars="200"/>
        <w:rPr>
          <w:color w:val="000000"/>
          <w:sz w:val="28"/>
          <w:szCs w:val="28"/>
          <w:lang w:val="en-US" w:eastAsia="zh-CN"/>
        </w:rPr>
      </w:pPr>
      <w:r>
        <w:rPr>
          <w:color w:val="000000"/>
          <w:sz w:val="28"/>
          <w:szCs w:val="28"/>
          <w:lang w:val="en-US" w:eastAsia="zh-CN"/>
        </w:rPr>
        <w:t>3</w:t>
      </w:r>
      <w:r>
        <w:rPr>
          <w:rFonts w:hint="eastAsia"/>
          <w:color w:val="000000"/>
          <w:sz w:val="28"/>
          <w:szCs w:val="28"/>
          <w:lang w:val="en-US" w:eastAsia="zh-CN"/>
        </w:rPr>
        <w:t>、完成项目涉及的林木迁移且栽植</w:t>
      </w:r>
      <w:r>
        <w:rPr>
          <w:color w:val="000000"/>
          <w:sz w:val="28"/>
          <w:szCs w:val="28"/>
          <w:lang w:val="en-US" w:eastAsia="zh-CN"/>
        </w:rPr>
        <w:t>成活养护期</w:t>
      </w:r>
      <w:r>
        <w:rPr>
          <w:rFonts w:hint="eastAsia"/>
          <w:color w:val="000000"/>
          <w:sz w:val="28"/>
          <w:szCs w:val="28"/>
          <w:lang w:val="en-US" w:eastAsia="zh-CN"/>
        </w:rPr>
        <w:t>满，经监理、甲方、行政主管部门（如需）验收合格后，按实际完成的合格工程量（栽植后的林木须存活，否则不予计量）进行计量结算，乙方提交结算资料经甲方认可后二十个工作日内，支付至合同价的</w:t>
      </w:r>
      <w:r>
        <w:rPr>
          <w:color w:val="000000"/>
          <w:sz w:val="28"/>
          <w:szCs w:val="28"/>
          <w:lang w:val="en-US" w:eastAsia="zh-CN"/>
        </w:rPr>
        <w:t>90%</w:t>
      </w:r>
      <w:r>
        <w:rPr>
          <w:rFonts w:hint="eastAsia"/>
          <w:color w:val="000000"/>
          <w:sz w:val="28"/>
          <w:szCs w:val="28"/>
          <w:lang w:val="en-US" w:eastAsia="zh-CN"/>
        </w:rPr>
        <w:t xml:space="preserve">； </w:t>
      </w:r>
    </w:p>
    <w:p>
      <w:pPr>
        <w:pStyle w:val="125"/>
        <w:tabs>
          <w:tab w:val="left" w:pos="1266"/>
        </w:tabs>
        <w:snapToGrid w:val="0"/>
        <w:spacing w:line="360" w:lineRule="auto"/>
        <w:ind w:firstLine="560" w:firstLineChars="200"/>
        <w:rPr>
          <w:color w:val="000000"/>
          <w:sz w:val="28"/>
          <w:szCs w:val="28"/>
          <w:lang w:val="en-US" w:eastAsia="zh-CN"/>
        </w:rPr>
      </w:pPr>
      <w:r>
        <w:rPr>
          <w:color w:val="000000"/>
          <w:sz w:val="28"/>
          <w:szCs w:val="28"/>
          <w:lang w:val="en-US" w:eastAsia="zh-CN"/>
        </w:rPr>
        <w:t>4</w:t>
      </w:r>
      <w:r>
        <w:rPr>
          <w:rFonts w:hint="eastAsia"/>
          <w:color w:val="000000"/>
          <w:sz w:val="28"/>
          <w:szCs w:val="28"/>
          <w:lang w:val="en-US" w:eastAsia="zh-CN"/>
        </w:rPr>
        <w:t>、剩余款项经深圳市财政投资评审中心审核完毕后，支付余款；</w:t>
      </w:r>
    </w:p>
    <w:p>
      <w:pPr>
        <w:pStyle w:val="125"/>
        <w:tabs>
          <w:tab w:val="left" w:pos="1266"/>
        </w:tabs>
        <w:snapToGrid w:val="0"/>
        <w:spacing w:line="360" w:lineRule="auto"/>
        <w:ind w:firstLine="560" w:firstLineChars="200"/>
        <w:rPr>
          <w:rFonts w:hint="eastAsia"/>
          <w:color w:val="000000"/>
          <w:sz w:val="28"/>
          <w:szCs w:val="28"/>
          <w:lang w:val="en-US" w:eastAsia="zh-CN"/>
        </w:rPr>
      </w:pPr>
      <w:r>
        <w:rPr>
          <w:rFonts w:hint="eastAsia"/>
          <w:color w:val="000000"/>
          <w:sz w:val="28"/>
          <w:szCs w:val="28"/>
          <w:lang w:val="en-US" w:eastAsia="zh-CN"/>
        </w:rPr>
        <w:t>5、上述费用均须政府部门财政或发改划拨款项到位后支付，甲方不承担因财政或发改审批或拨款延迟造成延迟付款的违约责任。</w:t>
      </w:r>
    </w:p>
    <w:p>
      <w:pPr>
        <w:pStyle w:val="125"/>
        <w:snapToGrid w:val="0"/>
        <w:spacing w:line="360" w:lineRule="auto"/>
        <w:ind w:firstLine="560" w:firstLineChars="200"/>
        <w:rPr>
          <w:rFonts w:hint="default"/>
          <w:color w:val="000000"/>
          <w:sz w:val="28"/>
          <w:szCs w:val="28"/>
          <w:highlight w:val="none"/>
          <w:lang w:val="en-US" w:eastAsia="zh-CN"/>
        </w:rPr>
      </w:pPr>
      <w:bookmarkStart w:id="21" w:name="_GoBack"/>
      <w:r>
        <w:rPr>
          <w:rFonts w:hint="eastAsia"/>
          <w:color w:val="000000"/>
          <w:sz w:val="28"/>
          <w:szCs w:val="28"/>
          <w:highlight w:val="none"/>
          <w:lang w:val="en-US" w:eastAsia="zh-CN"/>
        </w:rPr>
        <w:t>6、根据《深圳市建筑工务署小型工程简易招标管理办法（2018）》、《深圳市2021-2022年政府集中采购目录及限额标准》（深财购[2020]60号）及深建市场【2018】19号文的有关规定，工程类项目小于400万元，可采用小型简易招标。本工程采用小型工程简易招标形式（工程类），最终结算金额小于400万元。</w:t>
      </w:r>
    </w:p>
    <w:bookmarkEnd w:id="21"/>
    <w:p>
      <w:pPr>
        <w:pStyle w:val="125"/>
        <w:tabs>
          <w:tab w:val="left" w:pos="1396"/>
        </w:tabs>
        <w:snapToGrid w:val="0"/>
        <w:spacing w:line="360" w:lineRule="auto"/>
        <w:ind w:firstLine="562" w:firstLineChars="200"/>
        <w:rPr>
          <w:b/>
          <w:bCs/>
          <w:color w:val="000000"/>
          <w:sz w:val="28"/>
          <w:szCs w:val="28"/>
        </w:rPr>
      </w:pPr>
      <w:r>
        <w:rPr>
          <w:rFonts w:hint="eastAsia"/>
          <w:b/>
          <w:bCs/>
          <w:color w:val="000000"/>
          <w:sz w:val="28"/>
          <w:szCs w:val="28"/>
          <w:lang w:val="en-US" w:eastAsia="zh-CN"/>
        </w:rPr>
        <w:t>六</w:t>
      </w:r>
      <w:r>
        <w:rPr>
          <w:rFonts w:hint="eastAsia"/>
          <w:b/>
          <w:bCs/>
          <w:color w:val="000000"/>
          <w:sz w:val="28"/>
          <w:szCs w:val="28"/>
        </w:rPr>
        <w:t>、违约责任</w:t>
      </w:r>
    </w:p>
    <w:p>
      <w:pPr>
        <w:pStyle w:val="125"/>
        <w:tabs>
          <w:tab w:val="left" w:pos="1266"/>
        </w:tabs>
        <w:snapToGrid w:val="0"/>
        <w:spacing w:line="360" w:lineRule="auto"/>
        <w:ind w:firstLine="560" w:firstLineChars="200"/>
        <w:rPr>
          <w:color w:val="000000"/>
          <w:sz w:val="28"/>
          <w:szCs w:val="28"/>
          <w:lang w:val="en-US" w:eastAsia="zh-CN"/>
        </w:rPr>
      </w:pPr>
      <w:bookmarkStart w:id="14" w:name="bookmark33"/>
      <w:bookmarkEnd w:id="14"/>
      <w:r>
        <w:rPr>
          <w:rFonts w:hint="eastAsia"/>
          <w:color w:val="000000"/>
          <w:sz w:val="28"/>
          <w:szCs w:val="28"/>
          <w:lang w:val="en-US" w:eastAsia="zh-CN"/>
        </w:rPr>
        <w:t>1、合同双方之任何一方不能履行本合同条款均属违约，违约方向对方支付违约金；</w:t>
      </w:r>
    </w:p>
    <w:p>
      <w:pPr>
        <w:pStyle w:val="125"/>
        <w:tabs>
          <w:tab w:val="left" w:pos="1266"/>
        </w:tabs>
        <w:snapToGrid w:val="0"/>
        <w:spacing w:line="360" w:lineRule="auto"/>
        <w:ind w:firstLine="560" w:firstLineChars="200"/>
        <w:rPr>
          <w:color w:val="000000"/>
          <w:sz w:val="28"/>
          <w:szCs w:val="28"/>
          <w:lang w:val="en-US" w:eastAsia="zh-CN"/>
        </w:rPr>
      </w:pPr>
      <w:bookmarkStart w:id="15" w:name="bookmark34"/>
      <w:bookmarkEnd w:id="15"/>
      <w:r>
        <w:rPr>
          <w:rFonts w:hint="eastAsia"/>
          <w:color w:val="000000"/>
          <w:sz w:val="28"/>
          <w:szCs w:val="28"/>
          <w:lang w:val="en-US" w:eastAsia="zh-CN"/>
        </w:rPr>
        <w:t>2、违约金约定：</w:t>
      </w:r>
    </w:p>
    <w:p>
      <w:pPr>
        <w:pStyle w:val="125"/>
        <w:tabs>
          <w:tab w:val="left" w:pos="1266"/>
        </w:tabs>
        <w:snapToGrid w:val="0"/>
        <w:spacing w:line="360" w:lineRule="auto"/>
        <w:ind w:firstLine="560" w:firstLineChars="200"/>
        <w:rPr>
          <w:color w:val="000000"/>
          <w:sz w:val="28"/>
          <w:szCs w:val="28"/>
          <w:lang w:val="en-US" w:eastAsia="zh-CN"/>
        </w:rPr>
      </w:pPr>
      <w:bookmarkStart w:id="16" w:name="bookmark35"/>
      <w:r>
        <w:rPr>
          <w:rFonts w:hint="eastAsia"/>
          <w:color w:val="000000"/>
          <w:sz w:val="28"/>
          <w:szCs w:val="28"/>
          <w:lang w:val="en-US" w:eastAsia="zh-CN"/>
        </w:rPr>
        <w:t>（</w:t>
      </w:r>
      <w:bookmarkEnd w:id="16"/>
      <w:r>
        <w:rPr>
          <w:rFonts w:hint="eastAsia"/>
          <w:color w:val="000000"/>
          <w:sz w:val="28"/>
          <w:szCs w:val="28"/>
          <w:lang w:val="en-US" w:eastAsia="zh-CN"/>
        </w:rPr>
        <w:t>1）由于非乙方的原因造成工作中止、失败，甲方应按乙方已完成工作量比例向乙方支付费用；</w:t>
      </w:r>
    </w:p>
    <w:p>
      <w:pPr>
        <w:pStyle w:val="125"/>
        <w:tabs>
          <w:tab w:val="left" w:pos="1266"/>
        </w:tabs>
        <w:snapToGrid w:val="0"/>
        <w:spacing w:line="360" w:lineRule="auto"/>
        <w:ind w:firstLine="560" w:firstLineChars="200"/>
        <w:rPr>
          <w:color w:val="000000"/>
          <w:sz w:val="28"/>
          <w:szCs w:val="28"/>
          <w:lang w:val="en-US" w:eastAsia="zh-CN"/>
        </w:rPr>
      </w:pPr>
      <w:bookmarkStart w:id="17" w:name="bookmark36"/>
      <w:r>
        <w:rPr>
          <w:rFonts w:hint="eastAsia"/>
          <w:color w:val="000000"/>
          <w:sz w:val="28"/>
          <w:szCs w:val="28"/>
          <w:lang w:val="en-US" w:eastAsia="zh-CN"/>
        </w:rPr>
        <w:t>（</w:t>
      </w:r>
      <w:bookmarkEnd w:id="17"/>
      <w:r>
        <w:rPr>
          <w:rFonts w:hint="eastAsia"/>
          <w:color w:val="000000"/>
          <w:sz w:val="28"/>
          <w:szCs w:val="28"/>
          <w:lang w:val="en-US" w:eastAsia="zh-CN"/>
        </w:rPr>
        <w:t>2）乙方未能按照本合同之规定完成施工工作，或因乙方工作失误（林木误伐、误迁、迁移后的林木死亡等），甲方有权减付或拒付费用。具体的减付或拒付办法，双方另行协商确定。同时，乙方有责任返工直至达到本合同之要求，返工期间发生的费用由乙方自行承担；</w:t>
      </w:r>
    </w:p>
    <w:p>
      <w:pPr>
        <w:pStyle w:val="125"/>
        <w:tabs>
          <w:tab w:val="left" w:pos="1266"/>
        </w:tabs>
        <w:snapToGrid w:val="0"/>
        <w:spacing w:line="360" w:lineRule="auto"/>
        <w:ind w:firstLine="560" w:firstLineChars="200"/>
        <w:rPr>
          <w:color w:val="000000"/>
          <w:sz w:val="28"/>
          <w:szCs w:val="28"/>
          <w:lang w:val="en-US" w:eastAsia="zh-CN"/>
        </w:rPr>
      </w:pPr>
      <w:bookmarkStart w:id="18" w:name="bookmark37"/>
      <w:r>
        <w:rPr>
          <w:rFonts w:hint="eastAsia"/>
          <w:color w:val="000000"/>
          <w:sz w:val="28"/>
          <w:szCs w:val="28"/>
          <w:lang w:val="en-US" w:eastAsia="zh-CN"/>
        </w:rPr>
        <w:t>（</w:t>
      </w:r>
      <w:bookmarkEnd w:id="18"/>
      <w:r>
        <w:rPr>
          <w:rFonts w:hint="eastAsia"/>
          <w:color w:val="000000"/>
          <w:sz w:val="28"/>
          <w:szCs w:val="28"/>
          <w:lang w:val="en-US" w:eastAsia="zh-CN"/>
        </w:rPr>
        <w:t>3）甲乙双方无故单方面解除合同的，应向另一方支付合同暂定金额的20%作为违约金，对造成损失的按损失情况进行赔偿；</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3、由于不可抗力造成本合同不能履行的，合同双方均不承担责任，造成任一方的损失，由损失方自理；</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4、双方协商一致，可以解除本合同协议。</w:t>
      </w:r>
    </w:p>
    <w:p>
      <w:pPr>
        <w:pStyle w:val="125"/>
        <w:tabs>
          <w:tab w:val="left" w:pos="1396"/>
        </w:tabs>
        <w:snapToGrid w:val="0"/>
        <w:spacing w:line="360" w:lineRule="auto"/>
        <w:ind w:firstLine="562" w:firstLineChars="200"/>
        <w:rPr>
          <w:b/>
          <w:bCs/>
          <w:color w:val="000000"/>
          <w:sz w:val="28"/>
          <w:szCs w:val="28"/>
        </w:rPr>
      </w:pPr>
      <w:r>
        <w:rPr>
          <w:rFonts w:hint="eastAsia"/>
          <w:b/>
          <w:bCs/>
          <w:color w:val="000000"/>
          <w:sz w:val="28"/>
          <w:szCs w:val="28"/>
          <w:lang w:val="en-US" w:eastAsia="zh-CN"/>
        </w:rPr>
        <w:t>七</w:t>
      </w:r>
      <w:r>
        <w:rPr>
          <w:rFonts w:hint="eastAsia"/>
          <w:b/>
          <w:bCs/>
          <w:color w:val="000000"/>
          <w:sz w:val="28"/>
          <w:szCs w:val="28"/>
        </w:rPr>
        <w:t>、保密</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双方应对本合同执行过程中产生的涉及机密的文件、成果资料进行保密，未经双方同意，任何一方均不得将涉及机密的文件、成果资料泄密，如发生以上情况，泄密方承担一切由此引起的后果并承担赔偿责任。</w:t>
      </w:r>
    </w:p>
    <w:p>
      <w:pPr>
        <w:pStyle w:val="125"/>
        <w:tabs>
          <w:tab w:val="left" w:pos="1266"/>
        </w:tabs>
        <w:snapToGrid w:val="0"/>
        <w:spacing w:line="360" w:lineRule="auto"/>
        <w:ind w:firstLine="562" w:firstLineChars="200"/>
        <w:rPr>
          <w:b/>
          <w:bCs/>
          <w:color w:val="000000"/>
          <w:sz w:val="28"/>
          <w:szCs w:val="28"/>
        </w:rPr>
      </w:pPr>
      <w:r>
        <w:rPr>
          <w:rFonts w:hint="eastAsia"/>
          <w:b/>
          <w:bCs/>
          <w:color w:val="000000"/>
          <w:sz w:val="28"/>
          <w:szCs w:val="28"/>
          <w:lang w:val="en-US" w:eastAsia="zh-CN"/>
        </w:rPr>
        <w:t>八</w:t>
      </w:r>
      <w:r>
        <w:rPr>
          <w:rFonts w:hint="eastAsia"/>
          <w:b/>
          <w:bCs/>
          <w:color w:val="000000"/>
          <w:sz w:val="28"/>
          <w:szCs w:val="28"/>
        </w:rPr>
        <w:t>、争议条款</w:t>
      </w:r>
    </w:p>
    <w:p>
      <w:pPr>
        <w:pStyle w:val="125"/>
        <w:tabs>
          <w:tab w:val="left" w:pos="1266"/>
        </w:tabs>
        <w:snapToGrid w:val="0"/>
        <w:spacing w:line="360" w:lineRule="auto"/>
        <w:ind w:firstLine="560" w:firstLineChars="200"/>
        <w:rPr>
          <w:color w:val="000000"/>
          <w:sz w:val="28"/>
          <w:szCs w:val="28"/>
          <w:lang w:val="en-US" w:eastAsia="zh-CN"/>
        </w:rPr>
      </w:pPr>
      <w:bookmarkStart w:id="19" w:name="bookmark41"/>
      <w:bookmarkEnd w:id="19"/>
      <w:r>
        <w:rPr>
          <w:rFonts w:hint="eastAsia"/>
          <w:color w:val="000000"/>
          <w:sz w:val="28"/>
          <w:szCs w:val="28"/>
          <w:lang w:val="en-US" w:eastAsia="zh-CN"/>
        </w:rPr>
        <w:t>1、甲乙双方履行合同过程中如发生争议，可以协商或者要求有关部门调解。如协商或调解不成的，任何一方均可向工程所在地的人民法院提出诉讼；</w:t>
      </w:r>
    </w:p>
    <w:p>
      <w:pPr>
        <w:pStyle w:val="125"/>
        <w:tabs>
          <w:tab w:val="left" w:pos="1266"/>
        </w:tabs>
        <w:snapToGrid w:val="0"/>
        <w:spacing w:line="360" w:lineRule="auto"/>
        <w:ind w:firstLine="560" w:firstLineChars="200"/>
        <w:rPr>
          <w:color w:val="000000"/>
          <w:sz w:val="28"/>
          <w:szCs w:val="28"/>
          <w:lang w:val="en-US" w:eastAsia="zh-CN"/>
        </w:rPr>
      </w:pPr>
      <w:bookmarkStart w:id="20" w:name="bookmark42"/>
      <w:bookmarkEnd w:id="20"/>
      <w:r>
        <w:rPr>
          <w:rFonts w:hint="eastAsia"/>
          <w:color w:val="000000"/>
          <w:sz w:val="28"/>
          <w:szCs w:val="28"/>
          <w:lang w:val="en-US" w:eastAsia="zh-CN"/>
        </w:rPr>
        <w:t>2、除提交诉讼的争议事项外，其余工作应照常进行；</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3、诉讼费用：</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因乙方原因导致甲方涉诉的，乙方应承担甲方遭受的经济损失，包括甲方为应诉产生的诉讼费、仲裁费、律师费、车旅费、住宿费等合理费用，具体包括以下情形：</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（1）与乙方有合同关系的分包单位、雇佣人员或其他合作单位、个人对甲方提起诉讼、仲裁或将甲方列为第三人的；</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（2）与乙方无合同关系，但作为本项目的实际参建单位或参建个人对甲方提起诉讼、仲裁或将甲方列为第三人的；</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（3）其他因乙方原因导致相关单位或个人对甲方提起诉讼、仲裁或将甲方列为第三人的。</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上述律师费以受诉法院或仲裁院所在地物价部门和（或）司法部门发布的律师服务收费标准为依据计取，其他费用以实际发生为依据计取。乙方应承担的上述合理费用由乙方直接支付至甲方，或甲方指定的第三方服务单位。</w:t>
      </w:r>
    </w:p>
    <w:p>
      <w:pPr>
        <w:pStyle w:val="125"/>
        <w:tabs>
          <w:tab w:val="left" w:pos="1396"/>
        </w:tabs>
        <w:snapToGrid w:val="0"/>
        <w:spacing w:line="360" w:lineRule="auto"/>
        <w:ind w:firstLine="562" w:firstLineChars="200"/>
        <w:rPr>
          <w:b/>
          <w:bCs/>
          <w:color w:val="000000"/>
          <w:sz w:val="28"/>
          <w:szCs w:val="28"/>
        </w:rPr>
      </w:pPr>
      <w:r>
        <w:rPr>
          <w:rFonts w:hint="eastAsia"/>
          <w:b/>
          <w:bCs/>
          <w:color w:val="000000"/>
          <w:sz w:val="28"/>
          <w:szCs w:val="28"/>
          <w:lang w:val="en-US" w:eastAsia="zh-CN"/>
        </w:rPr>
        <w:t>九</w:t>
      </w:r>
      <w:r>
        <w:rPr>
          <w:rFonts w:hint="eastAsia"/>
          <w:b/>
          <w:bCs/>
          <w:color w:val="000000"/>
          <w:sz w:val="28"/>
          <w:szCs w:val="28"/>
        </w:rPr>
        <w:t>、其他</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1、工作要求：</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（1）林木采伐：采伐高度与地面保持一致，伐后的树干、树枝、树叶等均视为建筑垃圾由乙方外运出场自行处置；</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2）林木迁移：①负责落实林木迁移栽植的具体位置及与土地相关使用单位的沟通；②林木栽植后须经监理、建设单位、行政主管部门（如需）初验，自初验合格之日起开始计算，成活期养护按照行政主管部门要求为准，结算不因养护期限的长短而调整；移植后的现场土洞须就地均匀取土填平压实覆盖；③负责完成林木移植后的相关移交手续办理及行政主管部门要求的其他相关工作。</w:t>
      </w:r>
    </w:p>
    <w:p>
      <w:pPr>
        <w:pStyle w:val="125"/>
        <w:tabs>
          <w:tab w:val="left" w:pos="1266"/>
        </w:tabs>
        <w:snapToGrid w:val="0"/>
        <w:spacing w:line="360" w:lineRule="auto"/>
        <w:ind w:firstLine="560" w:firstLineChars="200"/>
        <w:rPr>
          <w:rFonts w:hint="eastAsia"/>
          <w:color w:val="000000"/>
          <w:sz w:val="28"/>
          <w:szCs w:val="28"/>
          <w:lang w:val="en-US" w:eastAsia="zh-CN"/>
        </w:rPr>
      </w:pPr>
      <w:r>
        <w:rPr>
          <w:rFonts w:hint="eastAsia"/>
          <w:color w:val="000000"/>
          <w:sz w:val="28"/>
          <w:szCs w:val="28"/>
          <w:lang w:val="en-US" w:eastAsia="zh-CN"/>
        </w:rPr>
        <w:t>2、结算原则：本工程量为暂估量，后续根据行政主管部门要求及现场实际完成工程量按时结算且综合单价不因工程量的增减而调整；为完成本次林木采伐和迁移工作而进行的必要前置措施（含与行政主管部门沟通及其相关资料的编制、等行政手续办理、无产权部门认领林木登报、可能涉及的边界桩、树木挂牌、专家评审费用等） 总价包干，结算不因工作内容的多少、复杂及难易程度等因素而调整。</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3、安全文明要求：控制噪声较大的工序施工时间，并合理选用低噪音的先进机械设备，合理安排施工时间，尽量避免夜间施工；服务期间，乙方必须做好安全防护措施，并承担所有安全责任。</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4、疫情防控要求：现场施工过程中，按照深圳市及甲方要求做好现场的疫情防控工作。</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5、施工期间，须做好迁移记录，定期向甲方报告工作情况，重要情况和突发性事件及时汇报给甲方。接受甲方提出的需要重点监控的要求，接受对做好监控有益的建议和意见。</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6、本合同未尽事宜双方协商解决。</w:t>
      </w:r>
    </w:p>
    <w:p>
      <w:pPr>
        <w:pStyle w:val="125"/>
        <w:tabs>
          <w:tab w:val="left" w:pos="1396"/>
        </w:tabs>
        <w:snapToGrid w:val="0"/>
        <w:spacing w:line="360" w:lineRule="auto"/>
        <w:ind w:firstLine="562" w:firstLineChars="200"/>
        <w:rPr>
          <w:b/>
          <w:bCs/>
          <w:color w:val="000000"/>
          <w:sz w:val="28"/>
          <w:szCs w:val="28"/>
        </w:rPr>
      </w:pPr>
      <w:r>
        <w:rPr>
          <w:rFonts w:hint="eastAsia"/>
          <w:b/>
          <w:bCs/>
          <w:color w:val="000000"/>
          <w:sz w:val="28"/>
          <w:szCs w:val="28"/>
        </w:rPr>
        <w:t>第十条   合同份数</w:t>
      </w:r>
    </w:p>
    <w:p>
      <w:pPr>
        <w:pStyle w:val="125"/>
        <w:tabs>
          <w:tab w:val="left" w:pos="1266"/>
        </w:tabs>
        <w:snapToGrid w:val="0"/>
        <w:spacing w:line="360" w:lineRule="auto"/>
        <w:ind w:firstLine="560" w:firstLineChars="200"/>
        <w:rPr>
          <w:color w:val="000000"/>
          <w:sz w:val="28"/>
          <w:szCs w:val="28"/>
          <w:lang w:val="en-US" w:eastAsia="zh-CN"/>
        </w:rPr>
      </w:pPr>
      <w:r>
        <w:rPr>
          <w:rFonts w:hint="eastAsia"/>
          <w:color w:val="000000"/>
          <w:sz w:val="28"/>
          <w:szCs w:val="28"/>
          <w:lang w:val="en-US" w:eastAsia="zh-CN"/>
        </w:rPr>
        <w:t>本合同一式十份，甲方八份，乙方两份，具有同等法律效力。</w:t>
      </w:r>
    </w:p>
    <w:p>
      <w:pPr>
        <w:snapToGrid w:val="0"/>
        <w:spacing w:line="360" w:lineRule="auto"/>
        <w:ind w:firstLine="560" w:firstLineChars="200"/>
        <w:rPr>
          <w:rFonts w:ascii="宋体" w:hAnsi="宋体" w:eastAsia="宋体" w:cs="宋体"/>
          <w:sz w:val="28"/>
          <w:szCs w:val="28"/>
        </w:rPr>
      </w:pPr>
    </w:p>
    <w:p>
      <w:pPr>
        <w:pStyle w:val="2"/>
      </w:pPr>
    </w:p>
    <w:p>
      <w:pPr>
        <w:pStyle w:val="2"/>
      </w:pPr>
    </w:p>
    <w:p>
      <w:pPr>
        <w:pStyle w:val="2"/>
      </w:pPr>
    </w:p>
    <w:p>
      <w:pPr>
        <w:pStyle w:val="2"/>
        <w:ind w:firstLine="0"/>
      </w:pPr>
    </w:p>
    <w:p>
      <w:pPr>
        <w:snapToGrid w:val="0"/>
        <w:spacing w:line="360" w:lineRule="auto"/>
        <w:ind w:left="700" w:hanging="700" w:hangingChars="250"/>
        <w:jc w:val="left"/>
        <w:rPr>
          <w:rFonts w:ascii="宋体" w:hAnsi="宋体" w:eastAsia="宋体" w:cs="宋体"/>
          <w:sz w:val="28"/>
          <w:szCs w:val="28"/>
          <w:u w:val="single"/>
        </w:rPr>
      </w:pPr>
      <w:r>
        <w:rPr>
          <w:rFonts w:hint="eastAsia" w:ascii="宋体" w:hAnsi="宋体" w:eastAsia="宋体" w:cs="宋体"/>
          <w:sz w:val="28"/>
          <w:szCs w:val="28"/>
        </w:rPr>
        <w:t>甲方：</w:t>
      </w:r>
      <w:r>
        <w:rPr>
          <w:rFonts w:hint="eastAsia" w:ascii="宋体" w:hAnsi="宋体" w:eastAsia="宋体" w:cs="宋体"/>
          <w:sz w:val="28"/>
          <w:szCs w:val="28"/>
          <w:u w:val="single"/>
        </w:rPr>
        <w:t>深圳市建筑工务署教育工程管理中心</w:t>
      </w:r>
      <w:r>
        <w:rPr>
          <w:rFonts w:hint="eastAsia" w:ascii="宋体" w:hAnsi="宋体" w:eastAsia="宋体" w:cs="宋体"/>
          <w:sz w:val="28"/>
          <w:szCs w:val="28"/>
        </w:rPr>
        <w:t xml:space="preserve"> 乙方：</w:t>
      </w:r>
      <w:r>
        <w:rPr>
          <w:rFonts w:hint="eastAsia" w:ascii="宋体" w:hAnsi="宋体" w:eastAsia="宋体" w:cs="宋体"/>
          <w:sz w:val="28"/>
          <w:szCs w:val="28"/>
          <w:u w:val="single"/>
        </w:rPr>
        <w:t xml:space="preserve">（盖章）   </w:t>
      </w:r>
      <w:r>
        <w:rPr>
          <w:rFonts w:hint="eastAsia" w:ascii="宋体" w:hAnsi="宋体" w:eastAsia="宋体" w:cs="宋体"/>
          <w:sz w:val="28"/>
          <w:szCs w:val="28"/>
        </w:rPr>
        <w:t xml:space="preserve">                    </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地址：深圳市福田区侨香村1栋           地址：</w:t>
      </w:r>
    </w:p>
    <w:p>
      <w:pPr>
        <w:snapToGrid w:val="0"/>
        <w:spacing w:line="360" w:lineRule="auto"/>
        <w:rPr>
          <w:rFonts w:ascii="宋体" w:hAnsi="宋体" w:eastAsia="宋体" w:cs="宋体"/>
          <w:sz w:val="28"/>
          <w:szCs w:val="28"/>
        </w:rPr>
      </w:pPr>
      <w:r>
        <w:rPr>
          <w:rFonts w:hint="eastAsia" w:ascii="宋体" w:hAnsi="宋体" w:eastAsia="宋体" w:cs="宋体"/>
          <w:sz w:val="28"/>
          <w:szCs w:val="28"/>
        </w:rPr>
        <w:t>裙楼3楼</w:t>
      </w:r>
    </w:p>
    <w:p>
      <w:pPr>
        <w:snapToGrid w:val="0"/>
        <w:spacing w:line="360" w:lineRule="auto"/>
        <w:rPr>
          <w:rFonts w:ascii="宋体" w:hAnsi="宋体" w:eastAsia="宋体" w:cs="宋体"/>
          <w:sz w:val="28"/>
          <w:szCs w:val="28"/>
        </w:rPr>
      </w:pPr>
      <w:r>
        <w:rPr>
          <w:rFonts w:hint="eastAsia" w:ascii="宋体" w:hAnsi="宋体" w:eastAsia="宋体" w:cs="宋体"/>
          <w:sz w:val="28"/>
          <w:szCs w:val="28"/>
        </w:rPr>
        <w:t>法定代表人：                           法定代表人：</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委托代理人：                           委托代理人：</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开户银行：                             开户银行：</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帐号：                                 帐号：</w:t>
      </w:r>
    </w:p>
    <w:p>
      <w:pPr>
        <w:pStyle w:val="124"/>
        <w:adjustRightInd w:val="0"/>
        <w:snapToGrid w:val="0"/>
        <w:spacing w:line="360" w:lineRule="auto"/>
        <w:ind w:firstLine="0" w:firstLineChars="0"/>
        <w:rPr>
          <w:rFonts w:ascii="仿宋" w:hAnsi="仿宋" w:eastAsia="仿宋"/>
          <w:sz w:val="24"/>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tabs>
          <w:tab w:val="center" w:pos="4590"/>
        </w:tabs>
        <w:spacing w:line="480" w:lineRule="exact"/>
        <w:ind w:right="-874" w:rightChars="-416"/>
        <w:rPr>
          <w:rFonts w:ascii="宋体" w:hAnsi="宋体"/>
          <w:sz w:val="28"/>
          <w:szCs w:val="28"/>
        </w:rPr>
      </w:pPr>
      <w:r>
        <w:rPr>
          <w:rFonts w:hint="eastAsia" w:ascii="宋体" w:hAnsi="宋体"/>
          <w:sz w:val="28"/>
          <w:szCs w:val="28"/>
        </w:rPr>
        <w:t>附件一：中标通知书</w:t>
      </w: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r>
        <w:rPr>
          <w:rFonts w:hint="eastAsia" w:ascii="宋体" w:hAnsi="宋体"/>
          <w:sz w:val="28"/>
          <w:szCs w:val="28"/>
        </w:rPr>
        <w:t>附件二：法定代表人证明书及法人授权委托书</w:t>
      </w: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p>
    <w:p>
      <w:pPr>
        <w:tabs>
          <w:tab w:val="center" w:pos="4590"/>
        </w:tabs>
        <w:spacing w:line="480" w:lineRule="exact"/>
        <w:ind w:right="-874" w:rightChars="-416"/>
        <w:rPr>
          <w:rFonts w:ascii="宋体" w:hAnsi="宋体"/>
          <w:sz w:val="28"/>
          <w:szCs w:val="28"/>
        </w:rPr>
      </w:pPr>
      <w:r>
        <w:rPr>
          <w:rFonts w:hint="eastAsia" w:ascii="宋体" w:hAnsi="宋体"/>
          <w:sz w:val="28"/>
          <w:szCs w:val="28"/>
        </w:rPr>
        <w:t>附件三：拟派项目管理人员一览表</w:t>
      </w:r>
    </w:p>
    <w:p>
      <w:pPr>
        <w:pStyle w:val="2"/>
        <w:ind w:firstLine="0"/>
      </w:pP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78"/>
        <w:gridCol w:w="1984"/>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57" w:type="dxa"/>
            <w:vAlign w:val="center"/>
          </w:tcPr>
          <w:p>
            <w:pPr>
              <w:spacing w:line="360" w:lineRule="auto"/>
              <w:jc w:val="center"/>
              <w:rPr>
                <w:rFonts w:ascii="宋体" w:hAnsi="宋体"/>
                <w:sz w:val="28"/>
                <w:szCs w:val="28"/>
              </w:rPr>
            </w:pPr>
            <w:r>
              <w:rPr>
                <w:rFonts w:hint="eastAsia" w:ascii="宋体" w:hAnsi="宋体"/>
                <w:sz w:val="28"/>
                <w:szCs w:val="28"/>
              </w:rPr>
              <w:t>姓名</w:t>
            </w:r>
          </w:p>
        </w:tc>
        <w:tc>
          <w:tcPr>
            <w:tcW w:w="878" w:type="dxa"/>
            <w:vAlign w:val="center"/>
          </w:tcPr>
          <w:p>
            <w:pPr>
              <w:spacing w:line="360" w:lineRule="auto"/>
              <w:jc w:val="center"/>
              <w:rPr>
                <w:rFonts w:ascii="宋体" w:hAnsi="宋体"/>
                <w:sz w:val="28"/>
                <w:szCs w:val="28"/>
              </w:rPr>
            </w:pPr>
            <w:r>
              <w:rPr>
                <w:rFonts w:hint="eastAsia" w:ascii="宋体" w:hAnsi="宋体"/>
                <w:sz w:val="28"/>
                <w:szCs w:val="28"/>
              </w:rPr>
              <w:t>性别</w:t>
            </w:r>
          </w:p>
        </w:tc>
        <w:tc>
          <w:tcPr>
            <w:tcW w:w="1984" w:type="dxa"/>
            <w:vAlign w:val="center"/>
          </w:tcPr>
          <w:p>
            <w:pPr>
              <w:spacing w:line="360" w:lineRule="auto"/>
              <w:jc w:val="center"/>
              <w:rPr>
                <w:rFonts w:ascii="宋体" w:hAnsi="宋体"/>
                <w:sz w:val="28"/>
                <w:szCs w:val="28"/>
              </w:rPr>
            </w:pPr>
            <w:r>
              <w:rPr>
                <w:rFonts w:hint="eastAsia" w:ascii="宋体" w:hAnsi="宋体"/>
                <w:sz w:val="28"/>
                <w:szCs w:val="28"/>
              </w:rPr>
              <w:t>职称、职务</w:t>
            </w:r>
          </w:p>
        </w:tc>
        <w:tc>
          <w:tcPr>
            <w:tcW w:w="1701" w:type="dxa"/>
            <w:vAlign w:val="center"/>
          </w:tcPr>
          <w:p>
            <w:pPr>
              <w:spacing w:line="360" w:lineRule="auto"/>
              <w:jc w:val="center"/>
              <w:rPr>
                <w:rFonts w:ascii="宋体" w:hAnsi="宋体"/>
                <w:sz w:val="28"/>
                <w:szCs w:val="28"/>
              </w:rPr>
            </w:pPr>
            <w:r>
              <w:rPr>
                <w:rFonts w:hint="eastAsia" w:ascii="宋体" w:hAnsi="宋体"/>
                <w:sz w:val="28"/>
                <w:szCs w:val="28"/>
              </w:rPr>
              <w:t>上岗证号</w:t>
            </w:r>
          </w:p>
        </w:tc>
        <w:tc>
          <w:tcPr>
            <w:tcW w:w="2977" w:type="dxa"/>
            <w:vAlign w:val="center"/>
          </w:tcPr>
          <w:p>
            <w:pPr>
              <w:spacing w:line="360" w:lineRule="auto"/>
              <w:jc w:val="center"/>
              <w:rPr>
                <w:rFonts w:ascii="宋体" w:hAnsi="宋体"/>
                <w:sz w:val="28"/>
                <w:szCs w:val="28"/>
              </w:rPr>
            </w:pPr>
            <w:r>
              <w:rPr>
                <w:rFonts w:hint="eastAsia" w:ascii="宋体" w:hAnsi="宋体"/>
                <w:sz w:val="28"/>
                <w:szCs w:val="28"/>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360" w:lineRule="auto"/>
              <w:jc w:val="center"/>
              <w:rPr>
                <w:rFonts w:ascii="宋体" w:hAnsi="宋体"/>
                <w:sz w:val="28"/>
                <w:szCs w:val="28"/>
              </w:rPr>
            </w:pPr>
          </w:p>
        </w:tc>
        <w:tc>
          <w:tcPr>
            <w:tcW w:w="878" w:type="dxa"/>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1701" w:type="dxa"/>
            <w:vAlign w:val="center"/>
          </w:tcPr>
          <w:p>
            <w:pPr>
              <w:spacing w:line="360" w:lineRule="auto"/>
              <w:jc w:val="center"/>
              <w:rPr>
                <w:rFonts w:ascii="宋体" w:hAnsi="宋体"/>
                <w:sz w:val="28"/>
                <w:szCs w:val="28"/>
              </w:rPr>
            </w:pPr>
          </w:p>
        </w:tc>
        <w:tc>
          <w:tcPr>
            <w:tcW w:w="297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360" w:lineRule="auto"/>
              <w:jc w:val="center"/>
              <w:rPr>
                <w:rFonts w:ascii="宋体" w:hAnsi="宋体"/>
                <w:sz w:val="28"/>
                <w:szCs w:val="28"/>
              </w:rPr>
            </w:pPr>
          </w:p>
        </w:tc>
        <w:tc>
          <w:tcPr>
            <w:tcW w:w="878" w:type="dxa"/>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1701" w:type="dxa"/>
            <w:vAlign w:val="center"/>
          </w:tcPr>
          <w:p>
            <w:pPr>
              <w:spacing w:line="360" w:lineRule="auto"/>
              <w:jc w:val="center"/>
              <w:rPr>
                <w:rFonts w:ascii="宋体" w:hAnsi="宋体"/>
                <w:sz w:val="28"/>
                <w:szCs w:val="28"/>
              </w:rPr>
            </w:pPr>
          </w:p>
        </w:tc>
        <w:tc>
          <w:tcPr>
            <w:tcW w:w="297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360" w:lineRule="auto"/>
              <w:jc w:val="center"/>
              <w:rPr>
                <w:rFonts w:ascii="宋体" w:hAnsi="宋体"/>
                <w:sz w:val="28"/>
                <w:szCs w:val="28"/>
              </w:rPr>
            </w:pPr>
          </w:p>
        </w:tc>
        <w:tc>
          <w:tcPr>
            <w:tcW w:w="878" w:type="dxa"/>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1701" w:type="dxa"/>
            <w:vAlign w:val="center"/>
          </w:tcPr>
          <w:p>
            <w:pPr>
              <w:spacing w:line="360" w:lineRule="auto"/>
              <w:jc w:val="center"/>
              <w:rPr>
                <w:rFonts w:ascii="宋体" w:hAnsi="宋体"/>
                <w:sz w:val="28"/>
                <w:szCs w:val="28"/>
              </w:rPr>
            </w:pPr>
          </w:p>
        </w:tc>
        <w:tc>
          <w:tcPr>
            <w:tcW w:w="297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360" w:lineRule="auto"/>
              <w:jc w:val="center"/>
              <w:rPr>
                <w:rFonts w:ascii="宋体" w:hAnsi="宋体"/>
                <w:sz w:val="28"/>
                <w:szCs w:val="28"/>
              </w:rPr>
            </w:pPr>
          </w:p>
        </w:tc>
        <w:tc>
          <w:tcPr>
            <w:tcW w:w="878" w:type="dxa"/>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1701" w:type="dxa"/>
            <w:vAlign w:val="center"/>
          </w:tcPr>
          <w:p>
            <w:pPr>
              <w:spacing w:line="360" w:lineRule="auto"/>
              <w:jc w:val="center"/>
              <w:rPr>
                <w:rFonts w:ascii="宋体" w:hAnsi="宋体"/>
                <w:sz w:val="28"/>
                <w:szCs w:val="28"/>
              </w:rPr>
            </w:pPr>
          </w:p>
        </w:tc>
        <w:tc>
          <w:tcPr>
            <w:tcW w:w="297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360" w:lineRule="auto"/>
              <w:jc w:val="center"/>
              <w:rPr>
                <w:rFonts w:ascii="宋体" w:hAnsi="宋体"/>
                <w:sz w:val="28"/>
                <w:szCs w:val="28"/>
              </w:rPr>
            </w:pPr>
          </w:p>
        </w:tc>
        <w:tc>
          <w:tcPr>
            <w:tcW w:w="878" w:type="dxa"/>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1701" w:type="dxa"/>
            <w:vAlign w:val="center"/>
          </w:tcPr>
          <w:p>
            <w:pPr>
              <w:spacing w:line="360" w:lineRule="auto"/>
              <w:jc w:val="center"/>
              <w:rPr>
                <w:rFonts w:ascii="宋体" w:hAnsi="宋体"/>
                <w:sz w:val="28"/>
                <w:szCs w:val="28"/>
              </w:rPr>
            </w:pPr>
          </w:p>
        </w:tc>
        <w:tc>
          <w:tcPr>
            <w:tcW w:w="2977" w:type="dxa"/>
            <w:vAlign w:val="center"/>
          </w:tcPr>
          <w:p>
            <w:pPr>
              <w:spacing w:line="360" w:lineRule="auto"/>
              <w:jc w:val="center"/>
              <w:rPr>
                <w:rFonts w:ascii="宋体" w:hAnsi="宋体"/>
                <w:sz w:val="28"/>
                <w:szCs w:val="28"/>
              </w:rPr>
            </w:pPr>
          </w:p>
        </w:tc>
      </w:tr>
    </w:tbl>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p>
      <w:pPr>
        <w:pStyle w:val="124"/>
        <w:widowControl/>
        <w:adjustRightInd w:val="0"/>
        <w:snapToGrid w:val="0"/>
        <w:spacing w:line="360" w:lineRule="auto"/>
        <w:ind w:firstLine="0" w:firstLineChars="0"/>
        <w:jc w:val="left"/>
        <w:rPr>
          <w:rFonts w:ascii="仿宋" w:hAnsi="仿宋" w:eastAsia="仿宋"/>
          <w:sz w:val="24"/>
          <w:highlight w:val="yellow"/>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D6E9E"/>
    <w:multiLevelType w:val="singleLevel"/>
    <w:tmpl w:val="943D6E9E"/>
    <w:lvl w:ilvl="0" w:tentative="0">
      <w:start w:val="1"/>
      <w:numFmt w:val="decimal"/>
      <w:suff w:val="nothing"/>
      <w:lvlText w:val="%1）"/>
      <w:lvlJc w:val="left"/>
    </w:lvl>
  </w:abstractNum>
  <w:abstractNum w:abstractNumId="1">
    <w:nsid w:val="07A045CD"/>
    <w:multiLevelType w:val="multilevel"/>
    <w:tmpl w:val="07A045CD"/>
    <w:lvl w:ilvl="0" w:tentative="0">
      <w:start w:val="2"/>
      <w:numFmt w:val="decimal"/>
      <w:lvlText w:val="%1、"/>
      <w:lvlJc w:val="left"/>
      <w:pPr>
        <w:ind w:left="720" w:hanging="360"/>
      </w:pPr>
      <w:rPr>
        <w:rFonts w:hint="default"/>
        <w:u w:val="none"/>
      </w:rPr>
    </w:lvl>
    <w:lvl w:ilvl="1" w:tentative="0">
      <w:start w:val="1"/>
      <w:numFmt w:val="lowerLetter"/>
      <w:lvlText w:val="%2)"/>
      <w:lvlJc w:val="left"/>
      <w:pPr>
        <w:ind w:left="1200" w:hanging="420"/>
      </w:pPr>
    </w:lvl>
    <w:lvl w:ilvl="2" w:tentative="0">
      <w:start w:val="1"/>
      <w:numFmt w:val="lowerRoman"/>
      <w:pStyle w:val="5"/>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7984D90"/>
    <w:multiLevelType w:val="multilevel"/>
    <w:tmpl w:val="47984D90"/>
    <w:lvl w:ilvl="0" w:tentative="0">
      <w:start w:val="1"/>
      <w:numFmt w:val="decimal"/>
      <w:pStyle w:val="6"/>
      <w:lvlText w:val="%1、"/>
      <w:lvlJc w:val="left"/>
      <w:pPr>
        <w:ind w:left="360" w:hanging="360"/>
      </w:pPr>
      <w:rPr>
        <w:rFonts w:hint="default" w:ascii="宋体" w:hAnsi="宋体"/>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F461B2"/>
    <w:multiLevelType w:val="multilevel"/>
    <w:tmpl w:val="75F461B2"/>
    <w:lvl w:ilvl="0" w:tentative="0">
      <w:start w:val="2"/>
      <w:numFmt w:val="upperLetter"/>
      <w:pStyle w:val="3"/>
      <w:lvlText w:val="%1."/>
      <w:lvlJc w:val="left"/>
      <w:pPr>
        <w:tabs>
          <w:tab w:val="left" w:pos="360"/>
        </w:tabs>
        <w:ind w:left="360" w:hanging="360"/>
      </w:pPr>
      <w:rPr>
        <w:rFonts w:hint="eastAsia"/>
      </w:rPr>
    </w:lvl>
    <w:lvl w:ilvl="1" w:tentative="0">
      <w:start w:val="25"/>
      <w:numFmt w:val="decimal"/>
      <w:lvlText w:val="%2、"/>
      <w:lvlJc w:val="left"/>
      <w:pPr>
        <w:tabs>
          <w:tab w:val="left" w:pos="840"/>
        </w:tabs>
        <w:ind w:left="840" w:hanging="420"/>
      </w:pPr>
      <w:rPr>
        <w:rFonts w:hint="eastAsia"/>
      </w:rPr>
    </w:lvl>
    <w:lvl w:ilvl="2" w:tentative="0">
      <w:start w:val="3"/>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NDFjYzBhZmRlOTFmZjVmYzJlYTEwMDk0Mjg0N2QifQ=="/>
  </w:docVars>
  <w:rsids>
    <w:rsidRoot w:val="00824CE0"/>
    <w:rsid w:val="00000785"/>
    <w:rsid w:val="00003F12"/>
    <w:rsid w:val="00011C7A"/>
    <w:rsid w:val="00014101"/>
    <w:rsid w:val="00015B4F"/>
    <w:rsid w:val="00021077"/>
    <w:rsid w:val="0002124A"/>
    <w:rsid w:val="000241DB"/>
    <w:rsid w:val="00026A3E"/>
    <w:rsid w:val="00033A4D"/>
    <w:rsid w:val="00034183"/>
    <w:rsid w:val="000413F4"/>
    <w:rsid w:val="000428E0"/>
    <w:rsid w:val="00042D4F"/>
    <w:rsid w:val="000463C6"/>
    <w:rsid w:val="000467ED"/>
    <w:rsid w:val="000569DF"/>
    <w:rsid w:val="0005759C"/>
    <w:rsid w:val="00061949"/>
    <w:rsid w:val="000649F8"/>
    <w:rsid w:val="0006664E"/>
    <w:rsid w:val="00066B87"/>
    <w:rsid w:val="000671E1"/>
    <w:rsid w:val="000807F3"/>
    <w:rsid w:val="00095554"/>
    <w:rsid w:val="000A20A2"/>
    <w:rsid w:val="000A7DD6"/>
    <w:rsid w:val="000B0A43"/>
    <w:rsid w:val="000B0FD9"/>
    <w:rsid w:val="000B42CE"/>
    <w:rsid w:val="000C31A2"/>
    <w:rsid w:val="000C613C"/>
    <w:rsid w:val="000C622B"/>
    <w:rsid w:val="000C7010"/>
    <w:rsid w:val="000C74F4"/>
    <w:rsid w:val="000C77D6"/>
    <w:rsid w:val="000D0F2A"/>
    <w:rsid w:val="000D34A2"/>
    <w:rsid w:val="000D43DC"/>
    <w:rsid w:val="000D5C62"/>
    <w:rsid w:val="000D7B39"/>
    <w:rsid w:val="000E0BCB"/>
    <w:rsid w:val="000E72CD"/>
    <w:rsid w:val="000F4E48"/>
    <w:rsid w:val="000F4FF0"/>
    <w:rsid w:val="000F6F7E"/>
    <w:rsid w:val="000F74A6"/>
    <w:rsid w:val="000F7622"/>
    <w:rsid w:val="000F7B16"/>
    <w:rsid w:val="0010117E"/>
    <w:rsid w:val="0010194E"/>
    <w:rsid w:val="00101E7C"/>
    <w:rsid w:val="00101F86"/>
    <w:rsid w:val="00107425"/>
    <w:rsid w:val="001154DC"/>
    <w:rsid w:val="00116CBB"/>
    <w:rsid w:val="00117719"/>
    <w:rsid w:val="0012112E"/>
    <w:rsid w:val="001214E0"/>
    <w:rsid w:val="00122FE0"/>
    <w:rsid w:val="00126D37"/>
    <w:rsid w:val="00131740"/>
    <w:rsid w:val="001336BC"/>
    <w:rsid w:val="00145B53"/>
    <w:rsid w:val="0014666A"/>
    <w:rsid w:val="00146B79"/>
    <w:rsid w:val="001520CC"/>
    <w:rsid w:val="00154FF4"/>
    <w:rsid w:val="00161218"/>
    <w:rsid w:val="001612EF"/>
    <w:rsid w:val="0016208B"/>
    <w:rsid w:val="00162F0A"/>
    <w:rsid w:val="001634F4"/>
    <w:rsid w:val="00172B97"/>
    <w:rsid w:val="0017333C"/>
    <w:rsid w:val="001951FF"/>
    <w:rsid w:val="00196C5C"/>
    <w:rsid w:val="001A2313"/>
    <w:rsid w:val="001B0698"/>
    <w:rsid w:val="001B4360"/>
    <w:rsid w:val="001C042C"/>
    <w:rsid w:val="001C0840"/>
    <w:rsid w:val="001C129E"/>
    <w:rsid w:val="001C20A9"/>
    <w:rsid w:val="001D38E5"/>
    <w:rsid w:val="001D3AE7"/>
    <w:rsid w:val="001E28FD"/>
    <w:rsid w:val="001F36B6"/>
    <w:rsid w:val="001F574E"/>
    <w:rsid w:val="002117F5"/>
    <w:rsid w:val="002155F8"/>
    <w:rsid w:val="00221867"/>
    <w:rsid w:val="002225B2"/>
    <w:rsid w:val="002317C2"/>
    <w:rsid w:val="0023683A"/>
    <w:rsid w:val="00237EA6"/>
    <w:rsid w:val="00241DD3"/>
    <w:rsid w:val="00243493"/>
    <w:rsid w:val="0024748F"/>
    <w:rsid w:val="002479A5"/>
    <w:rsid w:val="00253578"/>
    <w:rsid w:val="0025499D"/>
    <w:rsid w:val="00261A05"/>
    <w:rsid w:val="00264F88"/>
    <w:rsid w:val="0026530D"/>
    <w:rsid w:val="0026706C"/>
    <w:rsid w:val="002701DE"/>
    <w:rsid w:val="00272D38"/>
    <w:rsid w:val="00276DAA"/>
    <w:rsid w:val="002833D0"/>
    <w:rsid w:val="00283F34"/>
    <w:rsid w:val="00287B48"/>
    <w:rsid w:val="00290DBE"/>
    <w:rsid w:val="0029171F"/>
    <w:rsid w:val="00293565"/>
    <w:rsid w:val="002A0641"/>
    <w:rsid w:val="002A084F"/>
    <w:rsid w:val="002A157B"/>
    <w:rsid w:val="002A316D"/>
    <w:rsid w:val="002A318C"/>
    <w:rsid w:val="002A41A3"/>
    <w:rsid w:val="002A6627"/>
    <w:rsid w:val="002B1151"/>
    <w:rsid w:val="002B14CD"/>
    <w:rsid w:val="002B4316"/>
    <w:rsid w:val="002B489D"/>
    <w:rsid w:val="002B5F74"/>
    <w:rsid w:val="002B6F46"/>
    <w:rsid w:val="002C291D"/>
    <w:rsid w:val="002C5414"/>
    <w:rsid w:val="002C7DFA"/>
    <w:rsid w:val="002D117A"/>
    <w:rsid w:val="002D25CF"/>
    <w:rsid w:val="002D3FE8"/>
    <w:rsid w:val="002D45A1"/>
    <w:rsid w:val="002D7EFA"/>
    <w:rsid w:val="002E759B"/>
    <w:rsid w:val="002F2B41"/>
    <w:rsid w:val="002F3D8D"/>
    <w:rsid w:val="002F7F0B"/>
    <w:rsid w:val="00305EB0"/>
    <w:rsid w:val="0031107A"/>
    <w:rsid w:val="003123DA"/>
    <w:rsid w:val="00312894"/>
    <w:rsid w:val="00316EBF"/>
    <w:rsid w:val="00317835"/>
    <w:rsid w:val="00320926"/>
    <w:rsid w:val="0032335E"/>
    <w:rsid w:val="0032615C"/>
    <w:rsid w:val="00333082"/>
    <w:rsid w:val="00341C12"/>
    <w:rsid w:val="00351743"/>
    <w:rsid w:val="00351906"/>
    <w:rsid w:val="00354C35"/>
    <w:rsid w:val="00356CBF"/>
    <w:rsid w:val="00363A42"/>
    <w:rsid w:val="00364776"/>
    <w:rsid w:val="003846B0"/>
    <w:rsid w:val="0038778A"/>
    <w:rsid w:val="00387CB7"/>
    <w:rsid w:val="00395562"/>
    <w:rsid w:val="003A148B"/>
    <w:rsid w:val="003A2070"/>
    <w:rsid w:val="003A3A07"/>
    <w:rsid w:val="003A534E"/>
    <w:rsid w:val="003A5443"/>
    <w:rsid w:val="003B054B"/>
    <w:rsid w:val="003B128E"/>
    <w:rsid w:val="003B1A48"/>
    <w:rsid w:val="003B28E3"/>
    <w:rsid w:val="003B3DA7"/>
    <w:rsid w:val="003C1D93"/>
    <w:rsid w:val="003C23C4"/>
    <w:rsid w:val="003C2660"/>
    <w:rsid w:val="003C7857"/>
    <w:rsid w:val="003C7874"/>
    <w:rsid w:val="003D6C11"/>
    <w:rsid w:val="003D704B"/>
    <w:rsid w:val="003E4E24"/>
    <w:rsid w:val="003E58B4"/>
    <w:rsid w:val="003F1554"/>
    <w:rsid w:val="003F1761"/>
    <w:rsid w:val="003F5FC0"/>
    <w:rsid w:val="004018F3"/>
    <w:rsid w:val="00406F86"/>
    <w:rsid w:val="00410339"/>
    <w:rsid w:val="00414491"/>
    <w:rsid w:val="00414BFD"/>
    <w:rsid w:val="00415950"/>
    <w:rsid w:val="00417F3C"/>
    <w:rsid w:val="00422DBC"/>
    <w:rsid w:val="00423E04"/>
    <w:rsid w:val="00431965"/>
    <w:rsid w:val="00445059"/>
    <w:rsid w:val="004455C7"/>
    <w:rsid w:val="00452EAD"/>
    <w:rsid w:val="00460222"/>
    <w:rsid w:val="00465606"/>
    <w:rsid w:val="0046687E"/>
    <w:rsid w:val="00490AC7"/>
    <w:rsid w:val="00491649"/>
    <w:rsid w:val="004948A5"/>
    <w:rsid w:val="00494BC6"/>
    <w:rsid w:val="0049632C"/>
    <w:rsid w:val="004A2608"/>
    <w:rsid w:val="004A2F34"/>
    <w:rsid w:val="004A4CB9"/>
    <w:rsid w:val="004A6036"/>
    <w:rsid w:val="004B0B93"/>
    <w:rsid w:val="004B18E5"/>
    <w:rsid w:val="004B510E"/>
    <w:rsid w:val="004B5B43"/>
    <w:rsid w:val="004B5D16"/>
    <w:rsid w:val="004B5E23"/>
    <w:rsid w:val="004B63A8"/>
    <w:rsid w:val="004C2250"/>
    <w:rsid w:val="004C5B7B"/>
    <w:rsid w:val="004C61E9"/>
    <w:rsid w:val="004D3015"/>
    <w:rsid w:val="004D5042"/>
    <w:rsid w:val="004D56C0"/>
    <w:rsid w:val="004E52EB"/>
    <w:rsid w:val="004F151E"/>
    <w:rsid w:val="004F2DFE"/>
    <w:rsid w:val="004F5CF5"/>
    <w:rsid w:val="004F64C0"/>
    <w:rsid w:val="004F7EE0"/>
    <w:rsid w:val="00500B70"/>
    <w:rsid w:val="00502724"/>
    <w:rsid w:val="0050340C"/>
    <w:rsid w:val="00503428"/>
    <w:rsid w:val="00506F84"/>
    <w:rsid w:val="00510BBF"/>
    <w:rsid w:val="005139D0"/>
    <w:rsid w:val="0052263F"/>
    <w:rsid w:val="00534FE9"/>
    <w:rsid w:val="00535A10"/>
    <w:rsid w:val="005423B6"/>
    <w:rsid w:val="00556EE4"/>
    <w:rsid w:val="00560ACA"/>
    <w:rsid w:val="00574A8A"/>
    <w:rsid w:val="00575C1B"/>
    <w:rsid w:val="005818B5"/>
    <w:rsid w:val="005827FB"/>
    <w:rsid w:val="00582A7D"/>
    <w:rsid w:val="005833E0"/>
    <w:rsid w:val="0058568A"/>
    <w:rsid w:val="005874B9"/>
    <w:rsid w:val="005902B2"/>
    <w:rsid w:val="005902E3"/>
    <w:rsid w:val="005902E6"/>
    <w:rsid w:val="00590473"/>
    <w:rsid w:val="005940DA"/>
    <w:rsid w:val="005965E1"/>
    <w:rsid w:val="005A4861"/>
    <w:rsid w:val="005A564E"/>
    <w:rsid w:val="005A6794"/>
    <w:rsid w:val="005B00E7"/>
    <w:rsid w:val="005C08D5"/>
    <w:rsid w:val="005C1153"/>
    <w:rsid w:val="005C12C7"/>
    <w:rsid w:val="005C5108"/>
    <w:rsid w:val="005C7B8F"/>
    <w:rsid w:val="005D0632"/>
    <w:rsid w:val="005D5AEC"/>
    <w:rsid w:val="005E3995"/>
    <w:rsid w:val="005E3F8D"/>
    <w:rsid w:val="005E4CE0"/>
    <w:rsid w:val="005F125D"/>
    <w:rsid w:val="00612ACE"/>
    <w:rsid w:val="00613065"/>
    <w:rsid w:val="006213DE"/>
    <w:rsid w:val="00622562"/>
    <w:rsid w:val="00626CEF"/>
    <w:rsid w:val="00627FD2"/>
    <w:rsid w:val="006301F0"/>
    <w:rsid w:val="00633297"/>
    <w:rsid w:val="00633A65"/>
    <w:rsid w:val="006340CB"/>
    <w:rsid w:val="0064695E"/>
    <w:rsid w:val="00647B6B"/>
    <w:rsid w:val="00650824"/>
    <w:rsid w:val="0065302B"/>
    <w:rsid w:val="00660052"/>
    <w:rsid w:val="00663D40"/>
    <w:rsid w:val="006644DF"/>
    <w:rsid w:val="0066741F"/>
    <w:rsid w:val="006678C1"/>
    <w:rsid w:val="00681151"/>
    <w:rsid w:val="0068585F"/>
    <w:rsid w:val="0068746D"/>
    <w:rsid w:val="00687EF0"/>
    <w:rsid w:val="0069068D"/>
    <w:rsid w:val="006975E0"/>
    <w:rsid w:val="006A248E"/>
    <w:rsid w:val="006B150A"/>
    <w:rsid w:val="006B2752"/>
    <w:rsid w:val="006C1071"/>
    <w:rsid w:val="006C2F7C"/>
    <w:rsid w:val="006C623F"/>
    <w:rsid w:val="006D0234"/>
    <w:rsid w:val="006D190D"/>
    <w:rsid w:val="006D40A0"/>
    <w:rsid w:val="006E5A57"/>
    <w:rsid w:val="006E61DB"/>
    <w:rsid w:val="006F15B6"/>
    <w:rsid w:val="006F1CCF"/>
    <w:rsid w:val="006F2A83"/>
    <w:rsid w:val="006F5DD3"/>
    <w:rsid w:val="00704F1F"/>
    <w:rsid w:val="00711012"/>
    <w:rsid w:val="007124BB"/>
    <w:rsid w:val="007154F7"/>
    <w:rsid w:val="00717A0F"/>
    <w:rsid w:val="007228C7"/>
    <w:rsid w:val="00730CEC"/>
    <w:rsid w:val="007437EB"/>
    <w:rsid w:val="007456FE"/>
    <w:rsid w:val="00750AA8"/>
    <w:rsid w:val="0075213E"/>
    <w:rsid w:val="0075364B"/>
    <w:rsid w:val="00754B07"/>
    <w:rsid w:val="00760662"/>
    <w:rsid w:val="00767A8C"/>
    <w:rsid w:val="007736B9"/>
    <w:rsid w:val="00773F5F"/>
    <w:rsid w:val="0077532E"/>
    <w:rsid w:val="00775511"/>
    <w:rsid w:val="00775734"/>
    <w:rsid w:val="00777437"/>
    <w:rsid w:val="00781F14"/>
    <w:rsid w:val="007855D1"/>
    <w:rsid w:val="00785F36"/>
    <w:rsid w:val="00787075"/>
    <w:rsid w:val="00792AD7"/>
    <w:rsid w:val="00794278"/>
    <w:rsid w:val="00794F75"/>
    <w:rsid w:val="007959A8"/>
    <w:rsid w:val="00795BDC"/>
    <w:rsid w:val="00796B9D"/>
    <w:rsid w:val="0079767E"/>
    <w:rsid w:val="00797763"/>
    <w:rsid w:val="007A6379"/>
    <w:rsid w:val="007B397C"/>
    <w:rsid w:val="007B6BCC"/>
    <w:rsid w:val="007C4357"/>
    <w:rsid w:val="007C4685"/>
    <w:rsid w:val="007C50F7"/>
    <w:rsid w:val="007C60A1"/>
    <w:rsid w:val="007C676A"/>
    <w:rsid w:val="007C7F7F"/>
    <w:rsid w:val="007D10BD"/>
    <w:rsid w:val="007D5874"/>
    <w:rsid w:val="007D5DDA"/>
    <w:rsid w:val="007D6FB3"/>
    <w:rsid w:val="007E4739"/>
    <w:rsid w:val="007E5AFB"/>
    <w:rsid w:val="007F5ACE"/>
    <w:rsid w:val="00801A24"/>
    <w:rsid w:val="00801F51"/>
    <w:rsid w:val="00802EAD"/>
    <w:rsid w:val="00804985"/>
    <w:rsid w:val="0080687C"/>
    <w:rsid w:val="008102CE"/>
    <w:rsid w:val="0081525B"/>
    <w:rsid w:val="008175E0"/>
    <w:rsid w:val="00823F45"/>
    <w:rsid w:val="00824170"/>
    <w:rsid w:val="00824CE0"/>
    <w:rsid w:val="00825CF1"/>
    <w:rsid w:val="0083095C"/>
    <w:rsid w:val="00833377"/>
    <w:rsid w:val="008335E0"/>
    <w:rsid w:val="00840CCE"/>
    <w:rsid w:val="0085031D"/>
    <w:rsid w:val="00850881"/>
    <w:rsid w:val="008574CC"/>
    <w:rsid w:val="00862795"/>
    <w:rsid w:val="00870736"/>
    <w:rsid w:val="00871BE2"/>
    <w:rsid w:val="00876CE1"/>
    <w:rsid w:val="00876D4C"/>
    <w:rsid w:val="00877824"/>
    <w:rsid w:val="00881B05"/>
    <w:rsid w:val="00885597"/>
    <w:rsid w:val="008901FD"/>
    <w:rsid w:val="00891B87"/>
    <w:rsid w:val="0089392A"/>
    <w:rsid w:val="00896535"/>
    <w:rsid w:val="008A03F5"/>
    <w:rsid w:val="008A0839"/>
    <w:rsid w:val="008A1038"/>
    <w:rsid w:val="008A1827"/>
    <w:rsid w:val="008B46A1"/>
    <w:rsid w:val="008B67FC"/>
    <w:rsid w:val="008B6C07"/>
    <w:rsid w:val="008B7884"/>
    <w:rsid w:val="008C2628"/>
    <w:rsid w:val="008C769F"/>
    <w:rsid w:val="008D1B68"/>
    <w:rsid w:val="008D1C73"/>
    <w:rsid w:val="008D2F8A"/>
    <w:rsid w:val="008D34E2"/>
    <w:rsid w:val="008E020F"/>
    <w:rsid w:val="008E0F70"/>
    <w:rsid w:val="008E4DA7"/>
    <w:rsid w:val="008E5264"/>
    <w:rsid w:val="008E56B4"/>
    <w:rsid w:val="008F2E89"/>
    <w:rsid w:val="008F3898"/>
    <w:rsid w:val="008F4DD9"/>
    <w:rsid w:val="008F5E87"/>
    <w:rsid w:val="009026B0"/>
    <w:rsid w:val="009048B1"/>
    <w:rsid w:val="00913C95"/>
    <w:rsid w:val="00915749"/>
    <w:rsid w:val="0091684E"/>
    <w:rsid w:val="009169DF"/>
    <w:rsid w:val="00917382"/>
    <w:rsid w:val="0092124B"/>
    <w:rsid w:val="009219A9"/>
    <w:rsid w:val="00921AA5"/>
    <w:rsid w:val="00925E67"/>
    <w:rsid w:val="00930E53"/>
    <w:rsid w:val="009331DD"/>
    <w:rsid w:val="0093697A"/>
    <w:rsid w:val="00941DC9"/>
    <w:rsid w:val="00944A92"/>
    <w:rsid w:val="00945685"/>
    <w:rsid w:val="00951E41"/>
    <w:rsid w:val="009534D7"/>
    <w:rsid w:val="00953862"/>
    <w:rsid w:val="00957DB6"/>
    <w:rsid w:val="00960EAB"/>
    <w:rsid w:val="009651EE"/>
    <w:rsid w:val="0096525D"/>
    <w:rsid w:val="00971168"/>
    <w:rsid w:val="00980D72"/>
    <w:rsid w:val="009836E4"/>
    <w:rsid w:val="00985422"/>
    <w:rsid w:val="00996BAE"/>
    <w:rsid w:val="009A334F"/>
    <w:rsid w:val="009B2277"/>
    <w:rsid w:val="009B674E"/>
    <w:rsid w:val="009C1E8F"/>
    <w:rsid w:val="009C2306"/>
    <w:rsid w:val="009C48A3"/>
    <w:rsid w:val="009C723E"/>
    <w:rsid w:val="009D38CB"/>
    <w:rsid w:val="009D59E2"/>
    <w:rsid w:val="009D7B47"/>
    <w:rsid w:val="009E55EE"/>
    <w:rsid w:val="009F5452"/>
    <w:rsid w:val="009F68B3"/>
    <w:rsid w:val="009F7187"/>
    <w:rsid w:val="009F799D"/>
    <w:rsid w:val="00A00119"/>
    <w:rsid w:val="00A02790"/>
    <w:rsid w:val="00A03C9F"/>
    <w:rsid w:val="00A0705E"/>
    <w:rsid w:val="00A11EBD"/>
    <w:rsid w:val="00A13A18"/>
    <w:rsid w:val="00A1686B"/>
    <w:rsid w:val="00A17C78"/>
    <w:rsid w:val="00A268B2"/>
    <w:rsid w:val="00A27ED2"/>
    <w:rsid w:val="00A336DC"/>
    <w:rsid w:val="00A3409D"/>
    <w:rsid w:val="00A3505F"/>
    <w:rsid w:val="00A36C39"/>
    <w:rsid w:val="00A4108B"/>
    <w:rsid w:val="00A449FC"/>
    <w:rsid w:val="00A476C3"/>
    <w:rsid w:val="00A60797"/>
    <w:rsid w:val="00A63F5E"/>
    <w:rsid w:val="00A64858"/>
    <w:rsid w:val="00A655A5"/>
    <w:rsid w:val="00A655E8"/>
    <w:rsid w:val="00A65C23"/>
    <w:rsid w:val="00A6717C"/>
    <w:rsid w:val="00A83050"/>
    <w:rsid w:val="00A86177"/>
    <w:rsid w:val="00A908BD"/>
    <w:rsid w:val="00A92339"/>
    <w:rsid w:val="00A93243"/>
    <w:rsid w:val="00A96842"/>
    <w:rsid w:val="00AA0A82"/>
    <w:rsid w:val="00AA530A"/>
    <w:rsid w:val="00AB2377"/>
    <w:rsid w:val="00AB5CE1"/>
    <w:rsid w:val="00AB68BA"/>
    <w:rsid w:val="00AB6D2E"/>
    <w:rsid w:val="00AC48D1"/>
    <w:rsid w:val="00AC724D"/>
    <w:rsid w:val="00AD7E2A"/>
    <w:rsid w:val="00AE0B0C"/>
    <w:rsid w:val="00AE1B3F"/>
    <w:rsid w:val="00AE5422"/>
    <w:rsid w:val="00AE5F9C"/>
    <w:rsid w:val="00AE6E1A"/>
    <w:rsid w:val="00AF14F1"/>
    <w:rsid w:val="00AF1B85"/>
    <w:rsid w:val="00AF36B3"/>
    <w:rsid w:val="00AF41B4"/>
    <w:rsid w:val="00B01D2F"/>
    <w:rsid w:val="00B022EE"/>
    <w:rsid w:val="00B027E5"/>
    <w:rsid w:val="00B0350F"/>
    <w:rsid w:val="00B053D3"/>
    <w:rsid w:val="00B12A7F"/>
    <w:rsid w:val="00B14A92"/>
    <w:rsid w:val="00B17C27"/>
    <w:rsid w:val="00B21855"/>
    <w:rsid w:val="00B226EA"/>
    <w:rsid w:val="00B232FF"/>
    <w:rsid w:val="00B2355F"/>
    <w:rsid w:val="00B249EA"/>
    <w:rsid w:val="00B33545"/>
    <w:rsid w:val="00B3744B"/>
    <w:rsid w:val="00B4640F"/>
    <w:rsid w:val="00B4648A"/>
    <w:rsid w:val="00B50A02"/>
    <w:rsid w:val="00B534D3"/>
    <w:rsid w:val="00B54AC0"/>
    <w:rsid w:val="00B558EB"/>
    <w:rsid w:val="00B615A4"/>
    <w:rsid w:val="00B6734F"/>
    <w:rsid w:val="00B67D6D"/>
    <w:rsid w:val="00B71891"/>
    <w:rsid w:val="00B8596D"/>
    <w:rsid w:val="00B86A96"/>
    <w:rsid w:val="00B87A59"/>
    <w:rsid w:val="00B9169C"/>
    <w:rsid w:val="00B91D39"/>
    <w:rsid w:val="00B932C6"/>
    <w:rsid w:val="00B94954"/>
    <w:rsid w:val="00B97D67"/>
    <w:rsid w:val="00BA02CF"/>
    <w:rsid w:val="00BA6B91"/>
    <w:rsid w:val="00BB0155"/>
    <w:rsid w:val="00BB132A"/>
    <w:rsid w:val="00BB4D90"/>
    <w:rsid w:val="00BC35D4"/>
    <w:rsid w:val="00BC632D"/>
    <w:rsid w:val="00BD3014"/>
    <w:rsid w:val="00BD3E2E"/>
    <w:rsid w:val="00BD48E6"/>
    <w:rsid w:val="00BD55EC"/>
    <w:rsid w:val="00BE0E8B"/>
    <w:rsid w:val="00BE7926"/>
    <w:rsid w:val="00BF0733"/>
    <w:rsid w:val="00BF1990"/>
    <w:rsid w:val="00BF33D6"/>
    <w:rsid w:val="00BF5C92"/>
    <w:rsid w:val="00BF711E"/>
    <w:rsid w:val="00BF7271"/>
    <w:rsid w:val="00C00012"/>
    <w:rsid w:val="00C00F2B"/>
    <w:rsid w:val="00C06CD3"/>
    <w:rsid w:val="00C072DD"/>
    <w:rsid w:val="00C101C7"/>
    <w:rsid w:val="00C10521"/>
    <w:rsid w:val="00C11845"/>
    <w:rsid w:val="00C1510E"/>
    <w:rsid w:val="00C16C76"/>
    <w:rsid w:val="00C175AD"/>
    <w:rsid w:val="00C17D90"/>
    <w:rsid w:val="00C31E46"/>
    <w:rsid w:val="00C3362B"/>
    <w:rsid w:val="00C35069"/>
    <w:rsid w:val="00C3703C"/>
    <w:rsid w:val="00C4024C"/>
    <w:rsid w:val="00C43D47"/>
    <w:rsid w:val="00C44A52"/>
    <w:rsid w:val="00C45E1B"/>
    <w:rsid w:val="00C4778B"/>
    <w:rsid w:val="00C47C23"/>
    <w:rsid w:val="00C61383"/>
    <w:rsid w:val="00C6253D"/>
    <w:rsid w:val="00C62918"/>
    <w:rsid w:val="00C62E18"/>
    <w:rsid w:val="00C6343D"/>
    <w:rsid w:val="00C648DF"/>
    <w:rsid w:val="00C7344E"/>
    <w:rsid w:val="00C73647"/>
    <w:rsid w:val="00C80BD3"/>
    <w:rsid w:val="00C81697"/>
    <w:rsid w:val="00C81DDC"/>
    <w:rsid w:val="00C830E3"/>
    <w:rsid w:val="00C83C51"/>
    <w:rsid w:val="00C86BCF"/>
    <w:rsid w:val="00C92A24"/>
    <w:rsid w:val="00CA0014"/>
    <w:rsid w:val="00CA00A4"/>
    <w:rsid w:val="00CA24D8"/>
    <w:rsid w:val="00CA27DA"/>
    <w:rsid w:val="00CA3E11"/>
    <w:rsid w:val="00CB4D05"/>
    <w:rsid w:val="00CB74BC"/>
    <w:rsid w:val="00CC23F7"/>
    <w:rsid w:val="00CC79AF"/>
    <w:rsid w:val="00CD63EA"/>
    <w:rsid w:val="00CE0C24"/>
    <w:rsid w:val="00CE1338"/>
    <w:rsid w:val="00CE5C0D"/>
    <w:rsid w:val="00CF360B"/>
    <w:rsid w:val="00CF5E61"/>
    <w:rsid w:val="00CF6589"/>
    <w:rsid w:val="00D020CB"/>
    <w:rsid w:val="00D06738"/>
    <w:rsid w:val="00D12C87"/>
    <w:rsid w:val="00D13B6F"/>
    <w:rsid w:val="00D13E52"/>
    <w:rsid w:val="00D25536"/>
    <w:rsid w:val="00D302F0"/>
    <w:rsid w:val="00D30A8F"/>
    <w:rsid w:val="00D3108C"/>
    <w:rsid w:val="00D33F11"/>
    <w:rsid w:val="00D356C9"/>
    <w:rsid w:val="00D361AF"/>
    <w:rsid w:val="00D42A45"/>
    <w:rsid w:val="00D45B2A"/>
    <w:rsid w:val="00D5466B"/>
    <w:rsid w:val="00D566DD"/>
    <w:rsid w:val="00D60DFB"/>
    <w:rsid w:val="00D61B66"/>
    <w:rsid w:val="00D62C53"/>
    <w:rsid w:val="00D62EDA"/>
    <w:rsid w:val="00D650BA"/>
    <w:rsid w:val="00D73E9C"/>
    <w:rsid w:val="00D74A9A"/>
    <w:rsid w:val="00D96808"/>
    <w:rsid w:val="00D9794D"/>
    <w:rsid w:val="00D97CA4"/>
    <w:rsid w:val="00DA0E1D"/>
    <w:rsid w:val="00DA4CB2"/>
    <w:rsid w:val="00DA4D59"/>
    <w:rsid w:val="00DA6C75"/>
    <w:rsid w:val="00DA7BAC"/>
    <w:rsid w:val="00DB4CD6"/>
    <w:rsid w:val="00DB656F"/>
    <w:rsid w:val="00DC4527"/>
    <w:rsid w:val="00DC5458"/>
    <w:rsid w:val="00DC625E"/>
    <w:rsid w:val="00DC6F4A"/>
    <w:rsid w:val="00DD31C9"/>
    <w:rsid w:val="00DD3707"/>
    <w:rsid w:val="00DD6B52"/>
    <w:rsid w:val="00DD7612"/>
    <w:rsid w:val="00DD7DDB"/>
    <w:rsid w:val="00DE16D1"/>
    <w:rsid w:val="00DE4541"/>
    <w:rsid w:val="00DF0BA2"/>
    <w:rsid w:val="00DF111B"/>
    <w:rsid w:val="00DF183E"/>
    <w:rsid w:val="00DF3329"/>
    <w:rsid w:val="00DF468F"/>
    <w:rsid w:val="00DF7AF9"/>
    <w:rsid w:val="00E0466C"/>
    <w:rsid w:val="00E04CA6"/>
    <w:rsid w:val="00E05341"/>
    <w:rsid w:val="00E053E5"/>
    <w:rsid w:val="00E0549C"/>
    <w:rsid w:val="00E13B0B"/>
    <w:rsid w:val="00E154E4"/>
    <w:rsid w:val="00E165B8"/>
    <w:rsid w:val="00E372DB"/>
    <w:rsid w:val="00E41539"/>
    <w:rsid w:val="00E4253C"/>
    <w:rsid w:val="00E45430"/>
    <w:rsid w:val="00E551AE"/>
    <w:rsid w:val="00E55D3B"/>
    <w:rsid w:val="00E56EC1"/>
    <w:rsid w:val="00E609F3"/>
    <w:rsid w:val="00E61D0A"/>
    <w:rsid w:val="00E7186E"/>
    <w:rsid w:val="00E75161"/>
    <w:rsid w:val="00E82E75"/>
    <w:rsid w:val="00E849D0"/>
    <w:rsid w:val="00E86445"/>
    <w:rsid w:val="00E86D8F"/>
    <w:rsid w:val="00E87D56"/>
    <w:rsid w:val="00E91B94"/>
    <w:rsid w:val="00EA0C18"/>
    <w:rsid w:val="00EA26DD"/>
    <w:rsid w:val="00EA37AF"/>
    <w:rsid w:val="00EA50CA"/>
    <w:rsid w:val="00EB24B8"/>
    <w:rsid w:val="00EC18B6"/>
    <w:rsid w:val="00EC5472"/>
    <w:rsid w:val="00ED0A6A"/>
    <w:rsid w:val="00ED67EB"/>
    <w:rsid w:val="00EE306D"/>
    <w:rsid w:val="00EF4DBD"/>
    <w:rsid w:val="00EF7588"/>
    <w:rsid w:val="00F0047B"/>
    <w:rsid w:val="00F031C4"/>
    <w:rsid w:val="00F15C39"/>
    <w:rsid w:val="00F24D98"/>
    <w:rsid w:val="00F270A2"/>
    <w:rsid w:val="00F362B3"/>
    <w:rsid w:val="00F36DDB"/>
    <w:rsid w:val="00F401D0"/>
    <w:rsid w:val="00F44427"/>
    <w:rsid w:val="00F455F0"/>
    <w:rsid w:val="00F516E2"/>
    <w:rsid w:val="00F55764"/>
    <w:rsid w:val="00F5616E"/>
    <w:rsid w:val="00F63899"/>
    <w:rsid w:val="00F712D9"/>
    <w:rsid w:val="00F72913"/>
    <w:rsid w:val="00F74ABF"/>
    <w:rsid w:val="00F772AA"/>
    <w:rsid w:val="00F819EF"/>
    <w:rsid w:val="00F81DC4"/>
    <w:rsid w:val="00F84ACE"/>
    <w:rsid w:val="00F8617D"/>
    <w:rsid w:val="00F945E4"/>
    <w:rsid w:val="00F9560C"/>
    <w:rsid w:val="00F969A4"/>
    <w:rsid w:val="00FA5112"/>
    <w:rsid w:val="00FB095A"/>
    <w:rsid w:val="00FB1FF3"/>
    <w:rsid w:val="00FB2099"/>
    <w:rsid w:val="00FB6BD2"/>
    <w:rsid w:val="00FC3DAC"/>
    <w:rsid w:val="00FC54D7"/>
    <w:rsid w:val="00FC6CEA"/>
    <w:rsid w:val="00FD4633"/>
    <w:rsid w:val="00FD67D2"/>
    <w:rsid w:val="00FD6DF6"/>
    <w:rsid w:val="00FE3111"/>
    <w:rsid w:val="00FE48BA"/>
    <w:rsid w:val="00FE500B"/>
    <w:rsid w:val="00FE57F3"/>
    <w:rsid w:val="00FE61EB"/>
    <w:rsid w:val="00FE7751"/>
    <w:rsid w:val="00FF40A4"/>
    <w:rsid w:val="00FF55E5"/>
    <w:rsid w:val="00FF7597"/>
    <w:rsid w:val="05701CC9"/>
    <w:rsid w:val="05AF7FBC"/>
    <w:rsid w:val="081A51B8"/>
    <w:rsid w:val="08637242"/>
    <w:rsid w:val="0BFA596E"/>
    <w:rsid w:val="0E95024F"/>
    <w:rsid w:val="0F2545E2"/>
    <w:rsid w:val="113A6479"/>
    <w:rsid w:val="11C74504"/>
    <w:rsid w:val="1352335A"/>
    <w:rsid w:val="14993A6D"/>
    <w:rsid w:val="173654E3"/>
    <w:rsid w:val="19070200"/>
    <w:rsid w:val="19B8749F"/>
    <w:rsid w:val="1AD44973"/>
    <w:rsid w:val="1C63741B"/>
    <w:rsid w:val="1E3749AA"/>
    <w:rsid w:val="1F32239B"/>
    <w:rsid w:val="210D081D"/>
    <w:rsid w:val="213D0A56"/>
    <w:rsid w:val="233B179D"/>
    <w:rsid w:val="248852C8"/>
    <w:rsid w:val="24C63E4A"/>
    <w:rsid w:val="24FA60E8"/>
    <w:rsid w:val="270748AE"/>
    <w:rsid w:val="277948F9"/>
    <w:rsid w:val="28B346A6"/>
    <w:rsid w:val="29CA5959"/>
    <w:rsid w:val="2B3B4E69"/>
    <w:rsid w:val="2D4522EE"/>
    <w:rsid w:val="303205CF"/>
    <w:rsid w:val="3300497D"/>
    <w:rsid w:val="370D1DBE"/>
    <w:rsid w:val="37432933"/>
    <w:rsid w:val="38755F20"/>
    <w:rsid w:val="3A080458"/>
    <w:rsid w:val="3AB916A2"/>
    <w:rsid w:val="3B35775B"/>
    <w:rsid w:val="3D101490"/>
    <w:rsid w:val="3D5177DD"/>
    <w:rsid w:val="3DA14570"/>
    <w:rsid w:val="3E2E5F96"/>
    <w:rsid w:val="4392634A"/>
    <w:rsid w:val="45363A76"/>
    <w:rsid w:val="481B7A82"/>
    <w:rsid w:val="4A67155E"/>
    <w:rsid w:val="4B367E3D"/>
    <w:rsid w:val="500933CF"/>
    <w:rsid w:val="50A17C8F"/>
    <w:rsid w:val="50C8244B"/>
    <w:rsid w:val="51BC470E"/>
    <w:rsid w:val="55363AA4"/>
    <w:rsid w:val="569922F3"/>
    <w:rsid w:val="5B9F3C43"/>
    <w:rsid w:val="5C3024E2"/>
    <w:rsid w:val="5DD16555"/>
    <w:rsid w:val="5DDA6A2B"/>
    <w:rsid w:val="5F24229B"/>
    <w:rsid w:val="60C400B6"/>
    <w:rsid w:val="666C6FF8"/>
    <w:rsid w:val="667423FF"/>
    <w:rsid w:val="69FE054B"/>
    <w:rsid w:val="6BF843BF"/>
    <w:rsid w:val="70A65C03"/>
    <w:rsid w:val="774D6C08"/>
    <w:rsid w:val="78172C7D"/>
    <w:rsid w:val="78EE0648"/>
    <w:rsid w:val="79D02D4A"/>
    <w:rsid w:val="79D669D8"/>
    <w:rsid w:val="79E95B3F"/>
    <w:rsid w:val="7EEE7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3"/>
    <w:qFormat/>
    <w:uiPriority w:val="0"/>
    <w:pPr>
      <w:keepNext/>
      <w:numPr>
        <w:ilvl w:val="0"/>
        <w:numId w:val="1"/>
      </w:numPr>
      <w:spacing w:line="360" w:lineRule="auto"/>
      <w:jc w:val="center"/>
      <w:outlineLvl w:val="0"/>
    </w:pPr>
    <w:rPr>
      <w:rFonts w:ascii="黑体" w:hAnsi="Times New Roman" w:eastAsia="黑体" w:cs="Times New Roman"/>
      <w:b/>
      <w:sz w:val="32"/>
      <w:szCs w:val="20"/>
    </w:rPr>
  </w:style>
  <w:style w:type="paragraph" w:styleId="4">
    <w:name w:val="heading 2"/>
    <w:basedOn w:val="1"/>
    <w:next w:val="1"/>
    <w:link w:val="85"/>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5">
    <w:name w:val="heading 3"/>
    <w:basedOn w:val="1"/>
    <w:next w:val="1"/>
    <w:link w:val="71"/>
    <w:qFormat/>
    <w:uiPriority w:val="0"/>
    <w:pPr>
      <w:keepNext/>
      <w:keepLines/>
      <w:numPr>
        <w:ilvl w:val="2"/>
        <w:numId w:val="2"/>
      </w:numPr>
      <w:tabs>
        <w:tab w:val="left" w:pos="709"/>
      </w:tabs>
      <w:spacing w:line="360" w:lineRule="auto"/>
      <w:outlineLvl w:val="2"/>
    </w:pPr>
    <w:rPr>
      <w:rFonts w:ascii="宋体" w:hAnsi="宋体" w:eastAsia="宋体" w:cs="Times New Roman"/>
      <w:sz w:val="24"/>
      <w:szCs w:val="32"/>
    </w:rPr>
  </w:style>
  <w:style w:type="paragraph" w:styleId="6">
    <w:name w:val="heading 4"/>
    <w:basedOn w:val="1"/>
    <w:next w:val="1"/>
    <w:link w:val="74"/>
    <w:qFormat/>
    <w:uiPriority w:val="0"/>
    <w:pPr>
      <w:keepNext/>
      <w:numPr>
        <w:ilvl w:val="0"/>
        <w:numId w:val="3"/>
      </w:numPr>
      <w:tabs>
        <w:tab w:val="left" w:pos="360"/>
      </w:tabs>
      <w:spacing w:line="360" w:lineRule="auto"/>
      <w:ind w:left="0" w:firstLine="0"/>
      <w:outlineLvl w:val="3"/>
    </w:pPr>
    <w:rPr>
      <w:rFonts w:ascii="黑体" w:hAnsi="Times New Roman" w:eastAsia="黑体" w:cs="Times New Roman"/>
      <w:b/>
      <w:szCs w:val="24"/>
    </w:rPr>
  </w:style>
  <w:style w:type="paragraph" w:styleId="7">
    <w:name w:val="heading 5"/>
    <w:basedOn w:val="1"/>
    <w:next w:val="1"/>
    <w:link w:val="77"/>
    <w:qFormat/>
    <w:uiPriority w:val="0"/>
    <w:pPr>
      <w:keepNext/>
      <w:keepLines/>
      <w:widowControl/>
      <w:tabs>
        <w:tab w:val="left" w:pos="1008"/>
      </w:tabs>
      <w:spacing w:before="280" w:after="290" w:line="376" w:lineRule="auto"/>
      <w:ind w:left="1008" w:hanging="1008"/>
      <w:jc w:val="left"/>
      <w:outlineLvl w:val="4"/>
    </w:pPr>
    <w:rPr>
      <w:rFonts w:ascii="Times New Roman" w:hAnsi="Times New Roman" w:eastAsia="宋体" w:cs="Times New Roman"/>
      <w:b/>
      <w:bCs/>
      <w:kern w:val="0"/>
      <w:sz w:val="28"/>
      <w:szCs w:val="28"/>
    </w:rPr>
  </w:style>
  <w:style w:type="paragraph" w:styleId="8">
    <w:name w:val="heading 6"/>
    <w:basedOn w:val="1"/>
    <w:next w:val="1"/>
    <w:link w:val="66"/>
    <w:qFormat/>
    <w:uiPriority w:val="0"/>
    <w:pPr>
      <w:keepNext/>
      <w:keepLines/>
      <w:widowControl/>
      <w:tabs>
        <w:tab w:val="left" w:pos="1152"/>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63"/>
    <w:qFormat/>
    <w:uiPriority w:val="0"/>
    <w:pPr>
      <w:keepNext/>
      <w:keepLines/>
      <w:widowControl/>
      <w:tabs>
        <w:tab w:val="left" w:pos="1296"/>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10">
    <w:name w:val="heading 8"/>
    <w:basedOn w:val="1"/>
    <w:next w:val="1"/>
    <w:link w:val="8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88"/>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2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样式 正文缩进 + 首行缩进:  2 字符 + 首行缩进:  2 字符"/>
    <w:basedOn w:val="1"/>
    <w:qFormat/>
    <w:uiPriority w:val="0"/>
    <w:pPr>
      <w:adjustRightInd w:val="0"/>
      <w:ind w:firstLine="200"/>
      <w:textAlignment w:val="baseline"/>
    </w:pPr>
    <w:rPr>
      <w:rFonts w:cs="宋体"/>
      <w:sz w:val="28"/>
    </w:rPr>
  </w:style>
  <w:style w:type="paragraph" w:styleId="12">
    <w:name w:val="toc 7"/>
    <w:basedOn w:val="1"/>
    <w:next w:val="1"/>
    <w:unhideWhenUsed/>
    <w:qFormat/>
    <w:uiPriority w:val="39"/>
    <w:pPr>
      <w:ind w:left="2520" w:leftChars="1200"/>
    </w:pPr>
    <w:rPr>
      <w:rFonts w:ascii="Calibri" w:hAnsi="Calibri" w:eastAsia="宋体" w:cs="Times New Roman"/>
    </w:rPr>
  </w:style>
  <w:style w:type="paragraph" w:styleId="13">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98"/>
    <w:qFormat/>
    <w:uiPriority w:val="0"/>
    <w:rPr>
      <w:rFonts w:ascii="宋体" w:hAnsi="Times New Roman" w:eastAsia="宋体" w:cs="Times New Roman"/>
      <w:kern w:val="0"/>
      <w:sz w:val="18"/>
      <w:szCs w:val="18"/>
    </w:rPr>
  </w:style>
  <w:style w:type="paragraph" w:styleId="15">
    <w:name w:val="annotation text"/>
    <w:basedOn w:val="1"/>
    <w:link w:val="87"/>
    <w:qFormat/>
    <w:uiPriority w:val="0"/>
    <w:pPr>
      <w:jc w:val="left"/>
    </w:pPr>
    <w:rPr>
      <w:rFonts w:ascii="Times New Roman" w:hAnsi="Times New Roman" w:eastAsia="宋体" w:cs="Times New Roman"/>
      <w:szCs w:val="24"/>
    </w:rPr>
  </w:style>
  <w:style w:type="paragraph" w:styleId="16">
    <w:name w:val="Body Text"/>
    <w:basedOn w:val="1"/>
    <w:link w:val="80"/>
    <w:qFormat/>
    <w:uiPriority w:val="0"/>
    <w:rPr>
      <w:rFonts w:ascii="宋体" w:hAnsi="宋体" w:eastAsia="宋体" w:cs="Times New Roman"/>
      <w:kern w:val="0"/>
      <w:sz w:val="28"/>
      <w:szCs w:val="24"/>
    </w:rPr>
  </w:style>
  <w:style w:type="paragraph" w:styleId="17">
    <w:name w:val="Body Text Indent"/>
    <w:basedOn w:val="1"/>
    <w:link w:val="91"/>
    <w:unhideWhenUsed/>
    <w:qFormat/>
    <w:uiPriority w:val="0"/>
    <w:pPr>
      <w:spacing w:after="120"/>
      <w:ind w:left="420" w:leftChars="200"/>
    </w:pPr>
    <w:rPr>
      <w:rFonts w:ascii="Calibri" w:hAnsi="Calibri" w:eastAsia="宋体" w:cs="Times New Roman"/>
      <w:kern w:val="0"/>
      <w:sz w:val="20"/>
      <w:szCs w:val="20"/>
    </w:rPr>
  </w:style>
  <w:style w:type="paragraph" w:styleId="18">
    <w:name w:val="toc 5"/>
    <w:basedOn w:val="1"/>
    <w:next w:val="1"/>
    <w:unhideWhenUsed/>
    <w:qFormat/>
    <w:uiPriority w:val="39"/>
    <w:pPr>
      <w:ind w:left="1680" w:leftChars="800"/>
    </w:pPr>
    <w:rPr>
      <w:rFonts w:ascii="Calibri" w:hAnsi="Calibri" w:eastAsia="宋体" w:cs="Times New Roman"/>
    </w:rPr>
  </w:style>
  <w:style w:type="paragraph" w:styleId="19">
    <w:name w:val="toc 3"/>
    <w:basedOn w:val="1"/>
    <w:next w:val="1"/>
    <w:unhideWhenUsed/>
    <w:qFormat/>
    <w:uiPriority w:val="39"/>
    <w:pPr>
      <w:ind w:left="420"/>
      <w:jc w:val="left"/>
    </w:pPr>
    <w:rPr>
      <w:rFonts w:ascii="Calibri" w:hAnsi="Calibri" w:eastAsia="宋体" w:cs="Times New Roman"/>
      <w:i/>
      <w:iCs/>
      <w:sz w:val="20"/>
      <w:szCs w:val="20"/>
    </w:rPr>
  </w:style>
  <w:style w:type="paragraph" w:styleId="20">
    <w:name w:val="Plain Text"/>
    <w:basedOn w:val="1"/>
    <w:link w:val="92"/>
    <w:unhideWhenUsed/>
    <w:qFormat/>
    <w:uiPriority w:val="0"/>
    <w:rPr>
      <w:rFonts w:ascii="宋体" w:hAnsi="Courier New"/>
      <w:kern w:val="0"/>
      <w:sz w:val="20"/>
      <w:szCs w:val="21"/>
    </w:rPr>
  </w:style>
  <w:style w:type="paragraph" w:styleId="21">
    <w:name w:val="toc 8"/>
    <w:basedOn w:val="1"/>
    <w:next w:val="1"/>
    <w:unhideWhenUsed/>
    <w:qFormat/>
    <w:uiPriority w:val="39"/>
    <w:pPr>
      <w:ind w:left="2940" w:leftChars="1400"/>
    </w:pPr>
    <w:rPr>
      <w:rFonts w:ascii="Calibri" w:hAnsi="Calibri" w:eastAsia="宋体" w:cs="Times New Roman"/>
    </w:rPr>
  </w:style>
  <w:style w:type="paragraph" w:styleId="22">
    <w:name w:val="Date"/>
    <w:basedOn w:val="1"/>
    <w:next w:val="1"/>
    <w:link w:val="97"/>
    <w:qFormat/>
    <w:uiPriority w:val="0"/>
    <w:pPr>
      <w:ind w:left="100" w:leftChars="2500" w:firstLine="425"/>
    </w:pPr>
    <w:rPr>
      <w:rFonts w:ascii="黑体" w:hAnsi="Times New Roman" w:eastAsia="黑体" w:cs="Times New Roman"/>
      <w:b/>
      <w:color w:val="000000"/>
      <w:kern w:val="0"/>
      <w:sz w:val="36"/>
      <w:szCs w:val="20"/>
    </w:rPr>
  </w:style>
  <w:style w:type="paragraph" w:styleId="23">
    <w:name w:val="Body Text Indent 2"/>
    <w:basedOn w:val="1"/>
    <w:link w:val="61"/>
    <w:unhideWhenUsed/>
    <w:qFormat/>
    <w:uiPriority w:val="0"/>
    <w:pPr>
      <w:spacing w:line="360" w:lineRule="auto"/>
      <w:ind w:left="1260"/>
    </w:pPr>
    <w:rPr>
      <w:rFonts w:ascii="宋体"/>
      <w:kern w:val="0"/>
      <w:sz w:val="20"/>
      <w:szCs w:val="20"/>
    </w:rPr>
  </w:style>
  <w:style w:type="paragraph" w:styleId="24">
    <w:name w:val="Balloon Text"/>
    <w:basedOn w:val="1"/>
    <w:link w:val="67"/>
    <w:unhideWhenUsed/>
    <w:qFormat/>
    <w:uiPriority w:val="0"/>
    <w:rPr>
      <w:rFonts w:ascii="Calibri" w:hAnsi="Calibri" w:eastAsia="宋体" w:cs="Times New Roman"/>
      <w:kern w:val="0"/>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120" w:after="120"/>
      <w:jc w:val="left"/>
    </w:pPr>
    <w:rPr>
      <w:rFonts w:ascii="Calibri" w:hAnsi="Calibri" w:eastAsia="宋体" w:cs="Times New Roman"/>
      <w:b/>
      <w:bCs/>
      <w:caps/>
      <w:sz w:val="28"/>
      <w:szCs w:val="20"/>
    </w:rPr>
  </w:style>
  <w:style w:type="paragraph" w:styleId="28">
    <w:name w:val="toc 4"/>
    <w:basedOn w:val="1"/>
    <w:next w:val="1"/>
    <w:unhideWhenUsed/>
    <w:qFormat/>
    <w:uiPriority w:val="39"/>
    <w:pPr>
      <w:ind w:left="1260" w:leftChars="600"/>
    </w:pPr>
    <w:rPr>
      <w:rFonts w:ascii="Calibri" w:hAnsi="Calibri" w:eastAsia="宋体" w:cs="Times New Roman"/>
    </w:rPr>
  </w:style>
  <w:style w:type="paragraph" w:styleId="29">
    <w:name w:val="index heading"/>
    <w:basedOn w:val="1"/>
    <w:next w:val="30"/>
    <w:semiHidden/>
    <w:qFormat/>
    <w:uiPriority w:val="0"/>
    <w:rPr>
      <w:rFonts w:ascii="Times New Roman" w:hAnsi="Times New Roman" w:eastAsia="宋体" w:cs="Times New Roman"/>
      <w:szCs w:val="24"/>
    </w:rPr>
  </w:style>
  <w:style w:type="paragraph" w:styleId="30">
    <w:name w:val="index 1"/>
    <w:basedOn w:val="1"/>
    <w:next w:val="1"/>
    <w:unhideWhenUsed/>
    <w:qFormat/>
    <w:uiPriority w:val="0"/>
    <w:rPr>
      <w:rFonts w:ascii="Calibri" w:hAnsi="Calibri" w:eastAsia="宋体" w:cs="Times New Roman"/>
    </w:rPr>
  </w:style>
  <w:style w:type="paragraph" w:styleId="31">
    <w:name w:val="toc 6"/>
    <w:basedOn w:val="1"/>
    <w:next w:val="1"/>
    <w:unhideWhenUsed/>
    <w:qFormat/>
    <w:uiPriority w:val="39"/>
    <w:pPr>
      <w:ind w:left="1050"/>
      <w:jc w:val="left"/>
    </w:pPr>
    <w:rPr>
      <w:rFonts w:ascii="Calibri" w:hAnsi="Calibri" w:eastAsia="宋体" w:cs="Times New Roman"/>
      <w:sz w:val="18"/>
      <w:szCs w:val="18"/>
    </w:rPr>
  </w:style>
  <w:style w:type="paragraph" w:styleId="32">
    <w:name w:val="Body Text Indent 3"/>
    <w:basedOn w:val="1"/>
    <w:link w:val="96"/>
    <w:unhideWhenUsed/>
    <w:qFormat/>
    <w:uiPriority w:val="0"/>
    <w:pPr>
      <w:spacing w:after="120"/>
      <w:ind w:left="420" w:leftChars="200"/>
    </w:pPr>
    <w:rPr>
      <w:rFonts w:ascii="Calibri" w:hAnsi="Calibri" w:eastAsia="宋体" w:cs="Times New Roman"/>
      <w:kern w:val="0"/>
      <w:sz w:val="16"/>
      <w:szCs w:val="16"/>
    </w:rPr>
  </w:style>
  <w:style w:type="paragraph" w:styleId="33">
    <w:name w:val="toc 2"/>
    <w:basedOn w:val="1"/>
    <w:next w:val="1"/>
    <w:unhideWhenUsed/>
    <w:qFormat/>
    <w:uiPriority w:val="39"/>
    <w:pPr>
      <w:tabs>
        <w:tab w:val="right" w:leader="dot" w:pos="8398"/>
      </w:tabs>
      <w:spacing w:line="360" w:lineRule="auto"/>
      <w:ind w:left="210"/>
      <w:jc w:val="center"/>
    </w:pPr>
    <w:rPr>
      <w:rFonts w:ascii="宋体" w:hAnsi="宋体" w:eastAsia="宋体" w:cs="Times New Roman"/>
      <w:b/>
      <w:bCs/>
      <w:smallCaps/>
      <w:szCs w:val="21"/>
    </w:rPr>
  </w:style>
  <w:style w:type="paragraph" w:styleId="34">
    <w:name w:val="toc 9"/>
    <w:basedOn w:val="1"/>
    <w:next w:val="1"/>
    <w:unhideWhenUsed/>
    <w:qFormat/>
    <w:uiPriority w:val="39"/>
    <w:pPr>
      <w:ind w:left="3360" w:leftChars="1600"/>
    </w:pPr>
    <w:rPr>
      <w:rFonts w:ascii="Calibri" w:hAnsi="Calibri" w:eastAsia="宋体" w:cs="Times New Roman"/>
    </w:rPr>
  </w:style>
  <w:style w:type="paragraph" w:styleId="35">
    <w:name w:val="Body Text 2"/>
    <w:basedOn w:val="1"/>
    <w:link w:val="90"/>
    <w:qFormat/>
    <w:uiPriority w:val="0"/>
    <w:pPr>
      <w:widowControl/>
      <w:snapToGrid w:val="0"/>
      <w:spacing w:line="360" w:lineRule="auto"/>
      <w:jc w:val="left"/>
    </w:pPr>
    <w:rPr>
      <w:rFonts w:ascii="宋体" w:hAnsi="宋体" w:eastAsia="宋体" w:cs="Times New Roman"/>
      <w:kern w:val="0"/>
      <w:sz w:val="24"/>
      <w:szCs w:val="18"/>
    </w:rPr>
  </w:style>
  <w:style w:type="paragraph" w:styleId="36">
    <w:name w:val="HTML Preformatted"/>
    <w:basedOn w:val="1"/>
    <w:link w:val="9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7">
    <w:name w:val="Normal (Web)"/>
    <w:basedOn w:val="1"/>
    <w:unhideWhenUsed/>
    <w:qFormat/>
    <w:uiPriority w:val="99"/>
    <w:pPr>
      <w:widowControl/>
      <w:jc w:val="left"/>
    </w:pPr>
    <w:rPr>
      <w:rFonts w:ascii="宋体" w:hAnsi="宋体" w:cs="宋体"/>
      <w:kern w:val="0"/>
      <w:sz w:val="24"/>
    </w:rPr>
  </w:style>
  <w:style w:type="paragraph" w:styleId="38">
    <w:name w:val="annotation subject"/>
    <w:basedOn w:val="15"/>
    <w:next w:val="15"/>
    <w:link w:val="86"/>
    <w:unhideWhenUsed/>
    <w:qFormat/>
    <w:uiPriority w:val="99"/>
    <w:rPr>
      <w:b/>
      <w:bCs/>
      <w:szCs w:val="22"/>
    </w:rPr>
  </w:style>
  <w:style w:type="table" w:styleId="40">
    <w:name w:val="Table Grid"/>
    <w:basedOn w:val="3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2">
    <w:name w:val="Strong"/>
    <w:qFormat/>
    <w:uiPriority w:val="22"/>
    <w:rPr>
      <w:b/>
      <w:bCs/>
    </w:rPr>
  </w:style>
  <w:style w:type="character" w:styleId="43">
    <w:name w:val="page number"/>
    <w:qFormat/>
    <w:uiPriority w:val="0"/>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页眉 字符"/>
    <w:basedOn w:val="41"/>
    <w:link w:val="26"/>
    <w:qFormat/>
    <w:uiPriority w:val="99"/>
    <w:rPr>
      <w:sz w:val="18"/>
      <w:szCs w:val="18"/>
    </w:rPr>
  </w:style>
  <w:style w:type="character" w:customStyle="1" w:styleId="48">
    <w:name w:val="页脚 字符"/>
    <w:basedOn w:val="41"/>
    <w:link w:val="25"/>
    <w:qFormat/>
    <w:uiPriority w:val="99"/>
    <w:rPr>
      <w:sz w:val="18"/>
      <w:szCs w:val="18"/>
    </w:rPr>
  </w:style>
  <w:style w:type="paragraph" w:customStyle="1" w:styleId="49">
    <w:name w:val="列出段落1"/>
    <w:basedOn w:val="1"/>
    <w:qFormat/>
    <w:uiPriority w:val="99"/>
    <w:pPr>
      <w:ind w:firstLine="420" w:firstLineChars="200"/>
    </w:pPr>
  </w:style>
  <w:style w:type="paragraph" w:styleId="50">
    <w:name w:val="List Paragraph"/>
    <w:basedOn w:val="1"/>
    <w:link w:val="65"/>
    <w:qFormat/>
    <w:uiPriority w:val="99"/>
    <w:pPr>
      <w:ind w:firstLine="420" w:firstLineChars="200"/>
    </w:pPr>
  </w:style>
  <w:style w:type="character" w:customStyle="1" w:styleId="51">
    <w:name w:val="标题 1 字符"/>
    <w:basedOn w:val="41"/>
    <w:qFormat/>
    <w:uiPriority w:val="9"/>
    <w:rPr>
      <w:rFonts w:asciiTheme="minorHAnsi" w:hAnsiTheme="minorHAnsi" w:eastAsiaTheme="minorEastAsia" w:cstheme="minorBidi"/>
      <w:b/>
      <w:bCs/>
      <w:kern w:val="44"/>
      <w:sz w:val="44"/>
      <w:szCs w:val="44"/>
    </w:rPr>
  </w:style>
  <w:style w:type="character" w:customStyle="1" w:styleId="52">
    <w:name w:val="标题 2 字符"/>
    <w:basedOn w:val="41"/>
    <w:semiHidden/>
    <w:qFormat/>
    <w:uiPriority w:val="9"/>
    <w:rPr>
      <w:rFonts w:asciiTheme="majorHAnsi" w:hAnsiTheme="majorHAnsi" w:eastAsiaTheme="majorEastAsia" w:cstheme="majorBidi"/>
      <w:b/>
      <w:bCs/>
      <w:kern w:val="2"/>
      <w:sz w:val="32"/>
      <w:szCs w:val="32"/>
    </w:rPr>
  </w:style>
  <w:style w:type="character" w:customStyle="1" w:styleId="53">
    <w:name w:val="标题 3 字符"/>
    <w:basedOn w:val="41"/>
    <w:semiHidden/>
    <w:qFormat/>
    <w:uiPriority w:val="9"/>
    <w:rPr>
      <w:rFonts w:asciiTheme="minorHAnsi" w:hAnsiTheme="minorHAnsi" w:eastAsiaTheme="minorEastAsia" w:cstheme="minorBidi"/>
      <w:b/>
      <w:bCs/>
      <w:kern w:val="2"/>
      <w:sz w:val="32"/>
      <w:szCs w:val="32"/>
    </w:rPr>
  </w:style>
  <w:style w:type="character" w:customStyle="1" w:styleId="54">
    <w:name w:val="标题 4 字符"/>
    <w:basedOn w:val="41"/>
    <w:semiHidden/>
    <w:qFormat/>
    <w:uiPriority w:val="9"/>
    <w:rPr>
      <w:rFonts w:asciiTheme="majorHAnsi" w:hAnsiTheme="majorHAnsi" w:eastAsiaTheme="majorEastAsia" w:cstheme="majorBidi"/>
      <w:b/>
      <w:bCs/>
      <w:kern w:val="2"/>
      <w:sz w:val="28"/>
      <w:szCs w:val="28"/>
    </w:rPr>
  </w:style>
  <w:style w:type="character" w:customStyle="1" w:styleId="55">
    <w:name w:val="标题 5 字符"/>
    <w:basedOn w:val="41"/>
    <w:semiHidden/>
    <w:qFormat/>
    <w:uiPriority w:val="9"/>
    <w:rPr>
      <w:rFonts w:asciiTheme="minorHAnsi" w:hAnsiTheme="minorHAnsi" w:eastAsiaTheme="minorEastAsia" w:cstheme="minorBidi"/>
      <w:b/>
      <w:bCs/>
      <w:kern w:val="2"/>
      <w:sz w:val="28"/>
      <w:szCs w:val="28"/>
    </w:rPr>
  </w:style>
  <w:style w:type="character" w:customStyle="1" w:styleId="56">
    <w:name w:val="标题 6 字符"/>
    <w:basedOn w:val="41"/>
    <w:qFormat/>
    <w:uiPriority w:val="0"/>
    <w:rPr>
      <w:rFonts w:asciiTheme="majorHAnsi" w:hAnsiTheme="majorHAnsi" w:eastAsiaTheme="majorEastAsia" w:cstheme="majorBidi"/>
      <w:b/>
      <w:bCs/>
      <w:kern w:val="2"/>
      <w:sz w:val="24"/>
      <w:szCs w:val="24"/>
    </w:rPr>
  </w:style>
  <w:style w:type="character" w:customStyle="1" w:styleId="57">
    <w:name w:val="标题 7 字符"/>
    <w:basedOn w:val="41"/>
    <w:semiHidden/>
    <w:qFormat/>
    <w:uiPriority w:val="9"/>
    <w:rPr>
      <w:rFonts w:asciiTheme="minorHAnsi" w:hAnsiTheme="minorHAnsi" w:eastAsiaTheme="minorEastAsia" w:cstheme="minorBidi"/>
      <w:b/>
      <w:bCs/>
      <w:kern w:val="2"/>
      <w:sz w:val="24"/>
      <w:szCs w:val="24"/>
    </w:rPr>
  </w:style>
  <w:style w:type="character" w:customStyle="1" w:styleId="58">
    <w:name w:val="标题 8 字符"/>
    <w:basedOn w:val="41"/>
    <w:semiHidden/>
    <w:qFormat/>
    <w:uiPriority w:val="9"/>
    <w:rPr>
      <w:rFonts w:asciiTheme="majorHAnsi" w:hAnsiTheme="majorHAnsi" w:eastAsiaTheme="majorEastAsia" w:cstheme="majorBidi"/>
      <w:kern w:val="2"/>
      <w:sz w:val="24"/>
      <w:szCs w:val="24"/>
    </w:rPr>
  </w:style>
  <w:style w:type="character" w:customStyle="1" w:styleId="59">
    <w:name w:val="标题 9 字符"/>
    <w:basedOn w:val="41"/>
    <w:semiHidden/>
    <w:qFormat/>
    <w:uiPriority w:val="9"/>
    <w:rPr>
      <w:rFonts w:asciiTheme="majorHAnsi" w:hAnsiTheme="majorHAnsi" w:eastAsiaTheme="majorEastAsia" w:cstheme="majorBidi"/>
      <w:kern w:val="2"/>
      <w:sz w:val="21"/>
      <w:szCs w:val="21"/>
    </w:rPr>
  </w:style>
  <w:style w:type="character" w:customStyle="1" w:styleId="60">
    <w:name w:val="页眉 Char"/>
    <w:qFormat/>
    <w:uiPriority w:val="99"/>
    <w:rPr>
      <w:rFonts w:ascii="Times New Roman" w:hAnsi="Times New Roman" w:eastAsia="宋体" w:cs="Times New Roman"/>
      <w:sz w:val="18"/>
      <w:szCs w:val="20"/>
    </w:rPr>
  </w:style>
  <w:style w:type="character" w:customStyle="1" w:styleId="61">
    <w:name w:val="正文文本缩进 2 字符"/>
    <w:link w:val="23"/>
    <w:qFormat/>
    <w:uiPriority w:val="0"/>
    <w:rPr>
      <w:rFonts w:ascii="宋体" w:hAnsiTheme="minorHAnsi" w:eastAsiaTheme="minorEastAsia" w:cstheme="minorBidi"/>
    </w:rPr>
  </w:style>
  <w:style w:type="character" w:customStyle="1" w:styleId="62">
    <w:name w:val="正文文本缩进 Char1"/>
    <w:semiHidden/>
    <w:qFormat/>
    <w:uiPriority w:val="99"/>
    <w:rPr>
      <w:rFonts w:ascii="Times New Roman" w:hAnsi="Times New Roman" w:eastAsia="宋体" w:cs="Times New Roman"/>
      <w:szCs w:val="24"/>
    </w:rPr>
  </w:style>
  <w:style w:type="character" w:customStyle="1" w:styleId="63">
    <w:name w:val="标题 7 字符1"/>
    <w:link w:val="9"/>
    <w:qFormat/>
    <w:uiPriority w:val="0"/>
    <w:rPr>
      <w:b/>
      <w:bCs/>
      <w:sz w:val="24"/>
      <w:szCs w:val="24"/>
    </w:rPr>
  </w:style>
  <w:style w:type="character" w:customStyle="1" w:styleId="64">
    <w:name w:val="文档结构图 Char1"/>
    <w:semiHidden/>
    <w:qFormat/>
    <w:uiPriority w:val="99"/>
    <w:rPr>
      <w:rFonts w:ascii="宋体" w:hAnsi="Times New Roman" w:eastAsia="宋体" w:cs="Times New Roman"/>
      <w:sz w:val="18"/>
      <w:szCs w:val="18"/>
    </w:rPr>
  </w:style>
  <w:style w:type="character" w:customStyle="1" w:styleId="65">
    <w:name w:val="列表段落 字符"/>
    <w:link w:val="50"/>
    <w:qFormat/>
    <w:locked/>
    <w:uiPriority w:val="99"/>
    <w:rPr>
      <w:rFonts w:asciiTheme="minorHAnsi" w:hAnsiTheme="minorHAnsi" w:eastAsiaTheme="minorEastAsia" w:cstheme="minorBidi"/>
      <w:kern w:val="2"/>
      <w:sz w:val="21"/>
      <w:szCs w:val="22"/>
    </w:rPr>
  </w:style>
  <w:style w:type="character" w:customStyle="1" w:styleId="66">
    <w:name w:val="标题 6 字符1"/>
    <w:link w:val="8"/>
    <w:qFormat/>
    <w:uiPriority w:val="0"/>
    <w:rPr>
      <w:rFonts w:ascii="Arial" w:hAnsi="Arial" w:eastAsia="黑体"/>
      <w:b/>
      <w:bCs/>
      <w:sz w:val="24"/>
      <w:szCs w:val="24"/>
    </w:rPr>
  </w:style>
  <w:style w:type="character" w:customStyle="1" w:styleId="67">
    <w:name w:val="批注框文本 字符1"/>
    <w:link w:val="24"/>
    <w:qFormat/>
    <w:uiPriority w:val="0"/>
    <w:rPr>
      <w:rFonts w:ascii="Calibri" w:hAnsi="Calibri"/>
      <w:sz w:val="18"/>
      <w:szCs w:val="18"/>
    </w:rPr>
  </w:style>
  <w:style w:type="character" w:customStyle="1" w:styleId="68">
    <w:name w:val="明显强调1"/>
    <w:qFormat/>
    <w:uiPriority w:val="21"/>
    <w:rPr>
      <w:b/>
      <w:bCs/>
      <w:i/>
      <w:iCs/>
      <w:color w:val="4F81BD"/>
    </w:rPr>
  </w:style>
  <w:style w:type="character" w:customStyle="1" w:styleId="69">
    <w:name w:val="正文文本 2 Char1"/>
    <w:semiHidden/>
    <w:qFormat/>
    <w:uiPriority w:val="99"/>
    <w:rPr>
      <w:rFonts w:ascii="Times New Roman" w:hAnsi="Times New Roman" w:eastAsia="宋体" w:cs="Times New Roman"/>
      <w:szCs w:val="24"/>
    </w:rPr>
  </w:style>
  <w:style w:type="character" w:customStyle="1" w:styleId="70">
    <w:name w:val="apple-converted-space"/>
    <w:basedOn w:val="41"/>
    <w:qFormat/>
    <w:uiPriority w:val="0"/>
  </w:style>
  <w:style w:type="character" w:customStyle="1" w:styleId="71">
    <w:name w:val="标题 3 字符1"/>
    <w:link w:val="5"/>
    <w:qFormat/>
    <w:uiPriority w:val="0"/>
    <w:rPr>
      <w:rFonts w:ascii="宋体" w:hAnsi="宋体"/>
      <w:kern w:val="2"/>
      <w:sz w:val="24"/>
      <w:szCs w:val="32"/>
    </w:rPr>
  </w:style>
  <w:style w:type="character" w:customStyle="1" w:styleId="72">
    <w:name w:val="批注文字 Char1"/>
    <w:semiHidden/>
    <w:qFormat/>
    <w:uiPriority w:val="99"/>
    <w:rPr>
      <w:kern w:val="2"/>
      <w:sz w:val="21"/>
      <w:szCs w:val="22"/>
    </w:rPr>
  </w:style>
  <w:style w:type="character" w:customStyle="1" w:styleId="73">
    <w:name w:val="页脚 Char"/>
    <w:qFormat/>
    <w:uiPriority w:val="99"/>
    <w:rPr>
      <w:rFonts w:ascii="Times New Roman" w:hAnsi="Times New Roman" w:eastAsia="宋体" w:cs="Times New Roman"/>
      <w:sz w:val="18"/>
      <w:szCs w:val="20"/>
    </w:rPr>
  </w:style>
  <w:style w:type="character" w:customStyle="1" w:styleId="74">
    <w:name w:val="标题 4 字符1"/>
    <w:link w:val="6"/>
    <w:qFormat/>
    <w:uiPriority w:val="0"/>
    <w:rPr>
      <w:rFonts w:ascii="黑体" w:eastAsia="黑体"/>
      <w:b/>
      <w:kern w:val="2"/>
      <w:sz w:val="21"/>
      <w:szCs w:val="24"/>
    </w:rPr>
  </w:style>
  <w:style w:type="character" w:customStyle="1" w:styleId="75">
    <w:name w:val="无间隔 字符"/>
    <w:link w:val="76"/>
    <w:qFormat/>
    <w:uiPriority w:val="1"/>
    <w:rPr>
      <w:sz w:val="22"/>
      <w:szCs w:val="22"/>
    </w:rPr>
  </w:style>
  <w:style w:type="paragraph" w:styleId="76">
    <w:name w:val="No Spacing"/>
    <w:link w:val="75"/>
    <w:qFormat/>
    <w:uiPriority w:val="1"/>
    <w:rPr>
      <w:rFonts w:ascii="Times New Roman" w:hAnsi="Times New Roman" w:eastAsia="宋体" w:cs="Times New Roman"/>
      <w:sz w:val="22"/>
      <w:szCs w:val="22"/>
      <w:lang w:val="en-US" w:eastAsia="zh-CN" w:bidi="ar-SA"/>
    </w:rPr>
  </w:style>
  <w:style w:type="character" w:customStyle="1" w:styleId="77">
    <w:name w:val="标题 5 字符1"/>
    <w:link w:val="7"/>
    <w:qFormat/>
    <w:uiPriority w:val="0"/>
    <w:rPr>
      <w:b/>
      <w:bCs/>
      <w:sz w:val="28"/>
      <w:szCs w:val="28"/>
    </w:rPr>
  </w:style>
  <w:style w:type="character" w:customStyle="1" w:styleId="78">
    <w:name w:val="不明显强调1"/>
    <w:qFormat/>
    <w:uiPriority w:val="19"/>
    <w:rPr>
      <w:i/>
      <w:iCs/>
      <w:color w:val="808080"/>
    </w:rPr>
  </w:style>
  <w:style w:type="character" w:customStyle="1" w:styleId="79">
    <w:name w:val="正文文本 Char1"/>
    <w:semiHidden/>
    <w:qFormat/>
    <w:uiPriority w:val="99"/>
    <w:rPr>
      <w:rFonts w:ascii="Times New Roman" w:hAnsi="Times New Roman" w:eastAsia="宋体" w:cs="Times New Roman"/>
      <w:szCs w:val="24"/>
    </w:rPr>
  </w:style>
  <w:style w:type="character" w:customStyle="1" w:styleId="80">
    <w:name w:val="正文文本 字符1"/>
    <w:link w:val="16"/>
    <w:qFormat/>
    <w:uiPriority w:val="0"/>
    <w:rPr>
      <w:rFonts w:ascii="宋体" w:hAnsi="宋体"/>
      <w:sz w:val="28"/>
      <w:szCs w:val="24"/>
    </w:rPr>
  </w:style>
  <w:style w:type="character" w:customStyle="1" w:styleId="81">
    <w:name w:val="明显强调11"/>
    <w:qFormat/>
    <w:uiPriority w:val="21"/>
    <w:rPr>
      <w:b/>
      <w:bCs/>
      <w:i/>
      <w:iCs/>
      <w:color w:val="4F81BD"/>
    </w:rPr>
  </w:style>
  <w:style w:type="character" w:customStyle="1" w:styleId="82">
    <w:name w:val="不明显强调2"/>
    <w:qFormat/>
    <w:uiPriority w:val="19"/>
    <w:rPr>
      <w:i/>
      <w:iCs/>
      <w:color w:val="808080"/>
    </w:rPr>
  </w:style>
  <w:style w:type="character" w:customStyle="1" w:styleId="83">
    <w:name w:val="标题-2 Char"/>
    <w:link w:val="84"/>
    <w:qFormat/>
    <w:uiPriority w:val="0"/>
    <w:rPr>
      <w:rFonts w:ascii="宋体" w:hAnsi="宋体"/>
      <w:b/>
      <w:bCs/>
      <w:kern w:val="2"/>
      <w:sz w:val="30"/>
      <w:szCs w:val="32"/>
    </w:rPr>
  </w:style>
  <w:style w:type="paragraph" w:customStyle="1" w:styleId="84">
    <w:name w:val="标题-2"/>
    <w:basedOn w:val="4"/>
    <w:link w:val="83"/>
    <w:qFormat/>
    <w:uiPriority w:val="0"/>
    <w:pPr>
      <w:spacing w:before="0" w:after="0" w:line="360" w:lineRule="auto"/>
      <w:jc w:val="left"/>
    </w:pPr>
    <w:rPr>
      <w:rFonts w:ascii="宋体" w:hAnsi="宋体"/>
      <w:kern w:val="2"/>
      <w:sz w:val="30"/>
    </w:rPr>
  </w:style>
  <w:style w:type="character" w:customStyle="1" w:styleId="85">
    <w:name w:val="标题 2 字符1"/>
    <w:link w:val="4"/>
    <w:qFormat/>
    <w:uiPriority w:val="0"/>
    <w:rPr>
      <w:rFonts w:ascii="Cambria" w:hAnsi="Cambria"/>
      <w:b/>
      <w:bCs/>
      <w:sz w:val="32"/>
      <w:szCs w:val="32"/>
    </w:rPr>
  </w:style>
  <w:style w:type="character" w:customStyle="1" w:styleId="86">
    <w:name w:val="批注主题 字符1"/>
    <w:link w:val="38"/>
    <w:qFormat/>
    <w:uiPriority w:val="99"/>
    <w:rPr>
      <w:b/>
      <w:bCs/>
      <w:kern w:val="2"/>
      <w:sz w:val="21"/>
      <w:szCs w:val="22"/>
    </w:rPr>
  </w:style>
  <w:style w:type="character" w:customStyle="1" w:styleId="87">
    <w:name w:val="批注文字 字符1"/>
    <w:link w:val="15"/>
    <w:qFormat/>
    <w:uiPriority w:val="0"/>
    <w:rPr>
      <w:kern w:val="2"/>
      <w:sz w:val="21"/>
      <w:szCs w:val="24"/>
    </w:rPr>
  </w:style>
  <w:style w:type="character" w:customStyle="1" w:styleId="88">
    <w:name w:val="标题 9 字符1"/>
    <w:link w:val="11"/>
    <w:qFormat/>
    <w:uiPriority w:val="0"/>
    <w:rPr>
      <w:rFonts w:ascii="Arial" w:hAnsi="Arial" w:eastAsia="黑体"/>
      <w:szCs w:val="21"/>
    </w:rPr>
  </w:style>
  <w:style w:type="character" w:customStyle="1" w:styleId="89">
    <w:name w:val="标题 8 字符1"/>
    <w:link w:val="10"/>
    <w:qFormat/>
    <w:uiPriority w:val="0"/>
    <w:rPr>
      <w:rFonts w:ascii="Arial" w:hAnsi="Arial" w:eastAsia="黑体"/>
      <w:sz w:val="24"/>
      <w:szCs w:val="24"/>
    </w:rPr>
  </w:style>
  <w:style w:type="character" w:customStyle="1" w:styleId="90">
    <w:name w:val="正文文本 2 字符1"/>
    <w:link w:val="35"/>
    <w:qFormat/>
    <w:uiPriority w:val="0"/>
    <w:rPr>
      <w:rFonts w:ascii="宋体" w:hAnsi="宋体"/>
      <w:sz w:val="24"/>
      <w:szCs w:val="18"/>
    </w:rPr>
  </w:style>
  <w:style w:type="character" w:customStyle="1" w:styleId="91">
    <w:name w:val="正文文本缩进 字符1"/>
    <w:link w:val="17"/>
    <w:qFormat/>
    <w:uiPriority w:val="0"/>
    <w:rPr>
      <w:rFonts w:ascii="Calibri" w:hAnsi="Calibri"/>
    </w:rPr>
  </w:style>
  <w:style w:type="character" w:customStyle="1" w:styleId="92">
    <w:name w:val="纯文本 字符"/>
    <w:link w:val="20"/>
    <w:qFormat/>
    <w:uiPriority w:val="0"/>
    <w:rPr>
      <w:rFonts w:ascii="宋体" w:hAnsi="Courier New" w:eastAsiaTheme="minorEastAsia" w:cstheme="minorBidi"/>
      <w:szCs w:val="21"/>
    </w:rPr>
  </w:style>
  <w:style w:type="character" w:customStyle="1" w:styleId="93">
    <w:name w:val="标题 1 字符1"/>
    <w:link w:val="3"/>
    <w:qFormat/>
    <w:uiPriority w:val="0"/>
    <w:rPr>
      <w:rFonts w:ascii="黑体" w:eastAsia="黑体"/>
      <w:b/>
      <w:kern w:val="2"/>
      <w:sz w:val="32"/>
    </w:rPr>
  </w:style>
  <w:style w:type="character" w:customStyle="1" w:styleId="94">
    <w:name w:val="HTML 预设格式 字符1"/>
    <w:link w:val="36"/>
    <w:qFormat/>
    <w:uiPriority w:val="99"/>
    <w:rPr>
      <w:rFonts w:ascii="宋体" w:hAnsi="宋体"/>
      <w:sz w:val="24"/>
      <w:szCs w:val="24"/>
    </w:rPr>
  </w:style>
  <w:style w:type="character" w:customStyle="1" w:styleId="95">
    <w:name w:val="纯文本 Char"/>
    <w:qFormat/>
    <w:uiPriority w:val="0"/>
    <w:rPr>
      <w:rFonts w:ascii="宋体" w:hAnsi="Courier New" w:eastAsia="宋体" w:cs="Courier New"/>
      <w:szCs w:val="21"/>
    </w:rPr>
  </w:style>
  <w:style w:type="character" w:customStyle="1" w:styleId="96">
    <w:name w:val="正文文本缩进 3 字符1"/>
    <w:link w:val="32"/>
    <w:qFormat/>
    <w:uiPriority w:val="0"/>
    <w:rPr>
      <w:rFonts w:ascii="Calibri" w:hAnsi="Calibri"/>
      <w:sz w:val="16"/>
      <w:szCs w:val="16"/>
    </w:rPr>
  </w:style>
  <w:style w:type="character" w:customStyle="1" w:styleId="97">
    <w:name w:val="日期 字符1"/>
    <w:link w:val="22"/>
    <w:qFormat/>
    <w:uiPriority w:val="0"/>
    <w:rPr>
      <w:rFonts w:ascii="黑体" w:eastAsia="黑体"/>
      <w:b/>
      <w:color w:val="000000"/>
      <w:sz w:val="36"/>
    </w:rPr>
  </w:style>
  <w:style w:type="character" w:customStyle="1" w:styleId="98">
    <w:name w:val="文档结构图 字符1"/>
    <w:link w:val="14"/>
    <w:qFormat/>
    <w:uiPriority w:val="0"/>
    <w:rPr>
      <w:rFonts w:ascii="宋体"/>
      <w:sz w:val="18"/>
      <w:szCs w:val="18"/>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文档结构图 字符"/>
    <w:basedOn w:val="41"/>
    <w:semiHidden/>
    <w:qFormat/>
    <w:uiPriority w:val="99"/>
    <w:rPr>
      <w:rFonts w:ascii="Microsoft YaHei UI" w:eastAsia="Microsoft YaHei UI" w:hAnsiTheme="minorHAnsi" w:cstheme="minorBidi"/>
      <w:kern w:val="2"/>
      <w:sz w:val="18"/>
      <w:szCs w:val="18"/>
    </w:rPr>
  </w:style>
  <w:style w:type="character" w:customStyle="1" w:styleId="101">
    <w:name w:val="批注文字 字符"/>
    <w:basedOn w:val="41"/>
    <w:semiHidden/>
    <w:qFormat/>
    <w:uiPriority w:val="99"/>
    <w:rPr>
      <w:rFonts w:asciiTheme="minorHAnsi" w:hAnsiTheme="minorHAnsi" w:eastAsiaTheme="minorEastAsia" w:cstheme="minorBidi"/>
      <w:kern w:val="2"/>
      <w:sz w:val="21"/>
      <w:szCs w:val="22"/>
    </w:rPr>
  </w:style>
  <w:style w:type="character" w:customStyle="1" w:styleId="102">
    <w:name w:val="批注主题 字符"/>
    <w:basedOn w:val="101"/>
    <w:semiHidden/>
    <w:qFormat/>
    <w:uiPriority w:val="99"/>
    <w:rPr>
      <w:rFonts w:asciiTheme="minorHAnsi" w:hAnsiTheme="minorHAnsi" w:eastAsiaTheme="minorEastAsia" w:cstheme="minorBidi"/>
      <w:b/>
      <w:bCs/>
      <w:kern w:val="2"/>
      <w:sz w:val="21"/>
      <w:szCs w:val="22"/>
    </w:rPr>
  </w:style>
  <w:style w:type="character" w:customStyle="1" w:styleId="103">
    <w:name w:val="正文文本 字符"/>
    <w:basedOn w:val="41"/>
    <w:semiHidden/>
    <w:qFormat/>
    <w:uiPriority w:val="99"/>
    <w:rPr>
      <w:rFonts w:asciiTheme="minorHAnsi" w:hAnsiTheme="minorHAnsi" w:eastAsiaTheme="minorEastAsia" w:cstheme="minorBidi"/>
      <w:kern w:val="2"/>
      <w:sz w:val="21"/>
      <w:szCs w:val="22"/>
    </w:rPr>
  </w:style>
  <w:style w:type="character" w:customStyle="1" w:styleId="104">
    <w:name w:val="日期 字符"/>
    <w:basedOn w:val="41"/>
    <w:semiHidden/>
    <w:qFormat/>
    <w:uiPriority w:val="99"/>
    <w:rPr>
      <w:rFonts w:asciiTheme="minorHAnsi" w:hAnsiTheme="minorHAnsi" w:eastAsiaTheme="minorEastAsia" w:cstheme="minorBidi"/>
      <w:kern w:val="2"/>
      <w:sz w:val="21"/>
      <w:szCs w:val="22"/>
    </w:rPr>
  </w:style>
  <w:style w:type="character" w:customStyle="1" w:styleId="105">
    <w:name w:val="正文文本缩进 字符"/>
    <w:basedOn w:val="41"/>
    <w:semiHidden/>
    <w:qFormat/>
    <w:uiPriority w:val="99"/>
    <w:rPr>
      <w:rFonts w:asciiTheme="minorHAnsi" w:hAnsiTheme="minorHAnsi" w:eastAsiaTheme="minorEastAsia" w:cstheme="minorBidi"/>
      <w:kern w:val="2"/>
      <w:sz w:val="21"/>
      <w:szCs w:val="22"/>
    </w:rPr>
  </w:style>
  <w:style w:type="character" w:customStyle="1" w:styleId="106">
    <w:name w:val="正文文本缩进 3 字符"/>
    <w:basedOn w:val="41"/>
    <w:semiHidden/>
    <w:qFormat/>
    <w:uiPriority w:val="99"/>
    <w:rPr>
      <w:rFonts w:asciiTheme="minorHAnsi" w:hAnsiTheme="minorHAnsi" w:eastAsiaTheme="minorEastAsia" w:cstheme="minorBidi"/>
      <w:kern w:val="2"/>
      <w:sz w:val="16"/>
      <w:szCs w:val="16"/>
    </w:rPr>
  </w:style>
  <w:style w:type="character" w:customStyle="1" w:styleId="107">
    <w:name w:val="正文文本 2 字符"/>
    <w:basedOn w:val="41"/>
    <w:semiHidden/>
    <w:qFormat/>
    <w:uiPriority w:val="99"/>
    <w:rPr>
      <w:rFonts w:asciiTheme="minorHAnsi" w:hAnsiTheme="minorHAnsi" w:eastAsiaTheme="minorEastAsia" w:cstheme="minorBidi"/>
      <w:kern w:val="2"/>
      <w:sz w:val="21"/>
      <w:szCs w:val="22"/>
    </w:rPr>
  </w:style>
  <w:style w:type="character" w:customStyle="1" w:styleId="108">
    <w:name w:val="批注框文本 字符"/>
    <w:basedOn w:val="41"/>
    <w:semiHidden/>
    <w:qFormat/>
    <w:uiPriority w:val="99"/>
    <w:rPr>
      <w:rFonts w:asciiTheme="minorHAnsi" w:hAnsiTheme="minorHAnsi" w:eastAsiaTheme="minorEastAsia" w:cstheme="minorBidi"/>
      <w:kern w:val="2"/>
      <w:sz w:val="18"/>
      <w:szCs w:val="18"/>
    </w:rPr>
  </w:style>
  <w:style w:type="character" w:customStyle="1" w:styleId="109">
    <w:name w:val="HTML 预设格式 字符"/>
    <w:basedOn w:val="41"/>
    <w:semiHidden/>
    <w:qFormat/>
    <w:uiPriority w:val="99"/>
    <w:rPr>
      <w:rFonts w:ascii="Courier New" w:hAnsi="Courier New" w:cs="Courier New" w:eastAsiaTheme="minorEastAsia"/>
      <w:kern w:val="2"/>
    </w:rPr>
  </w:style>
  <w:style w:type="paragraph" w:customStyle="1" w:styleId="110">
    <w:name w:val="Char1"/>
    <w:basedOn w:val="1"/>
    <w:qFormat/>
    <w:uiPriority w:val="0"/>
    <w:rPr>
      <w:rFonts w:ascii="仿宋_GB2312" w:hAnsi="Times New Roman" w:eastAsia="仿宋_GB2312" w:cs="Times New Roman"/>
      <w:b/>
      <w:sz w:val="32"/>
      <w:szCs w:val="32"/>
    </w:rPr>
  </w:style>
  <w:style w:type="paragraph" w:customStyle="1" w:styleId="111">
    <w:name w:val="列出段落111"/>
    <w:basedOn w:val="1"/>
    <w:qFormat/>
    <w:uiPriority w:val="34"/>
    <w:pPr>
      <w:ind w:firstLine="420" w:firstLineChars="200"/>
    </w:pPr>
    <w:rPr>
      <w:rFonts w:ascii="Calibri" w:hAnsi="Calibri" w:eastAsia="宋体" w:cs="Times New Roman"/>
      <w:sz w:val="20"/>
      <w:szCs w:val="20"/>
    </w:rPr>
  </w:style>
  <w:style w:type="paragraph" w:customStyle="1" w:styleId="112">
    <w:name w:val="标书 正文"/>
    <w:basedOn w:val="1"/>
    <w:qFormat/>
    <w:uiPriority w:val="0"/>
    <w:pPr>
      <w:adjustRightInd w:val="0"/>
      <w:snapToGrid w:val="0"/>
      <w:spacing w:line="360" w:lineRule="auto"/>
      <w:ind w:firstLine="200" w:firstLineChars="200"/>
    </w:pPr>
    <w:rPr>
      <w:rFonts w:ascii="宋体" w:hAnsi="Times New Roman" w:eastAsia="宋体" w:cs="Times New Roman"/>
      <w:sz w:val="24"/>
      <w:szCs w:val="24"/>
    </w:rPr>
  </w:style>
  <w:style w:type="paragraph" w:customStyle="1" w:styleId="113">
    <w:name w:val="修订1"/>
    <w:semiHidden/>
    <w:qFormat/>
    <w:uiPriority w:val="99"/>
    <w:rPr>
      <w:rFonts w:ascii="Calibri" w:hAnsi="Calibri" w:eastAsia="宋体" w:cs="Times New Roman"/>
      <w:kern w:val="2"/>
      <w:sz w:val="21"/>
      <w:szCs w:val="22"/>
      <w:lang w:val="en-US" w:eastAsia="zh-CN" w:bidi="ar-SA"/>
    </w:rPr>
  </w:style>
  <w:style w:type="paragraph" w:customStyle="1" w:styleId="114">
    <w:name w:val="无间隔1"/>
    <w:qFormat/>
    <w:uiPriority w:val="1"/>
    <w:rPr>
      <w:rFonts w:ascii="Calibri" w:hAnsi="Calibri" w:eastAsia="宋体" w:cs="Times New Roman"/>
      <w:sz w:val="22"/>
      <w:szCs w:val="22"/>
      <w:lang w:val="en-US" w:eastAsia="zh-CN" w:bidi="ar-SA"/>
    </w:rPr>
  </w:style>
  <w:style w:type="paragraph" w:customStyle="1" w:styleId="11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列出段落11"/>
    <w:basedOn w:val="1"/>
    <w:qFormat/>
    <w:uiPriority w:val="34"/>
    <w:pPr>
      <w:ind w:firstLine="420" w:firstLineChars="200"/>
    </w:pPr>
    <w:rPr>
      <w:rFonts w:ascii="Calibri" w:hAnsi="Calibri" w:eastAsia="宋体" w:cs="Times New Roman"/>
      <w:sz w:val="20"/>
      <w:szCs w:val="20"/>
    </w:rPr>
  </w:style>
  <w:style w:type="paragraph" w:customStyle="1" w:styleId="118">
    <w:name w:val="Char2"/>
    <w:basedOn w:val="1"/>
    <w:qFormat/>
    <w:uiPriority w:val="0"/>
    <w:pPr>
      <w:widowControl/>
      <w:spacing w:after="160" w:line="240" w:lineRule="exact"/>
      <w:jc w:val="left"/>
    </w:pPr>
    <w:rPr>
      <w:rFonts w:ascii="Verdana" w:hAnsi="Verdana" w:eastAsia="仿宋_GB2312" w:cs="Times New Roman"/>
      <w:spacing w:val="-4"/>
      <w:kern w:val="0"/>
      <w:sz w:val="24"/>
      <w:szCs w:val="20"/>
      <w:lang w:eastAsia="en-US"/>
    </w:rPr>
  </w:style>
  <w:style w:type="paragraph" w:customStyle="1" w:styleId="119">
    <w:name w:val="Char11"/>
    <w:basedOn w:val="1"/>
    <w:qFormat/>
    <w:uiPriority w:val="0"/>
    <w:rPr>
      <w:rFonts w:ascii="仿宋_GB2312" w:hAnsi="Times New Roman" w:eastAsia="仿宋_GB2312" w:cs="Times New Roman"/>
      <w:b/>
      <w:sz w:val="32"/>
      <w:szCs w:val="32"/>
    </w:rPr>
  </w:style>
  <w:style w:type="paragraph" w:customStyle="1" w:styleId="120">
    <w:name w:val="正文1"/>
    <w:basedOn w:val="1"/>
    <w:qFormat/>
    <w:uiPriority w:val="34"/>
    <w:rPr>
      <w:rFonts w:ascii="Calibri" w:hAnsi="Calibri" w:eastAsia="Calibri" w:cs="宋体"/>
      <w:kern w:val="0"/>
      <w:szCs w:val="20"/>
      <w:lang w:eastAsia="en-US"/>
    </w:rPr>
  </w:style>
  <w:style w:type="paragraph" w:customStyle="1" w:styleId="121">
    <w:name w:val="列出段落2"/>
    <w:basedOn w:val="1"/>
    <w:qFormat/>
    <w:uiPriority w:val="34"/>
    <w:pPr>
      <w:ind w:firstLine="420" w:firstLineChars="200"/>
    </w:pPr>
    <w:rPr>
      <w:rFonts w:ascii="Calibri" w:hAnsi="Calibri" w:eastAsia="宋体" w:cs="Times New Roman"/>
      <w:sz w:val="20"/>
      <w:szCs w:val="20"/>
    </w:rPr>
  </w:style>
  <w:style w:type="paragraph" w:customStyle="1" w:styleId="122">
    <w:name w:val="_Style 2"/>
    <w:basedOn w:val="1"/>
    <w:qFormat/>
    <w:uiPriority w:val="99"/>
    <w:pPr>
      <w:ind w:firstLine="420" w:firstLineChars="200"/>
    </w:pPr>
    <w:rPr>
      <w:rFonts w:ascii="Calibri" w:hAnsi="Calibri" w:eastAsia="宋体" w:cs="Times New Roman"/>
    </w:rPr>
  </w:style>
  <w:style w:type="paragraph" w:customStyle="1" w:styleId="12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4">
    <w:name w:val="_Style 1"/>
    <w:basedOn w:val="1"/>
    <w:qFormat/>
    <w:uiPriority w:val="34"/>
    <w:pPr>
      <w:ind w:firstLine="420" w:firstLineChars="200"/>
    </w:pPr>
    <w:rPr>
      <w:rFonts w:ascii="Times New Roman" w:hAnsi="Times New Roman" w:eastAsia="宋体" w:cs="Times New Roman"/>
      <w:szCs w:val="24"/>
    </w:rPr>
  </w:style>
  <w:style w:type="paragraph" w:customStyle="1" w:styleId="125">
    <w:name w:val="Body text|1"/>
    <w:basedOn w:val="1"/>
    <w:qFormat/>
    <w:uiPriority w:val="0"/>
    <w:pPr>
      <w:spacing w:line="434" w:lineRule="auto"/>
      <w:ind w:firstLine="400"/>
    </w:pPr>
    <w:rPr>
      <w:rFonts w:ascii="宋体" w:hAnsi="宋体" w:eastAsia="宋体" w:cs="宋体"/>
      <w:sz w:val="22"/>
      <w:lang w:val="zh-TW" w:eastAsia="zh-TW" w:bidi="zh-TW"/>
    </w:rPr>
  </w:style>
  <w:style w:type="paragraph" w:customStyle="1" w:styleId="126">
    <w:name w:val="Table of contents|1"/>
    <w:basedOn w:val="1"/>
    <w:qFormat/>
    <w:uiPriority w:val="0"/>
    <w:pPr>
      <w:ind w:firstLine="330"/>
    </w:pPr>
    <w:rPr>
      <w:rFonts w:ascii="宋体" w:hAnsi="宋体" w:eastAsia="宋体" w:cs="宋体"/>
      <w:sz w:val="22"/>
      <w:lang w:val="zh-TW" w:eastAsia="zh-TW" w:bidi="zh-TW"/>
    </w:rPr>
  </w:style>
  <w:style w:type="paragraph" w:customStyle="1" w:styleId="127">
    <w:name w:val="Header or footer|2"/>
    <w:basedOn w:val="1"/>
    <w:qFormat/>
    <w:uiPriority w:val="0"/>
    <w:rPr>
      <w:sz w:val="20"/>
      <w:szCs w:val="20"/>
      <w:lang w:val="zh-TW" w:eastAsia="zh-TW" w:bidi="zh-TW"/>
    </w:rPr>
  </w:style>
  <w:style w:type="paragraph" w:customStyle="1" w:styleId="12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4A62-1A08-427F-BC99-2BD5F893D9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10084</Words>
  <Characters>10983</Characters>
  <Lines>89</Lines>
  <Paragraphs>25</Paragraphs>
  <TotalTime>2</TotalTime>
  <ScaleCrop>false</ScaleCrop>
  <LinksUpToDate>false</LinksUpToDate>
  <CharactersWithSpaces>11474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2019-06-11T07:05:00Z</dcterms:created>
  <dc:creator>谭时卓</dc:creator>
  <cp:lastModifiedBy>付玲琳</cp:lastModifiedBy>
  <cp:lastPrinted>2022-01-11T07:32:00Z</cp:lastPrinted>
  <dcterms:modified xsi:type="dcterms:W3CDTF">2022-05-26T00:55:11Z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46C122AA486A4DF58B0078FBF1B5C48C</vt:lpwstr>
  </property>
</Properties>
</file>