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20.bin" ContentType="application/vnd.ms-office.activeX"/>
  <Override PartName="/word/activeX/activeX120.xml" ContentType="application/vnd.ms-office.activeX+xml"/>
  <Override PartName="/word/activeX/activeX121.bin" ContentType="application/vnd.ms-office.activeX"/>
  <Override PartName="/word/activeX/activeX121.xml" ContentType="application/vnd.ms-office.activeX+xml"/>
  <Override PartName="/word/activeX/activeX122.bin" ContentType="application/vnd.ms-office.activeX"/>
  <Override PartName="/word/activeX/activeX122.xml" ContentType="application/vnd.ms-office.activeX+xml"/>
  <Override PartName="/word/activeX/activeX123.bin" ContentType="application/vnd.ms-office.activeX"/>
  <Override PartName="/word/activeX/activeX123.xml" ContentType="application/vnd.ms-office.activeX+xml"/>
  <Override PartName="/word/activeX/activeX124.bin" ContentType="application/vnd.ms-office.activeX"/>
  <Override PartName="/word/activeX/activeX124.xml" ContentType="application/vnd.ms-office.activeX+xml"/>
  <Override PartName="/word/activeX/activeX125.bin" ContentType="application/vnd.ms-office.activeX"/>
  <Override PartName="/word/activeX/activeX125.xml" ContentType="application/vnd.ms-office.activeX+xml"/>
  <Override PartName="/word/activeX/activeX126.bin" ContentType="application/vnd.ms-office.activeX"/>
  <Override PartName="/word/activeX/activeX126.xml" ContentType="application/vnd.ms-office.activeX+xml"/>
  <Override PartName="/word/activeX/activeX127.bin" ContentType="application/vnd.ms-office.activeX"/>
  <Override PartName="/word/activeX/activeX127.xml" ContentType="application/vnd.ms-office.activeX+xml"/>
  <Override PartName="/word/activeX/activeX128.bin" ContentType="application/vnd.ms-office.activeX"/>
  <Override PartName="/word/activeX/activeX128.xml" ContentType="application/vnd.ms-office.activeX+xml"/>
  <Override PartName="/word/activeX/activeX129.bin" ContentType="application/vnd.ms-office.activeX"/>
  <Override PartName="/word/activeX/activeX129.xml" ContentType="application/vnd.ms-office.activeX+xml"/>
  <Override PartName="/word/activeX/activeX13.bin" ContentType="application/vnd.ms-office.activeX"/>
  <Override PartName="/word/activeX/activeX13.xml" ContentType="application/vnd.ms-office.activeX+xml"/>
  <Override PartName="/word/activeX/activeX130.bin" ContentType="application/vnd.ms-office.activeX"/>
  <Override PartName="/word/activeX/activeX130.xml" ContentType="application/vnd.ms-office.activeX+xml"/>
  <Override PartName="/word/activeX/activeX131.bin" ContentType="application/vnd.ms-office.activeX"/>
  <Override PartName="/word/activeX/activeX131.xml" ContentType="application/vnd.ms-office.activeX+xml"/>
  <Override PartName="/word/activeX/activeX132.bin" ContentType="application/vnd.ms-office.activeX"/>
  <Override PartName="/word/activeX/activeX132.xml" ContentType="application/vnd.ms-office.activeX+xml"/>
  <Override PartName="/word/activeX/activeX133.bin" ContentType="application/vnd.ms-office.activeX"/>
  <Override PartName="/word/activeX/activeX133.xml" ContentType="application/vnd.ms-office.activeX+xml"/>
  <Override PartName="/word/activeX/activeX134.bin" ContentType="application/vnd.ms-office.activeX"/>
  <Override PartName="/word/activeX/activeX134.xml" ContentType="application/vnd.ms-office.activeX+xml"/>
  <Override PartName="/word/activeX/activeX135.bin" ContentType="application/vnd.ms-office.activeX"/>
  <Override PartName="/word/activeX/activeX135.xml" ContentType="application/vnd.ms-office.activeX+xml"/>
  <Override PartName="/word/activeX/activeX136.bin" ContentType="application/vnd.ms-office.activeX"/>
  <Override PartName="/word/activeX/activeX136.xml" ContentType="application/vnd.ms-office.activeX+xml"/>
  <Override PartName="/word/activeX/activeX137.bin" ContentType="application/vnd.ms-office.activeX"/>
  <Override PartName="/word/activeX/activeX137.xml" ContentType="application/vnd.ms-office.activeX+xml"/>
  <Override PartName="/word/activeX/activeX138.bin" ContentType="application/vnd.ms-office.activeX"/>
  <Override PartName="/word/activeX/activeX138.xml" ContentType="application/vnd.ms-office.activeX+xml"/>
  <Override PartName="/word/activeX/activeX139.bin" ContentType="application/vnd.ms-office.activeX"/>
  <Override PartName="/word/activeX/activeX139.xml" ContentType="application/vnd.ms-office.activeX+xml"/>
  <Override PartName="/word/activeX/activeX14.bin" ContentType="application/vnd.ms-office.activeX"/>
  <Override PartName="/word/activeX/activeX14.xml" ContentType="application/vnd.ms-office.activeX+xml"/>
  <Override PartName="/word/activeX/activeX140.bin" ContentType="application/vnd.ms-office.activeX"/>
  <Override PartName="/word/activeX/activeX140.xml" ContentType="application/vnd.ms-office.activeX+xml"/>
  <Override PartName="/word/activeX/activeX141.bin" ContentType="application/vnd.ms-office.activeX"/>
  <Override PartName="/word/activeX/activeX141.xml" ContentType="application/vnd.ms-office.activeX+xml"/>
  <Override PartName="/word/activeX/activeX142.bin" ContentType="application/vnd.ms-office.activeX"/>
  <Override PartName="/word/activeX/activeX142.xml" ContentType="application/vnd.ms-office.activeX+xml"/>
  <Override PartName="/word/activeX/activeX143.bin" ContentType="application/vnd.ms-office.activeX"/>
  <Override PartName="/word/activeX/activeX143.xml" ContentType="application/vnd.ms-office.activeX+xml"/>
  <Override PartName="/word/activeX/activeX144.bin" ContentType="application/vnd.ms-office.activeX"/>
  <Override PartName="/word/activeX/activeX144.xml" ContentType="application/vnd.ms-office.activeX+xml"/>
  <Override PartName="/word/activeX/activeX145.bin" ContentType="application/vnd.ms-office.activeX"/>
  <Override PartName="/word/activeX/activeX145.xml" ContentType="application/vnd.ms-office.activeX+xml"/>
  <Override PartName="/word/activeX/activeX146.bin" ContentType="application/vnd.ms-office.activeX"/>
  <Override PartName="/word/activeX/activeX146.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b/>
          <w:bCs/>
          <w:color w:val="auto"/>
          <w:kern w:val="0"/>
          <w:sz w:val="32"/>
          <w:szCs w:val="32"/>
          <w:lang w:val="en-US" w:eastAsia="zh-CN" w:bidi="ar-SA"/>
        </w:rPr>
      </w:pPr>
      <w:r>
        <w:rPr>
          <w:rFonts w:cs="宋体" w:asciiTheme="majorEastAsia" w:hAnsiTheme="majorEastAsia"/>
          <w:b/>
          <w:bCs/>
          <w:color w:val="auto"/>
          <w:kern w:val="0"/>
          <w:sz w:val="32"/>
          <w:szCs w:val="32"/>
          <w:lang w:val="en-US" w:eastAsia="zh-CN" w:bidi="ar-SA"/>
        </w:rPr>
        <w:t>哈尔滨工业大学深圳校区扩建工程项目</w:t>
      </w:r>
    </w:p>
    <w:p>
      <w:pPr>
        <w:spacing w:line="360" w:lineRule="auto"/>
        <w:jc w:val="center"/>
        <w:rPr>
          <w:color w:val="auto"/>
        </w:rPr>
      </w:pPr>
      <w:r>
        <w:rPr>
          <w:rFonts w:cs="宋体" w:asciiTheme="majorEastAsia" w:hAnsiTheme="majorEastAsia"/>
          <w:b/>
          <w:bCs/>
          <w:color w:val="auto"/>
          <w:kern w:val="0"/>
          <w:sz w:val="32"/>
          <w:szCs w:val="32"/>
          <w:lang w:val="en-US" w:eastAsia="zh-CN" w:bidi="ar-SA"/>
        </w:rPr>
        <w:t>高层次人才科研楼幕墙工程</w:t>
      </w:r>
    </w:p>
    <w:p>
      <w:pPr>
        <w:spacing w:line="360" w:lineRule="auto"/>
        <w:jc w:val="center"/>
        <w:rPr>
          <w:color w:val="auto"/>
        </w:rPr>
      </w:pPr>
      <w:r>
        <w:rPr>
          <w:rFonts w:cs="宋体" w:asciiTheme="majorEastAsia" w:hAnsiTheme="majorEastAsia"/>
          <w:b/>
          <w:bCs/>
          <w:color w:val="auto"/>
          <w:kern w:val="0"/>
          <w:sz w:val="32"/>
          <w:szCs w:val="32"/>
          <w:lang w:val="en-US" w:eastAsia="zh-CN" w:bidi="ar-SA"/>
        </w:rPr>
        <w:t>招标公</w:t>
      </w:r>
      <w:r>
        <w:rPr>
          <w:rFonts w:cs="宋体" w:asciiTheme="majorEastAsia" w:hAnsiTheme="majorEastAsia"/>
          <w:b/>
          <w:bCs/>
          <w:color w:val="auto"/>
          <w:kern w:val="0"/>
          <w:sz w:val="32"/>
          <w:szCs w:val="32"/>
        </w:rPr>
        <w:t>告</w:t>
      </w:r>
    </w:p>
    <w:p>
      <w:pPr>
        <w:spacing w:line="360" w:lineRule="auto"/>
        <w:jc w:val="left"/>
        <w:rPr>
          <w:color w:val="auto"/>
        </w:rPr>
      </w:pPr>
      <w:r>
        <w:rPr>
          <w:rFonts w:ascii="仿宋" w:hAnsi="仿宋" w:eastAsia="仿宋" w:cs="仿宋"/>
          <w:b/>
          <w:color w:val="auto"/>
          <w:kern w:val="0"/>
          <w:sz w:val="24"/>
          <w:szCs w:val="24"/>
        </w:rPr>
        <w:t>项目名称：</w:t>
      </w:r>
      <w:bookmarkStart w:id="0" w:name="__DdeLink__20472_4025885333"/>
      <w:r>
        <w:rPr>
          <w:rFonts w:ascii="仿宋" w:hAnsi="仿宋" w:eastAsia="仿宋" w:cs="仿宋"/>
          <w:b w:val="0"/>
          <w:bCs w:val="0"/>
          <w:color w:val="auto"/>
          <w:kern w:val="0"/>
          <w:sz w:val="24"/>
          <w:szCs w:val="24"/>
        </w:rPr>
        <w:t>哈尔滨工业大学深圳校区扩建工程项目高层次人才科研楼</w:t>
      </w:r>
      <w:r>
        <w:rPr>
          <w:rFonts w:ascii="仿宋" w:hAnsi="仿宋" w:eastAsia="仿宋" w:cs="仿宋"/>
          <w:b w:val="0"/>
          <w:bCs w:val="0"/>
          <w:color w:val="auto"/>
          <w:kern w:val="0"/>
          <w:sz w:val="24"/>
          <w:szCs w:val="24"/>
          <w:lang w:val="en-US" w:eastAsia="zh-CN"/>
        </w:rPr>
        <w:t>幕墙</w:t>
      </w:r>
      <w:r>
        <w:rPr>
          <w:rFonts w:ascii="仿宋" w:hAnsi="仿宋" w:eastAsia="仿宋" w:cs="仿宋"/>
          <w:b w:val="0"/>
          <w:bCs w:val="0"/>
          <w:color w:val="auto"/>
          <w:kern w:val="0"/>
          <w:sz w:val="24"/>
          <w:szCs w:val="24"/>
        </w:rPr>
        <w:t>工程</w:t>
      </w:r>
      <w:bookmarkEnd w:id="0"/>
    </w:p>
    <w:p>
      <w:pPr>
        <w:spacing w:line="360" w:lineRule="auto"/>
        <w:jc w:val="left"/>
        <w:rPr>
          <w:rFonts w:ascii="仿宋" w:hAnsi="仿宋" w:eastAsia="仿宋" w:cs="仿宋"/>
          <w:color w:val="auto"/>
          <w:sz w:val="24"/>
        </w:rPr>
      </w:pPr>
      <w:r>
        <w:rPr>
          <w:rFonts w:ascii="仿宋" w:hAnsi="仿宋" w:eastAsia="仿宋" w:cs="仿宋"/>
          <w:b/>
          <w:color w:val="auto"/>
          <w:sz w:val="24"/>
        </w:rPr>
        <w:t>招标人：</w:t>
      </w:r>
      <w:r>
        <w:rPr>
          <w:rFonts w:ascii="仿宋" w:hAnsi="仿宋" w:eastAsia="仿宋" w:cs="仿宋"/>
          <w:color w:val="auto"/>
          <w:sz w:val="24"/>
        </w:rPr>
        <w:t xml:space="preserve">深圳市建筑工务署教育工程管理中心  </w:t>
      </w:r>
    </w:p>
    <w:p>
      <w:pPr>
        <w:snapToGrid w:val="0"/>
        <w:spacing w:line="360" w:lineRule="auto"/>
        <w:rPr>
          <w:color w:val="auto"/>
        </w:rPr>
      </w:pPr>
      <w:r>
        <w:rPr>
          <w:rFonts w:ascii="仿宋" w:hAnsi="仿宋" w:eastAsia="仿宋" w:cs="仿宋"/>
          <w:b/>
          <w:color w:val="auto"/>
          <w:sz w:val="24"/>
        </w:rPr>
        <w:t>项目地址：</w:t>
      </w:r>
      <w:r>
        <w:rPr>
          <w:rFonts w:ascii="仿宋" w:hAnsi="仿宋" w:eastAsia="仿宋" w:cs="仿宋"/>
          <w:b w:val="0"/>
          <w:bCs w:val="0"/>
          <w:color w:val="auto"/>
          <w:sz w:val="24"/>
          <w:lang w:val="en-US" w:eastAsia="zh-CN"/>
        </w:rPr>
        <w:t>深圳市西丽大学城</w:t>
      </w:r>
      <w:r>
        <w:rPr>
          <w:rFonts w:ascii="仿宋" w:hAnsi="仿宋" w:eastAsia="仿宋" w:cs="仿宋"/>
          <w:b w:val="0"/>
          <w:bCs w:val="0"/>
          <w:color w:val="auto"/>
          <w:kern w:val="0"/>
          <w:sz w:val="24"/>
        </w:rPr>
        <w:tab/>
      </w:r>
    </w:p>
    <w:p>
      <w:pPr>
        <w:snapToGrid w:val="0"/>
        <w:spacing w:line="360" w:lineRule="auto"/>
        <w:rPr>
          <w:rFonts w:ascii="仿宋" w:hAnsi="仿宋" w:eastAsia="仿宋" w:cs="仿宋"/>
          <w:color w:val="auto"/>
          <w:sz w:val="24"/>
        </w:rPr>
      </w:pPr>
      <w:r>
        <w:rPr>
          <w:rFonts w:ascii="仿宋" w:hAnsi="仿宋" w:eastAsia="仿宋" w:cs="仿宋"/>
          <w:b/>
          <w:color w:val="auto"/>
          <w:sz w:val="24"/>
        </w:rPr>
        <w:t>招标方式：</w:t>
      </w:r>
      <w:r>
        <w:rPr>
          <w:rFonts w:ascii="仿宋" w:hAnsi="仿宋" w:eastAsia="仿宋" w:cs="仿宋"/>
          <w:color w:val="auto"/>
          <w:kern w:val="0"/>
          <w:sz w:val="24"/>
        </w:rPr>
        <w:t>公开招标、资格后审（不设投标报名环节）</w:t>
      </w:r>
    </w:p>
    <w:p>
      <w:pPr>
        <w:snapToGrid w:val="0"/>
        <w:spacing w:line="360" w:lineRule="auto"/>
        <w:rPr>
          <w:color w:val="auto"/>
        </w:rPr>
      </w:pPr>
      <w:r>
        <w:rPr>
          <w:rFonts w:ascii="仿宋" w:hAnsi="仿宋" w:eastAsia="仿宋" w:cs="仿宋"/>
          <w:b/>
          <w:color w:val="auto"/>
          <w:sz w:val="24"/>
        </w:rPr>
        <w:t>招标联系人</w:t>
      </w:r>
      <w:r>
        <w:rPr>
          <w:rFonts w:ascii="仿宋" w:hAnsi="仿宋" w:eastAsia="仿宋" w:cs="仿宋"/>
          <w:color w:val="auto"/>
          <w:sz w:val="24"/>
        </w:rPr>
        <w:t>：</w:t>
      </w:r>
      <w:r>
        <w:rPr>
          <w:rFonts w:hint="eastAsia" w:ascii="仿宋" w:hAnsi="仿宋" w:eastAsia="仿宋" w:cs="仿宋"/>
          <w:color w:val="auto"/>
          <w:sz w:val="24"/>
          <w:lang w:val="en-US" w:eastAsia="zh-CN"/>
        </w:rPr>
        <w:t>付</w:t>
      </w:r>
      <w:r>
        <w:rPr>
          <w:rFonts w:ascii="仿宋" w:hAnsi="仿宋" w:eastAsia="仿宋" w:cs="仿宋"/>
          <w:color w:val="auto"/>
          <w:sz w:val="24"/>
        </w:rPr>
        <w:t>工（招标）电话：</w:t>
      </w:r>
      <w:r>
        <w:rPr>
          <w:rFonts w:hint="eastAsia" w:ascii="仿宋" w:hAnsi="仿宋" w:eastAsia="仿宋" w:cs="仿宋"/>
          <w:color w:val="auto"/>
          <w:sz w:val="24"/>
          <w:lang w:val="en-US" w:eastAsia="zh-CN"/>
        </w:rPr>
        <w:t>83942871</w:t>
      </w:r>
      <w:bookmarkStart w:id="7409" w:name="_GoBack"/>
      <w:bookmarkEnd w:id="7409"/>
      <w:r>
        <w:rPr>
          <w:rFonts w:ascii="仿宋" w:hAnsi="仿宋" w:eastAsia="仿宋" w:cs="仿宋"/>
          <w:color w:val="auto"/>
          <w:sz w:val="24"/>
        </w:rPr>
        <w:t xml:space="preserve"> 陈工（项目） 电话：15920067767</w:t>
      </w:r>
    </w:p>
    <w:p>
      <w:pPr>
        <w:snapToGrid w:val="0"/>
        <w:spacing w:line="360" w:lineRule="auto"/>
        <w:rPr>
          <w:rFonts w:ascii="仿宋" w:hAnsi="仿宋" w:eastAsia="仿宋"/>
          <w:b/>
          <w:color w:val="auto"/>
          <w:sz w:val="24"/>
          <w:szCs w:val="24"/>
        </w:rPr>
      </w:pPr>
      <w:r>
        <w:rPr>
          <w:rFonts w:ascii="仿宋" w:hAnsi="仿宋" w:eastAsia="仿宋"/>
          <w:b/>
          <w:color w:val="auto"/>
          <w:sz w:val="24"/>
          <w:szCs w:val="24"/>
        </w:rPr>
        <w:t>工程概况：</w:t>
      </w:r>
    </w:p>
    <w:p>
      <w:pPr>
        <w:snapToGrid w:val="0"/>
        <w:spacing w:line="360" w:lineRule="auto"/>
        <w:rPr>
          <w:color w:val="auto"/>
        </w:rPr>
      </w:pPr>
      <w:r>
        <w:rPr>
          <w:rFonts w:ascii="仿宋" w:hAnsi="仿宋" w:eastAsia="仿宋"/>
          <w:color w:val="auto"/>
          <w:sz w:val="24"/>
          <w:szCs w:val="24"/>
        </w:rPr>
        <w:t>工程地点：本项目位于哈尔滨工业大学（深圳）水木楼西侧</w:t>
      </w:r>
    </w:p>
    <w:p>
      <w:pPr>
        <w:snapToGrid w:val="0"/>
        <w:spacing w:line="360" w:lineRule="auto"/>
        <w:rPr>
          <w:color w:val="auto"/>
        </w:rPr>
      </w:pPr>
      <w:r>
        <w:rPr>
          <w:rFonts w:ascii="仿宋" w:hAnsi="仿宋" w:eastAsia="仿宋"/>
          <w:color w:val="auto"/>
          <w:sz w:val="24"/>
          <w:szCs w:val="24"/>
        </w:rPr>
        <w:t>工程规模及内容：</w:t>
      </w:r>
      <w:r>
        <w:rPr>
          <w:rFonts w:ascii="仿宋" w:hAnsi="仿宋" w:eastAsia="仿宋" w:cs="仿宋"/>
          <w:bCs/>
          <w:color w:val="auto"/>
          <w:sz w:val="24"/>
          <w:szCs w:val="24"/>
        </w:rPr>
        <w:t>高层次人才科研楼是经发改同意调概新增建设，总投资14045万元，项目位于深圳市南山区西丽大学城哈工大校区内，西侧紧邻桑泰丹华小区道路、南面为校园运动场，东面为哈工大研究生现有教学楼，项目总用地面积约3000平方米，总建筑面积为23548.59平方米，其中，地上13层建筑面积17973.89，功能设置为科研办公室、会议室、报告厅；地下2层建筑面积5574.7平方米，功能设置为设备间及停车库，总建筑高度约60m。</w:t>
      </w:r>
    </w:p>
    <w:p>
      <w:pPr>
        <w:spacing w:line="360" w:lineRule="auto"/>
        <w:jc w:val="left"/>
        <w:rPr>
          <w:rFonts w:ascii="仿宋" w:hAnsi="仿宋" w:eastAsia="仿宋" w:cs="仿宋"/>
          <w:color w:val="auto"/>
          <w:kern w:val="0"/>
          <w:sz w:val="24"/>
          <w:szCs w:val="24"/>
        </w:rPr>
      </w:pPr>
      <w:r>
        <w:rPr>
          <w:rFonts w:ascii="仿宋" w:hAnsi="仿宋" w:eastAsia="仿宋" w:cs="仿宋"/>
          <w:b/>
          <w:color w:val="auto"/>
          <w:kern w:val="0"/>
          <w:sz w:val="24"/>
          <w:szCs w:val="24"/>
        </w:rPr>
        <w:t>招标范围：</w:t>
      </w:r>
      <w:r>
        <w:rPr>
          <w:rFonts w:ascii="仿宋" w:hAnsi="仿宋" w:eastAsia="仿宋" w:cs="仿宋"/>
          <w:color w:val="auto"/>
          <w:kern w:val="0"/>
          <w:sz w:val="24"/>
          <w:szCs w:val="24"/>
        </w:rPr>
        <w:t xml:space="preserve"> </w:t>
      </w:r>
    </w:p>
    <w:p>
      <w:pPr>
        <w:spacing w:line="360" w:lineRule="auto"/>
        <w:ind w:firstLine="480"/>
        <w:jc w:val="left"/>
        <w:rPr>
          <w:color w:val="auto"/>
        </w:rPr>
      </w:pPr>
      <w:r>
        <w:rPr>
          <w:rFonts w:ascii="仿宋" w:hAnsi="仿宋" w:eastAsia="仿宋" w:cs="仿宋"/>
          <w:color w:val="auto"/>
          <w:sz w:val="24"/>
        </w:rPr>
        <w:t>1、</w:t>
      </w:r>
      <w:r>
        <w:rPr>
          <w:rFonts w:ascii="仿宋" w:hAnsi="仿宋" w:eastAsia="仿宋" w:cs="仿宋"/>
          <w:bCs/>
          <w:color w:val="auto"/>
          <w:sz w:val="24"/>
        </w:rPr>
        <w:t>包括但不限于本工程图纸深化设计以及</w:t>
      </w:r>
      <w:r>
        <w:rPr>
          <w:rFonts w:ascii="仿宋" w:hAnsi="仿宋" w:eastAsia="仿宋" w:cs="仿宋"/>
          <w:bCs/>
          <w:color w:val="auto"/>
          <w:sz w:val="24"/>
          <w:lang w:val="en-US" w:eastAsia="zh-CN"/>
        </w:rPr>
        <w:t>外立面装饰铝板线条及一层、二层外立面</w:t>
      </w:r>
      <w:r>
        <w:rPr>
          <w:rFonts w:hint="eastAsia" w:ascii="仿宋" w:hAnsi="仿宋" w:eastAsia="仿宋" w:cs="仿宋"/>
          <w:bCs/>
          <w:color w:val="auto"/>
          <w:sz w:val="24"/>
          <w:lang w:val="en-US" w:eastAsia="zh-CN"/>
        </w:rPr>
        <w:t>陶土砖</w:t>
      </w:r>
      <w:r>
        <w:rPr>
          <w:rFonts w:ascii="仿宋" w:hAnsi="仿宋" w:eastAsia="仿宋" w:cs="仿宋"/>
          <w:bCs/>
          <w:color w:val="auto"/>
          <w:sz w:val="24"/>
          <w:lang w:val="en-US" w:eastAsia="zh-CN"/>
        </w:rPr>
        <w:t>幕墙施工</w:t>
      </w:r>
      <w:r>
        <w:rPr>
          <w:rFonts w:hint="eastAsia" w:ascii="仿宋" w:hAnsi="仿宋" w:eastAsia="仿宋" w:cs="仿宋"/>
          <w:bCs/>
          <w:color w:val="auto"/>
          <w:sz w:val="24"/>
          <w:lang w:val="en-US" w:eastAsia="zh-CN"/>
        </w:rPr>
        <w:t>（面积约2500平方米）</w:t>
      </w:r>
      <w:r>
        <w:rPr>
          <w:rFonts w:ascii="仿宋" w:hAnsi="仿宋" w:eastAsia="仿宋" w:cs="仿宋"/>
          <w:bCs/>
          <w:color w:val="auto"/>
          <w:sz w:val="24"/>
        </w:rPr>
        <w:t>及保修期服务等，达到竣工验收移交标准</w:t>
      </w:r>
    </w:p>
    <w:p>
      <w:pPr>
        <w:spacing w:line="360" w:lineRule="auto"/>
        <w:ind w:firstLine="480"/>
        <w:jc w:val="left"/>
        <w:rPr>
          <w:color w:val="auto"/>
        </w:rPr>
      </w:pPr>
      <w:r>
        <w:rPr>
          <w:rFonts w:ascii="仿宋" w:hAnsi="仿宋" w:eastAsia="仿宋" w:cs="仿宋"/>
          <w:color w:val="auto"/>
          <w:sz w:val="24"/>
        </w:rPr>
        <w:t>2、其他</w:t>
      </w:r>
    </w:p>
    <w:p>
      <w:pPr>
        <w:spacing w:line="360" w:lineRule="auto"/>
        <w:ind w:firstLine="480"/>
        <w:jc w:val="left"/>
        <w:rPr>
          <w:color w:val="auto"/>
        </w:rPr>
      </w:pPr>
      <w:r>
        <w:rPr>
          <w:rFonts w:ascii="仿宋" w:hAnsi="仿宋" w:eastAsia="仿宋" w:cs="仿宋"/>
          <w:color w:val="auto"/>
          <w:sz w:val="24"/>
        </w:rPr>
        <w:t>（1）所有的细目详见工程招标图纸、工程量清单及合同条款。</w:t>
      </w:r>
    </w:p>
    <w:p>
      <w:pPr>
        <w:spacing w:line="360" w:lineRule="auto"/>
        <w:ind w:firstLine="480"/>
        <w:jc w:val="left"/>
        <w:rPr>
          <w:color w:val="auto"/>
        </w:rPr>
      </w:pPr>
      <w:r>
        <w:rPr>
          <w:rFonts w:ascii="仿宋" w:hAnsi="仿宋" w:eastAsia="仿宋" w:cs="仿宋"/>
          <w:color w:val="auto"/>
          <w:sz w:val="24"/>
        </w:rPr>
        <w:t>（2）承包人不能拒绝执行为完成全部工程而需执行的可能遗漏的工作。发包人保留调整发包范围的权利，承包人不得提出异议。</w:t>
      </w:r>
    </w:p>
    <w:p>
      <w:pPr>
        <w:spacing w:line="360" w:lineRule="auto"/>
        <w:ind w:firstLine="480"/>
        <w:jc w:val="left"/>
        <w:rPr>
          <w:color w:val="auto"/>
        </w:rPr>
      </w:pPr>
      <w:r>
        <w:rPr>
          <w:rFonts w:ascii="仿宋" w:hAnsi="仿宋" w:eastAsia="仿宋" w:cs="仿宋"/>
          <w:color w:val="auto"/>
          <w:sz w:val="24"/>
          <w:szCs w:val="24"/>
        </w:rPr>
        <w:t>（3）工程界面详见招标图纸。</w:t>
      </w:r>
    </w:p>
    <w:p>
      <w:pPr>
        <w:pStyle w:val="155"/>
        <w:snapToGrid w:val="0"/>
        <w:spacing w:line="360" w:lineRule="auto"/>
        <w:ind w:firstLine="0"/>
        <w:rPr>
          <w:rFonts w:ascii="仿宋" w:hAnsi="仿宋" w:eastAsia="仿宋"/>
          <w:b/>
          <w:color w:val="auto"/>
          <w:sz w:val="24"/>
          <w:szCs w:val="24"/>
        </w:rPr>
      </w:pPr>
      <w:r>
        <w:rPr>
          <w:rFonts w:ascii="仿宋" w:hAnsi="仿宋" w:eastAsia="仿宋"/>
          <w:b/>
          <w:color w:val="auto"/>
          <w:sz w:val="24"/>
          <w:szCs w:val="24"/>
        </w:rPr>
        <w:t>工期要求：</w:t>
      </w:r>
    </w:p>
    <w:p>
      <w:pPr>
        <w:pStyle w:val="155"/>
        <w:snapToGrid w:val="0"/>
        <w:spacing w:line="360" w:lineRule="auto"/>
        <w:ind w:firstLine="480"/>
        <w:rPr>
          <w:color w:val="auto"/>
        </w:rPr>
      </w:pPr>
      <w:r>
        <w:rPr>
          <w:rFonts w:ascii="仿宋" w:hAnsi="仿宋" w:eastAsia="仿宋"/>
          <w:bCs/>
          <w:color w:val="auto"/>
          <w:sz w:val="24"/>
          <w:szCs w:val="24"/>
        </w:rPr>
        <w:t>总工期：</w:t>
      </w:r>
      <w:r>
        <w:rPr>
          <w:rFonts w:ascii="仿宋" w:hAnsi="仿宋" w:eastAsia="仿宋"/>
          <w:bCs/>
          <w:color w:val="auto"/>
          <w:sz w:val="24"/>
          <w:szCs w:val="24"/>
          <w:u w:val="single"/>
        </w:rPr>
        <w:t>80</w:t>
      </w:r>
      <w:r>
        <w:rPr>
          <w:rFonts w:ascii="仿宋" w:hAnsi="仿宋" w:eastAsia="仿宋"/>
          <w:bCs/>
          <w:color w:val="auto"/>
          <w:sz w:val="24"/>
          <w:szCs w:val="24"/>
        </w:rPr>
        <w:t xml:space="preserve"> 日历天</w:t>
      </w:r>
    </w:p>
    <w:p>
      <w:pPr>
        <w:pStyle w:val="155"/>
        <w:snapToGrid w:val="0"/>
        <w:spacing w:line="360" w:lineRule="auto"/>
        <w:ind w:firstLine="482"/>
        <w:rPr>
          <w:rFonts w:ascii="仿宋" w:hAnsi="仿宋" w:eastAsia="仿宋"/>
          <w:b/>
          <w:bCs/>
          <w:color w:val="auto"/>
          <w:sz w:val="24"/>
          <w:szCs w:val="24"/>
        </w:rPr>
      </w:pPr>
      <w:r>
        <w:rPr>
          <w:rFonts w:ascii="仿宋" w:hAnsi="仿宋" w:eastAsia="仿宋"/>
          <w:b/>
          <w:bCs/>
          <w:color w:val="auto"/>
          <w:sz w:val="24"/>
          <w:szCs w:val="24"/>
        </w:rPr>
        <w:t>注：开工时间以监理单位签发的开工令为准。</w:t>
      </w:r>
    </w:p>
    <w:p>
      <w:pPr>
        <w:spacing w:line="360" w:lineRule="auto"/>
        <w:ind w:firstLine="480"/>
        <w:jc w:val="left"/>
        <w:rPr>
          <w:color w:val="auto"/>
        </w:rPr>
      </w:pPr>
      <w:r>
        <w:rPr>
          <w:rFonts w:ascii="仿宋" w:hAnsi="仿宋" w:eastAsia="仿宋" w:cs="仿宋"/>
          <w:color w:val="auto"/>
          <w:sz w:val="24"/>
          <w:szCs w:val="24"/>
        </w:rPr>
        <w:t>处罚条款：</w:t>
      </w:r>
      <w:r>
        <w:rPr>
          <w:rFonts w:ascii="宋体" w:hAnsi="宋体" w:eastAsia="仿宋" w:cs="宋体"/>
          <w:bCs/>
          <w:color w:val="auto"/>
          <w:sz w:val="24"/>
          <w:szCs w:val="21"/>
          <w:lang w:val="en-US" w:eastAsia="zh-CN"/>
        </w:rPr>
        <w:t>如因承包人原因</w:t>
      </w:r>
      <w:r>
        <w:rPr>
          <w:rFonts w:ascii="仿宋" w:hAnsi="仿宋" w:eastAsia="仿宋" w:cs="仿宋"/>
          <w:bCs/>
          <w:color w:val="auto"/>
          <w:sz w:val="24"/>
          <w:szCs w:val="24"/>
          <w:lang w:val="en-US" w:eastAsia="zh-CN"/>
        </w:rPr>
        <w:t>未能按期完成，拖期违约罚款0.5万元/日历天，总罚金不超过合同额的5%。</w:t>
      </w:r>
    </w:p>
    <w:p>
      <w:pPr>
        <w:snapToGrid w:val="0"/>
        <w:spacing w:line="360" w:lineRule="auto"/>
        <w:rPr>
          <w:color w:val="auto"/>
        </w:rPr>
      </w:pPr>
      <w:r>
        <w:rPr>
          <w:rFonts w:ascii="仿宋" w:hAnsi="仿宋" w:eastAsia="仿宋"/>
          <w:b/>
          <w:color w:val="auto"/>
          <w:sz w:val="24"/>
          <w:szCs w:val="24"/>
        </w:rPr>
        <w:t>投标保证金：</w:t>
      </w:r>
      <w:r>
        <w:rPr>
          <w:rFonts w:ascii="仿宋" w:hAnsi="仿宋" w:eastAsia="仿宋"/>
          <w:b/>
          <w:color w:val="auto"/>
          <w:sz w:val="24"/>
          <w:szCs w:val="24"/>
          <w:u w:val="single"/>
        </w:rPr>
        <w:t>无</w:t>
      </w:r>
      <w:r>
        <w:rPr>
          <w:rFonts w:ascii="仿宋" w:hAnsi="仿宋" w:eastAsia="仿宋"/>
          <w:color w:val="auto"/>
          <w:sz w:val="24"/>
          <w:szCs w:val="24"/>
        </w:rPr>
        <w:t>，但</w:t>
      </w:r>
      <w:r>
        <w:rPr>
          <w:rFonts w:ascii="仿宋" w:hAnsi="仿宋" w:eastAsia="仿宋"/>
          <w:bCs/>
          <w:color w:val="auto"/>
          <w:sz w:val="24"/>
          <w:szCs w:val="24"/>
        </w:rPr>
        <w:t>中标人弃标或转标或中标后28天内因中标人原因导致合同未签订，招标人有权向上级主管部门提请记录中标人的不良行为。</w:t>
      </w:r>
    </w:p>
    <w:p>
      <w:pPr>
        <w:spacing w:line="360" w:lineRule="auto"/>
        <w:jc w:val="left"/>
        <w:rPr>
          <w:rFonts w:ascii="仿宋" w:hAnsi="仿宋" w:eastAsia="仿宋" w:cs="仿宋"/>
          <w:color w:val="auto"/>
          <w:kern w:val="0"/>
          <w:sz w:val="24"/>
          <w:szCs w:val="24"/>
        </w:rPr>
      </w:pPr>
      <w:r>
        <w:rPr>
          <w:rFonts w:ascii="仿宋" w:hAnsi="仿宋" w:eastAsia="仿宋" w:cs="仿宋"/>
          <w:b/>
          <w:color w:val="auto"/>
          <w:kern w:val="0"/>
          <w:sz w:val="24"/>
          <w:szCs w:val="24"/>
        </w:rPr>
        <w:t>递交投标文件的时间及地点：</w:t>
      </w:r>
      <w:r>
        <w:rPr>
          <w:rFonts w:ascii="仿宋" w:hAnsi="仿宋" w:eastAsia="仿宋" w:cs="仿宋"/>
          <w:color w:val="auto"/>
          <w:kern w:val="0"/>
          <w:sz w:val="24"/>
          <w:szCs w:val="24"/>
        </w:rPr>
        <w:t>2022年</w:t>
      </w:r>
      <w:r>
        <w:rPr>
          <w:rFonts w:hint="eastAsia" w:ascii="仿宋" w:hAnsi="仿宋" w:eastAsia="仿宋" w:cs="仿宋"/>
          <w:color w:val="auto"/>
          <w:kern w:val="0"/>
          <w:sz w:val="24"/>
          <w:szCs w:val="24"/>
          <w:lang w:val="en-US" w:eastAsia="zh-CN"/>
        </w:rPr>
        <w:t>4</w:t>
      </w:r>
      <w:r>
        <w:rPr>
          <w:rFonts w:ascii="仿宋" w:hAnsi="仿宋" w:eastAsia="仿宋" w:cs="仿宋"/>
          <w:color w:val="auto"/>
          <w:kern w:val="0"/>
          <w:sz w:val="24"/>
          <w:szCs w:val="24"/>
        </w:rPr>
        <w:t xml:space="preserve"> 月</w:t>
      </w:r>
      <w:r>
        <w:rPr>
          <w:rFonts w:hint="eastAsia" w:ascii="仿宋" w:hAnsi="仿宋" w:eastAsia="仿宋" w:cs="仿宋"/>
          <w:color w:val="auto"/>
          <w:kern w:val="0"/>
          <w:sz w:val="24"/>
          <w:szCs w:val="24"/>
          <w:lang w:val="en-US" w:eastAsia="zh-CN"/>
        </w:rPr>
        <w:t>8</w:t>
      </w:r>
      <w:r>
        <w:rPr>
          <w:rFonts w:ascii="仿宋" w:hAnsi="仿宋" w:eastAsia="仿宋" w:cs="仿宋"/>
          <w:color w:val="auto"/>
          <w:kern w:val="0"/>
          <w:sz w:val="24"/>
          <w:szCs w:val="24"/>
        </w:rPr>
        <w:t xml:space="preserve"> 日</w:t>
      </w:r>
      <w:r>
        <w:rPr>
          <w:rFonts w:hint="eastAsia" w:ascii="仿宋" w:hAnsi="仿宋" w:eastAsia="仿宋" w:cs="仿宋"/>
          <w:color w:val="auto"/>
          <w:kern w:val="0"/>
          <w:sz w:val="24"/>
          <w:szCs w:val="24"/>
          <w:lang w:val="en-US" w:eastAsia="zh-CN"/>
        </w:rPr>
        <w:t>10</w:t>
      </w:r>
      <w:r>
        <w:rPr>
          <w:rFonts w:ascii="仿宋" w:hAnsi="仿宋" w:eastAsia="仿宋" w:cs="仿宋"/>
          <w:color w:val="auto"/>
          <w:kern w:val="0"/>
          <w:sz w:val="24"/>
          <w:szCs w:val="24"/>
        </w:rPr>
        <w:t>点</w:t>
      </w:r>
      <w:r>
        <w:rPr>
          <w:rFonts w:hint="eastAsia" w:ascii="仿宋" w:hAnsi="仿宋" w:eastAsia="仿宋" w:cs="仿宋"/>
          <w:color w:val="auto"/>
          <w:kern w:val="0"/>
          <w:sz w:val="24"/>
          <w:szCs w:val="24"/>
          <w:lang w:val="en-US" w:eastAsia="zh-CN"/>
        </w:rPr>
        <w:t>00</w:t>
      </w:r>
      <w:r>
        <w:rPr>
          <w:rFonts w:ascii="仿宋" w:hAnsi="仿宋" w:eastAsia="仿宋" w:cs="仿宋"/>
          <w:color w:val="auto"/>
          <w:kern w:val="0"/>
          <w:sz w:val="24"/>
          <w:szCs w:val="24"/>
        </w:rPr>
        <w:t xml:space="preserve">分 </w:t>
      </w:r>
      <w:r>
        <w:rPr>
          <w:rFonts w:ascii="仿宋" w:hAnsi="仿宋" w:eastAsia="仿宋" w:cs="仿宋"/>
          <w:color w:val="auto"/>
          <w:sz w:val="24"/>
        </w:rPr>
        <w:t>深圳市建筑工务署教育工程管理中心</w:t>
      </w:r>
      <w:r>
        <w:rPr>
          <w:rFonts w:ascii="仿宋" w:hAnsi="仿宋" w:eastAsia="仿宋" w:cs="仿宋"/>
          <w:color w:val="auto"/>
          <w:kern w:val="0"/>
          <w:sz w:val="24"/>
          <w:szCs w:val="24"/>
        </w:rPr>
        <w:t>328会议室</w:t>
      </w:r>
    </w:p>
    <w:p>
      <w:pPr>
        <w:spacing w:line="360" w:lineRule="auto"/>
        <w:jc w:val="left"/>
        <w:rPr>
          <w:rFonts w:ascii="仿宋" w:hAnsi="仿宋" w:eastAsia="仿宋" w:cs="仿宋"/>
          <w:color w:val="auto"/>
          <w:sz w:val="24"/>
          <w:szCs w:val="24"/>
        </w:rPr>
      </w:pPr>
      <w:r>
        <w:rPr>
          <w:rFonts w:ascii="仿宋" w:hAnsi="仿宋" w:eastAsia="仿宋" w:cs="仿宋"/>
          <w:b/>
          <w:color w:val="auto"/>
          <w:kern w:val="0"/>
          <w:sz w:val="24"/>
          <w:szCs w:val="24"/>
        </w:rPr>
        <w:t>开标（截标）时间及地点：</w:t>
      </w:r>
      <w:r>
        <w:rPr>
          <w:rFonts w:ascii="仿宋" w:hAnsi="仿宋" w:eastAsia="仿宋" w:cs="仿宋"/>
          <w:color w:val="auto"/>
          <w:kern w:val="0"/>
          <w:sz w:val="24"/>
          <w:szCs w:val="24"/>
        </w:rPr>
        <w:t xml:space="preserve">2022年 </w:t>
      </w:r>
      <w:r>
        <w:rPr>
          <w:rFonts w:hint="eastAsia" w:ascii="仿宋" w:hAnsi="仿宋" w:eastAsia="仿宋" w:cs="仿宋"/>
          <w:color w:val="auto"/>
          <w:kern w:val="0"/>
          <w:sz w:val="24"/>
          <w:szCs w:val="24"/>
          <w:lang w:val="en-US" w:eastAsia="zh-CN"/>
        </w:rPr>
        <w:t>4</w:t>
      </w:r>
      <w:r>
        <w:rPr>
          <w:rFonts w:ascii="仿宋" w:hAnsi="仿宋" w:eastAsia="仿宋" w:cs="仿宋"/>
          <w:color w:val="auto"/>
          <w:kern w:val="0"/>
          <w:sz w:val="24"/>
          <w:szCs w:val="24"/>
        </w:rPr>
        <w:t xml:space="preserve">月 </w:t>
      </w:r>
      <w:r>
        <w:rPr>
          <w:rFonts w:hint="eastAsia" w:ascii="仿宋" w:hAnsi="仿宋" w:eastAsia="仿宋" w:cs="仿宋"/>
          <w:color w:val="auto"/>
          <w:kern w:val="0"/>
          <w:sz w:val="24"/>
          <w:szCs w:val="24"/>
          <w:lang w:val="en-US" w:eastAsia="zh-CN"/>
        </w:rPr>
        <w:t>8</w:t>
      </w:r>
      <w:r>
        <w:rPr>
          <w:rFonts w:ascii="仿宋" w:hAnsi="仿宋" w:eastAsia="仿宋" w:cs="仿宋"/>
          <w:color w:val="auto"/>
          <w:kern w:val="0"/>
          <w:sz w:val="24"/>
          <w:szCs w:val="24"/>
        </w:rPr>
        <w:t>日</w:t>
      </w:r>
      <w:r>
        <w:rPr>
          <w:rFonts w:hint="eastAsia" w:ascii="仿宋" w:hAnsi="仿宋" w:eastAsia="仿宋" w:cs="仿宋"/>
          <w:color w:val="auto"/>
          <w:kern w:val="0"/>
          <w:sz w:val="24"/>
          <w:szCs w:val="24"/>
          <w:lang w:val="en-US" w:eastAsia="zh-CN"/>
        </w:rPr>
        <w:t>10</w:t>
      </w:r>
      <w:r>
        <w:rPr>
          <w:rFonts w:ascii="仿宋" w:hAnsi="仿宋" w:eastAsia="仿宋" w:cs="仿宋"/>
          <w:color w:val="auto"/>
          <w:kern w:val="0"/>
          <w:sz w:val="24"/>
          <w:szCs w:val="24"/>
        </w:rPr>
        <w:t>点</w:t>
      </w:r>
      <w:r>
        <w:rPr>
          <w:rFonts w:hint="eastAsia" w:ascii="仿宋" w:hAnsi="仿宋" w:eastAsia="仿宋" w:cs="仿宋"/>
          <w:color w:val="auto"/>
          <w:kern w:val="0"/>
          <w:sz w:val="24"/>
          <w:szCs w:val="24"/>
          <w:lang w:val="en-US" w:eastAsia="zh-CN"/>
        </w:rPr>
        <w:t>00</w:t>
      </w:r>
      <w:r>
        <w:rPr>
          <w:rFonts w:ascii="仿宋" w:hAnsi="仿宋" w:eastAsia="仿宋" w:cs="仿宋"/>
          <w:color w:val="auto"/>
          <w:kern w:val="0"/>
          <w:sz w:val="24"/>
          <w:szCs w:val="24"/>
        </w:rPr>
        <w:t xml:space="preserve">分 </w:t>
      </w:r>
      <w:r>
        <w:rPr>
          <w:rFonts w:ascii="仿宋" w:hAnsi="仿宋" w:eastAsia="仿宋" w:cs="仿宋"/>
          <w:color w:val="auto"/>
          <w:sz w:val="24"/>
        </w:rPr>
        <w:t>深圳市建筑工务署教育工程管理中心</w:t>
      </w:r>
      <w:r>
        <w:rPr>
          <w:rFonts w:ascii="仿宋" w:hAnsi="仿宋" w:eastAsia="仿宋" w:cs="仿宋"/>
          <w:color w:val="auto"/>
          <w:kern w:val="0"/>
          <w:sz w:val="24"/>
          <w:szCs w:val="24"/>
        </w:rPr>
        <w:t>328会议室</w:t>
      </w:r>
    </w:p>
    <w:p>
      <w:pPr>
        <w:snapToGrid w:val="0"/>
        <w:spacing w:line="360" w:lineRule="auto"/>
        <w:rPr>
          <w:rFonts w:ascii="仿宋" w:hAnsi="仿宋" w:eastAsia="仿宋" w:cs="宋体"/>
          <w:color w:val="auto"/>
          <w:kern w:val="0"/>
          <w:sz w:val="24"/>
        </w:rPr>
      </w:pPr>
      <w:r>
        <w:rPr>
          <w:rFonts w:ascii="仿宋" w:hAnsi="仿宋" w:eastAsia="仿宋" w:cs="仿宋"/>
          <w:b/>
          <w:color w:val="auto"/>
          <w:sz w:val="24"/>
          <w:szCs w:val="24"/>
        </w:rPr>
        <w:t>拟采用的定标方法</w:t>
      </w:r>
      <w:r>
        <w:rPr>
          <w:rFonts w:ascii="仿宋" w:hAnsi="仿宋" w:eastAsia="仿宋" w:cs="仿宋"/>
          <w:color w:val="auto"/>
          <w:sz w:val="24"/>
          <w:szCs w:val="24"/>
        </w:rPr>
        <w:t>：</w:t>
      </w:r>
      <w:r>
        <w:rPr>
          <w:rFonts w:ascii="仿宋" w:hAnsi="仿宋" w:eastAsia="仿宋" w:cs="仿宋"/>
          <w:bCs/>
          <w:color w:val="auto"/>
          <w:sz w:val="24"/>
          <w:szCs w:val="24"/>
        </w:rPr>
        <w:t>一次票决法</w:t>
      </w:r>
    </w:p>
    <w:p>
      <w:pPr>
        <w:snapToGrid w:val="0"/>
        <w:spacing w:line="360" w:lineRule="auto"/>
        <w:rPr>
          <w:color w:val="auto"/>
        </w:rPr>
      </w:pPr>
      <w:r>
        <w:rPr>
          <w:rFonts w:ascii="仿宋" w:hAnsi="仿宋" w:eastAsia="仿宋" w:cs="仿宋"/>
          <w:b/>
          <w:color w:val="auto"/>
          <w:sz w:val="24"/>
          <w:szCs w:val="24"/>
        </w:rPr>
        <w:t>投标报价上限价：￥</w:t>
      </w:r>
      <w:r>
        <w:rPr>
          <w:rFonts w:hint="eastAsia" w:ascii="仿宋" w:hAnsi="仿宋" w:eastAsia="仿宋" w:cs="仿宋"/>
          <w:b/>
          <w:color w:val="auto"/>
          <w:sz w:val="24"/>
          <w:szCs w:val="24"/>
          <w:lang w:val="en-US" w:eastAsia="zh-CN"/>
        </w:rPr>
        <w:t>3005442.38</w:t>
      </w:r>
      <w:r>
        <w:rPr>
          <w:rFonts w:ascii="仿宋" w:hAnsi="仿宋" w:eastAsia="仿宋" w:cs="仿宋"/>
          <w:b/>
          <w:color w:val="auto"/>
          <w:sz w:val="24"/>
          <w:szCs w:val="24"/>
        </w:rPr>
        <w:t>元（公示的招标控制价总价净下浮10%）。</w:t>
      </w:r>
    </w:p>
    <w:p>
      <w:pPr>
        <w:snapToGrid w:val="0"/>
        <w:spacing w:line="360" w:lineRule="auto"/>
        <w:rPr>
          <w:rFonts w:ascii="仿宋" w:hAnsi="仿宋" w:eastAsia="仿宋" w:cs="仿宋"/>
          <w:b/>
          <w:color w:val="auto"/>
          <w:sz w:val="24"/>
          <w:szCs w:val="24"/>
          <w:highlight w:val="yellow"/>
        </w:rPr>
      </w:pPr>
      <w:r>
        <w:rPr>
          <w:rFonts w:ascii="仿宋" w:hAnsi="仿宋" w:eastAsia="仿宋" w:cs="仿宋"/>
          <w:b/>
          <w:color w:val="auto"/>
          <w:sz w:val="24"/>
          <w:szCs w:val="24"/>
        </w:rPr>
        <w:t>计价原则</w:t>
      </w:r>
      <w:r>
        <w:rPr>
          <w:rFonts w:ascii="仿宋" w:hAnsi="仿宋" w:eastAsia="仿宋" w:cs="仿宋"/>
          <w:b/>
          <w:color w:val="auto"/>
          <w:sz w:val="24"/>
          <w:szCs w:val="24"/>
          <w:highlight w:val="none"/>
        </w:rPr>
        <w:t>：固定</w:t>
      </w:r>
      <w:r>
        <w:rPr>
          <w:rFonts w:hint="eastAsia" w:ascii="仿宋" w:hAnsi="仿宋" w:eastAsia="仿宋" w:cs="仿宋"/>
          <w:b/>
          <w:color w:val="auto"/>
          <w:sz w:val="24"/>
          <w:szCs w:val="24"/>
          <w:highlight w:val="none"/>
          <w:lang w:val="en-US" w:eastAsia="zh-CN"/>
        </w:rPr>
        <w:t>综合</w:t>
      </w:r>
      <w:r>
        <w:rPr>
          <w:rFonts w:ascii="仿宋" w:hAnsi="仿宋" w:eastAsia="仿宋" w:cs="仿宋"/>
          <w:b/>
          <w:color w:val="auto"/>
          <w:sz w:val="24"/>
          <w:szCs w:val="24"/>
          <w:highlight w:val="none"/>
        </w:rPr>
        <w:t>单价。</w:t>
      </w:r>
    </w:p>
    <w:p>
      <w:pPr>
        <w:snapToGrid w:val="0"/>
        <w:spacing w:line="360" w:lineRule="auto"/>
        <w:rPr>
          <w:rFonts w:ascii="仿宋" w:hAnsi="仿宋" w:eastAsia="仿宋" w:cs="仿宋"/>
          <w:b/>
          <w:color w:val="auto"/>
          <w:sz w:val="24"/>
          <w:szCs w:val="24"/>
        </w:rPr>
      </w:pPr>
      <w:r>
        <w:rPr>
          <w:rFonts w:ascii="仿宋" w:hAnsi="仿宋" w:eastAsia="仿宋" w:cs="仿宋"/>
          <w:b/>
          <w:color w:val="auto"/>
          <w:sz w:val="24"/>
          <w:szCs w:val="24"/>
        </w:rPr>
        <w:t>计价依据：</w:t>
      </w:r>
    </w:p>
    <w:p>
      <w:pPr>
        <w:snapToGrid w:val="0"/>
        <w:spacing w:line="360" w:lineRule="auto"/>
        <w:ind w:firstLine="480"/>
        <w:jc w:val="left"/>
        <w:rPr>
          <w:color w:val="auto"/>
        </w:rPr>
      </w:pPr>
      <w:r>
        <w:rPr>
          <w:rFonts w:ascii="仿宋" w:hAnsi="仿宋" w:eastAsia="仿宋" w:cs="宋体"/>
          <w:color w:val="auto"/>
          <w:kern w:val="0"/>
          <w:sz w:val="24"/>
          <w:szCs w:val="24"/>
        </w:rPr>
        <w:t>本</w:t>
      </w:r>
      <w:r>
        <w:rPr>
          <w:rFonts w:ascii="仿宋" w:hAnsi="仿宋" w:eastAsia="仿宋" w:cs="宋体"/>
          <w:color w:val="auto"/>
          <w:kern w:val="0"/>
          <w:sz w:val="24"/>
          <w:szCs w:val="24"/>
          <w:lang w:val="en-US" w:eastAsia="zh-CN"/>
        </w:rPr>
        <w:t>项目幕墙工程施工</w:t>
      </w:r>
      <w:r>
        <w:rPr>
          <w:rFonts w:ascii="仿宋" w:hAnsi="仿宋" w:eastAsia="仿宋" w:cs="宋体"/>
          <w:color w:val="auto"/>
          <w:kern w:val="0"/>
          <w:sz w:val="24"/>
          <w:szCs w:val="24"/>
        </w:rPr>
        <w:t>图、《深圳市建筑工程消耗量标准（2016）》、《深圳市装饰工程消耗量定额（2020）》、《深圳市建设工程施工工期定额（2017）》</w:t>
      </w:r>
    </w:p>
    <w:p>
      <w:pPr>
        <w:snapToGrid w:val="0"/>
        <w:spacing w:line="360" w:lineRule="auto"/>
        <w:rPr>
          <w:rFonts w:ascii="仿宋" w:hAnsi="仿宋" w:eastAsia="仿宋" w:cs="仿宋"/>
          <w:color w:val="auto"/>
          <w:sz w:val="24"/>
          <w:szCs w:val="24"/>
        </w:rPr>
      </w:pPr>
      <w:r>
        <w:rPr>
          <w:rFonts w:ascii="仿宋" w:hAnsi="仿宋" w:eastAsia="仿宋" w:cs="仿宋"/>
          <w:b/>
          <w:color w:val="auto"/>
          <w:sz w:val="24"/>
          <w:szCs w:val="24"/>
        </w:rPr>
        <w:t>付款方式：</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1、工程进度款的支付</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合同签订后一次性支付全部安全文明施工措施费，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2、工程结算款的支付</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工程竣工结算后，支付到审定工程结算总额的97%。</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3、质量保证金</w:t>
      </w:r>
    </w:p>
    <w:p>
      <w:pPr>
        <w:spacing w:line="360" w:lineRule="auto"/>
        <w:ind w:firstLine="480"/>
        <w:jc w:val="left"/>
        <w:rPr>
          <w:rFonts w:ascii="仿宋" w:hAnsi="仿宋" w:eastAsia="仿宋" w:cs="仿宋"/>
          <w:bCs/>
          <w:color w:val="auto"/>
          <w:kern w:val="2"/>
          <w:sz w:val="24"/>
          <w:szCs w:val="24"/>
          <w:lang w:val="en-US" w:eastAsia="zh-CN" w:bidi="ar-SA"/>
        </w:rPr>
      </w:pPr>
      <w:r>
        <w:rPr>
          <w:rFonts w:ascii="仿宋" w:hAnsi="仿宋" w:eastAsia="仿宋" w:cs="仿宋"/>
          <w:bCs/>
          <w:color w:val="auto"/>
          <w:kern w:val="2"/>
          <w:sz w:val="24"/>
          <w:szCs w:val="24"/>
          <w:lang w:val="en-US" w:eastAsia="zh-CN" w:bidi="ar-SA"/>
        </w:rPr>
        <w:t>预留结算总额的3%为质量保证金，待保修期结束后予以支付。（注：保修期2年，自本工程竣工验收之日起算）</w:t>
      </w:r>
    </w:p>
    <w:p>
      <w:pPr>
        <w:pStyle w:val="2"/>
        <w:spacing w:line="360" w:lineRule="auto"/>
        <w:rPr>
          <w:color w:val="auto"/>
        </w:rPr>
      </w:pPr>
      <w:r>
        <w:rPr>
          <w:rFonts w:ascii="仿宋" w:hAnsi="仿宋" w:eastAsia="仿宋" w:cs="仿宋"/>
          <w:b/>
          <w:color w:val="auto"/>
          <w:sz w:val="24"/>
        </w:rPr>
        <w:t>投标人资质要求：</w:t>
      </w:r>
    </w:p>
    <w:p>
      <w:pPr>
        <w:pStyle w:val="2"/>
        <w:numPr>
          <w:ilvl w:val="0"/>
          <w:numId w:val="2"/>
        </w:numPr>
        <w:spacing w:line="360" w:lineRule="auto"/>
        <w:rPr>
          <w:b w:val="0"/>
          <w:bCs w:val="0"/>
          <w:color w:val="auto"/>
        </w:rPr>
      </w:pPr>
      <w:r>
        <w:rPr>
          <w:rFonts w:ascii="仿宋" w:hAnsi="仿宋" w:eastAsia="仿宋" w:cs="仿宋"/>
          <w:b w:val="0"/>
          <w:bCs w:val="0"/>
          <w:color w:val="auto"/>
          <w:sz w:val="24"/>
          <w:lang w:val="en-US" w:eastAsia="zh-CN"/>
        </w:rPr>
        <w:t>按照建筑业企业资质管理规定和相关政策规定拟定投标人资质为：建筑幕墙工程专业承包资质二级及以上；</w:t>
      </w:r>
    </w:p>
    <w:p>
      <w:pPr>
        <w:pStyle w:val="2"/>
        <w:spacing w:line="360" w:lineRule="auto"/>
        <w:rPr>
          <w:b w:val="0"/>
          <w:bCs w:val="0"/>
          <w:color w:val="auto"/>
        </w:rPr>
      </w:pPr>
      <w:r>
        <w:rPr>
          <w:rFonts w:ascii="仿宋" w:hAnsi="仿宋" w:eastAsia="仿宋" w:cs="仿宋"/>
          <w:b w:val="0"/>
          <w:bCs w:val="0"/>
          <w:color w:val="auto"/>
          <w:kern w:val="2"/>
          <w:sz w:val="24"/>
          <w:lang w:val="en-US" w:eastAsia="zh-CN"/>
        </w:rPr>
        <w:t>2、选用建造师执业资格及等级：</w:t>
      </w:r>
      <w:r>
        <w:rPr>
          <w:rFonts w:hint="eastAsia" w:ascii="仿宋" w:hAnsi="仿宋" w:eastAsia="仿宋" w:cs="仿宋"/>
          <w:b w:val="0"/>
          <w:bCs w:val="0"/>
          <w:color w:val="auto"/>
          <w:sz w:val="24"/>
          <w:lang w:val="en-US" w:eastAsia="zh-CN"/>
        </w:rPr>
        <w:t>建筑</w:t>
      </w:r>
      <w:r>
        <w:rPr>
          <w:rFonts w:ascii="仿宋" w:hAnsi="仿宋" w:eastAsia="仿宋" w:cs="仿宋"/>
          <w:b w:val="0"/>
          <w:bCs w:val="0"/>
          <w:color w:val="auto"/>
          <w:sz w:val="24"/>
          <w:lang w:val="en-US" w:eastAsia="zh-CN"/>
        </w:rPr>
        <w:t>工程二级及以上；</w:t>
      </w:r>
    </w:p>
    <w:p>
      <w:pPr>
        <w:snapToGrid w:val="0"/>
        <w:spacing w:line="360" w:lineRule="auto"/>
        <w:rPr>
          <w:rFonts w:ascii="仿宋" w:hAnsi="仿宋" w:eastAsia="仿宋" w:cs="仿宋"/>
          <w:b/>
          <w:color w:val="auto"/>
          <w:sz w:val="24"/>
          <w:szCs w:val="24"/>
        </w:rPr>
      </w:pPr>
      <w:r>
        <w:rPr>
          <w:rFonts w:ascii="仿宋" w:hAnsi="仿宋" w:eastAsia="仿宋" w:cs="仿宋"/>
          <w:b/>
          <w:color w:val="auto"/>
          <w:sz w:val="24"/>
          <w:szCs w:val="24"/>
        </w:rPr>
        <w:t>本次招标内容具体要求：</w:t>
      </w:r>
    </w:p>
    <w:p>
      <w:pPr>
        <w:spacing w:line="360" w:lineRule="auto"/>
        <w:jc w:val="left"/>
        <w:rPr>
          <w:rFonts w:ascii="仿宋" w:hAnsi="仿宋" w:eastAsia="仿宋" w:cs="仿宋"/>
          <w:color w:val="auto"/>
          <w:kern w:val="0"/>
          <w:sz w:val="24"/>
          <w:szCs w:val="24"/>
        </w:rPr>
      </w:pPr>
      <w:r>
        <w:rPr>
          <w:rFonts w:ascii="仿宋" w:hAnsi="仿宋" w:eastAsia="仿宋" w:cs="仿宋"/>
          <w:b/>
          <w:bCs/>
          <w:color w:val="auto"/>
          <w:kern w:val="0"/>
          <w:sz w:val="24"/>
          <w:szCs w:val="24"/>
        </w:rPr>
        <w:t>投标资料组成</w:t>
      </w:r>
      <w:r>
        <w:rPr>
          <w:rFonts w:ascii="仿宋" w:hAnsi="仿宋" w:eastAsia="仿宋" w:cs="仿宋"/>
          <w:color w:val="auto"/>
          <w:kern w:val="0"/>
          <w:sz w:val="24"/>
          <w:szCs w:val="24"/>
        </w:rPr>
        <w:t>（按顺序装订，均须加盖单位公章）：</w:t>
      </w:r>
    </w:p>
    <w:p>
      <w:pPr>
        <w:spacing w:line="360" w:lineRule="auto"/>
        <w:ind w:firstLine="480"/>
        <w:jc w:val="left"/>
        <w:rPr>
          <w:color w:val="auto"/>
        </w:rPr>
      </w:pPr>
      <w:r>
        <w:rPr>
          <w:rFonts w:ascii="仿宋" w:hAnsi="仿宋" w:eastAsia="仿宋"/>
          <w:color w:val="auto"/>
          <w:sz w:val="24"/>
        </w:rPr>
        <w:t>1、商务投标文件：</w:t>
      </w:r>
    </w:p>
    <w:p>
      <w:pPr>
        <w:spacing w:line="360" w:lineRule="auto"/>
        <w:ind w:firstLine="480"/>
        <w:jc w:val="left"/>
        <w:rPr>
          <w:color w:val="auto"/>
        </w:rPr>
      </w:pPr>
      <w:r>
        <w:rPr>
          <w:rFonts w:ascii="仿宋" w:hAnsi="仿宋" w:eastAsia="仿宋"/>
          <w:color w:val="auto"/>
          <w:sz w:val="24"/>
        </w:rPr>
        <w:t>（1）投标报价书（按附表格式，纸质文件签名加盖公章）</w:t>
      </w:r>
    </w:p>
    <w:p>
      <w:pPr>
        <w:spacing w:line="360" w:lineRule="auto"/>
        <w:ind w:firstLine="480"/>
        <w:jc w:val="left"/>
        <w:rPr>
          <w:color w:val="auto"/>
        </w:rPr>
      </w:pPr>
      <w:r>
        <w:rPr>
          <w:rFonts w:ascii="仿宋" w:hAnsi="仿宋" w:eastAsia="仿宋"/>
          <w:color w:val="auto"/>
          <w:sz w:val="24"/>
        </w:rPr>
        <w:t>（2）工程量清单报价表的说明；</w:t>
      </w:r>
    </w:p>
    <w:p>
      <w:pPr>
        <w:spacing w:line="360" w:lineRule="auto"/>
        <w:ind w:firstLine="480"/>
        <w:jc w:val="left"/>
        <w:rPr>
          <w:color w:val="auto"/>
        </w:rPr>
      </w:pPr>
      <w:r>
        <w:rPr>
          <w:rFonts w:ascii="仿宋" w:hAnsi="仿宋" w:eastAsia="仿宋"/>
          <w:color w:val="auto"/>
          <w:sz w:val="24"/>
        </w:rPr>
        <w:t>（3）工程量清单报价表；</w:t>
      </w:r>
    </w:p>
    <w:p>
      <w:pPr>
        <w:spacing w:line="360" w:lineRule="auto"/>
        <w:ind w:firstLine="480"/>
        <w:jc w:val="left"/>
        <w:rPr>
          <w:color w:val="auto"/>
        </w:rPr>
      </w:pPr>
      <w:r>
        <w:rPr>
          <w:rFonts w:ascii="仿宋" w:hAnsi="仿宋" w:eastAsia="仿宋"/>
          <w:color w:val="auto"/>
          <w:sz w:val="24"/>
        </w:rPr>
        <w:t>（4）施工投标承诺函（具体格式详见附件5）；</w:t>
      </w:r>
    </w:p>
    <w:p>
      <w:pPr>
        <w:spacing w:line="360" w:lineRule="auto"/>
        <w:ind w:firstLine="480"/>
        <w:jc w:val="left"/>
        <w:rPr>
          <w:color w:val="auto"/>
        </w:rPr>
      </w:pPr>
      <w:r>
        <w:rPr>
          <w:rFonts w:ascii="仿宋" w:hAnsi="仿宋" w:eastAsia="仿宋"/>
          <w:color w:val="auto"/>
          <w:sz w:val="24"/>
        </w:rPr>
        <w:t>（5）其他资料：*.QDG文件（光盘）2张（原件和备份件各1张）</w:t>
      </w:r>
    </w:p>
    <w:p>
      <w:pPr>
        <w:spacing w:line="360" w:lineRule="auto"/>
        <w:ind w:firstLine="480"/>
        <w:jc w:val="left"/>
        <w:rPr>
          <w:color w:val="auto"/>
        </w:rPr>
      </w:pPr>
      <w:r>
        <w:rPr>
          <w:rFonts w:ascii="仿宋" w:hAnsi="仿宋" w:eastAsia="仿宋"/>
          <w:color w:val="auto"/>
          <w:sz w:val="24"/>
        </w:rPr>
        <w:t>2、营业执照（复印件加盖公章）。</w:t>
      </w:r>
    </w:p>
    <w:p>
      <w:pPr>
        <w:spacing w:line="360" w:lineRule="auto"/>
        <w:ind w:firstLine="480"/>
        <w:jc w:val="left"/>
        <w:rPr>
          <w:rFonts w:hint="eastAsia" w:ascii="仿宋" w:hAnsi="仿宋" w:eastAsia="仿宋"/>
          <w:color w:val="auto"/>
          <w:sz w:val="24"/>
          <w:lang w:val="en-US" w:eastAsia="zh-CN"/>
        </w:rPr>
      </w:pPr>
      <w:r>
        <w:rPr>
          <w:rFonts w:ascii="仿宋" w:hAnsi="仿宋" w:eastAsia="仿宋" w:cs="仿宋"/>
          <w:color w:val="auto"/>
          <w:sz w:val="24"/>
          <w:szCs w:val="24"/>
        </w:rPr>
        <w:t>3、</w:t>
      </w:r>
      <w:r>
        <w:rPr>
          <w:rFonts w:ascii="仿宋" w:hAnsi="仿宋" w:eastAsia="仿宋"/>
          <w:color w:val="auto"/>
          <w:sz w:val="24"/>
        </w:rPr>
        <w:t>法定代表人证明书、法人授权委托书、受委托人身份证复印件、企业资质证明</w:t>
      </w:r>
      <w:r>
        <w:rPr>
          <w:rFonts w:hint="eastAsia" w:ascii="仿宋" w:hAnsi="仿宋" w:eastAsia="仿宋"/>
          <w:color w:val="auto"/>
          <w:sz w:val="24"/>
          <w:lang w:val="en-US" w:eastAsia="zh-CN"/>
        </w:rPr>
        <w:t>、</w:t>
      </w:r>
      <w:r>
        <w:rPr>
          <w:rFonts w:ascii="仿宋" w:hAnsi="仿宋" w:eastAsia="仿宋"/>
          <w:color w:val="auto"/>
          <w:sz w:val="24"/>
        </w:rPr>
        <w:t>安全生产许可证</w:t>
      </w:r>
      <w:r>
        <w:rPr>
          <w:rFonts w:hint="eastAsia" w:ascii="仿宋" w:hAnsi="仿宋" w:eastAsia="仿宋"/>
          <w:color w:val="auto"/>
          <w:sz w:val="24"/>
          <w:lang w:eastAsia="zh-CN"/>
        </w:rPr>
        <w:t>、</w:t>
      </w:r>
      <w:r>
        <w:rPr>
          <w:rFonts w:ascii="仿宋" w:hAnsi="仿宋" w:eastAsia="仿宋"/>
          <w:color w:val="auto"/>
          <w:sz w:val="24"/>
          <w:lang w:val="en-US" w:eastAsia="zh-CN"/>
        </w:rPr>
        <w:t>建造师执业资格证书</w:t>
      </w:r>
      <w:r>
        <w:rPr>
          <w:rFonts w:hint="eastAsia" w:ascii="仿宋" w:hAnsi="仿宋" w:eastAsia="仿宋"/>
          <w:color w:val="auto"/>
          <w:sz w:val="24"/>
          <w:lang w:val="en-US" w:eastAsia="zh-CN"/>
        </w:rPr>
        <w:t>和</w:t>
      </w:r>
      <w:r>
        <w:rPr>
          <w:rFonts w:ascii="仿宋" w:hAnsi="仿宋" w:eastAsia="仿宋"/>
          <w:color w:val="auto"/>
          <w:sz w:val="24"/>
        </w:rPr>
        <w:t>项目经理安全生产考核合格证</w:t>
      </w:r>
      <w:r>
        <w:rPr>
          <w:rFonts w:hint="eastAsia" w:ascii="仿宋" w:hAnsi="仿宋" w:eastAsia="仿宋"/>
          <w:color w:val="auto"/>
          <w:sz w:val="24"/>
          <w:lang w:val="en-US" w:eastAsia="zh-CN"/>
        </w:rPr>
        <w:t>。</w:t>
      </w:r>
    </w:p>
    <w:p>
      <w:pPr>
        <w:snapToGrid w:val="0"/>
        <w:spacing w:line="360" w:lineRule="auto"/>
        <w:ind w:firstLine="480"/>
        <w:jc w:val="left"/>
        <w:rPr>
          <w:color w:val="auto"/>
        </w:rPr>
      </w:pPr>
    </w:p>
    <w:p>
      <w:pPr>
        <w:spacing w:line="360" w:lineRule="auto"/>
        <w:jc w:val="left"/>
        <w:rPr>
          <w:rFonts w:ascii="仿宋" w:hAnsi="仿宋" w:eastAsia="仿宋" w:cs="仿宋"/>
          <w:b/>
          <w:bCs/>
          <w:color w:val="auto"/>
          <w:kern w:val="0"/>
          <w:sz w:val="24"/>
          <w:szCs w:val="24"/>
        </w:rPr>
      </w:pPr>
      <w:r>
        <w:rPr>
          <w:rFonts w:ascii="仿宋" w:hAnsi="仿宋" w:eastAsia="仿宋" w:cs="仿宋"/>
          <w:b/>
          <w:bCs/>
          <w:color w:val="auto"/>
          <w:kern w:val="0"/>
          <w:sz w:val="24"/>
          <w:szCs w:val="24"/>
        </w:rPr>
        <w:t>其他说明：</w:t>
      </w:r>
    </w:p>
    <w:p>
      <w:pPr>
        <w:spacing w:line="360" w:lineRule="auto"/>
        <w:ind w:firstLine="480"/>
        <w:jc w:val="left"/>
        <w:rPr>
          <w:rFonts w:ascii="仿宋" w:hAnsi="仿宋" w:eastAsia="仿宋" w:cs="仿宋"/>
          <w:color w:val="auto"/>
          <w:kern w:val="0"/>
          <w:sz w:val="24"/>
          <w:szCs w:val="24"/>
        </w:rPr>
      </w:pPr>
      <w:r>
        <w:rPr>
          <w:rFonts w:ascii="仿宋" w:hAnsi="仿宋" w:eastAsia="仿宋" w:cs="仿宋"/>
          <w:color w:val="auto"/>
          <w:kern w:val="0"/>
          <w:sz w:val="24"/>
          <w:szCs w:val="24"/>
        </w:rPr>
        <w:t>1、根据《深圳市建筑工务署小型工程简易招标管理办法(2018)》及《深圳市2021—2022年政府集中采购目录及限额标准》（深财购〔2020〕</w:t>
      </w:r>
      <w:r>
        <w:rPr>
          <w:rFonts w:hint="eastAsia" w:ascii="仿宋" w:hAnsi="仿宋" w:eastAsia="仿宋" w:cs="仿宋"/>
          <w:color w:val="auto"/>
          <w:kern w:val="0"/>
          <w:sz w:val="24"/>
          <w:szCs w:val="24"/>
          <w:lang w:val="en-US" w:eastAsia="zh-CN"/>
        </w:rPr>
        <w:t>60</w:t>
      </w:r>
      <w:r>
        <w:rPr>
          <w:rFonts w:ascii="仿宋" w:hAnsi="仿宋" w:eastAsia="仿宋" w:cs="仿宋"/>
          <w:color w:val="auto"/>
          <w:kern w:val="0"/>
          <w:sz w:val="24"/>
          <w:szCs w:val="24"/>
        </w:rPr>
        <w:t>号）的有关规定，工程类项目为400万元（含）以下，可采用小型简易招标。</w:t>
      </w:r>
    </w:p>
    <w:p>
      <w:pPr>
        <w:spacing w:line="360" w:lineRule="auto"/>
        <w:ind w:firstLine="480"/>
        <w:jc w:val="left"/>
        <w:rPr>
          <w:rFonts w:ascii="仿宋" w:hAnsi="仿宋" w:eastAsia="仿宋" w:cs="仿宋"/>
          <w:color w:val="auto"/>
          <w:kern w:val="0"/>
          <w:sz w:val="24"/>
          <w:szCs w:val="24"/>
        </w:rPr>
      </w:pPr>
      <w:r>
        <w:rPr>
          <w:rFonts w:ascii="仿宋" w:hAnsi="仿宋" w:eastAsia="仿宋" w:cs="仿宋"/>
          <w:color w:val="auto"/>
          <w:kern w:val="0"/>
          <w:sz w:val="24"/>
          <w:szCs w:val="24"/>
        </w:rPr>
        <w:t>本工程采用小型简易招标（工程类），结算金额</w:t>
      </w:r>
      <w:r>
        <w:rPr>
          <w:rFonts w:hint="eastAsia" w:ascii="仿宋" w:hAnsi="仿宋" w:eastAsia="仿宋" w:cs="仿宋"/>
          <w:color w:val="auto"/>
          <w:kern w:val="0"/>
          <w:sz w:val="24"/>
          <w:szCs w:val="24"/>
          <w:lang w:val="en-US" w:eastAsia="zh-CN"/>
        </w:rPr>
        <w:t>小于</w:t>
      </w:r>
      <w:r>
        <w:rPr>
          <w:rFonts w:ascii="仿宋" w:hAnsi="仿宋" w:eastAsia="仿宋" w:cs="仿宋"/>
          <w:color w:val="auto"/>
          <w:kern w:val="0"/>
          <w:sz w:val="24"/>
          <w:szCs w:val="24"/>
        </w:rPr>
        <w:t>400万元</w:t>
      </w:r>
      <w:r>
        <w:rPr>
          <w:rFonts w:ascii="仿宋" w:hAnsi="仿宋" w:eastAsia="仿宋" w:cs="仿宋"/>
          <w:color w:val="auto"/>
          <w:kern w:val="0"/>
          <w:sz w:val="24"/>
          <w:szCs w:val="24"/>
        </w:rPr>
        <w:t>（含），投标人应当仔细阅读上述文件并承诺，严格执行招标公告、施工图纸及报价清单等文件的相关约定，充分考虑各种风险，合理竞价。</w:t>
      </w:r>
    </w:p>
    <w:p>
      <w:pPr>
        <w:spacing w:line="360" w:lineRule="auto"/>
        <w:ind w:firstLine="480"/>
        <w:jc w:val="left"/>
        <w:rPr>
          <w:color w:val="auto"/>
        </w:rPr>
      </w:pPr>
      <w:r>
        <w:rPr>
          <w:rFonts w:ascii="仿宋" w:hAnsi="仿宋" w:eastAsia="仿宋" w:cs="仿宋"/>
          <w:color w:val="auto"/>
          <w:kern w:val="0"/>
          <w:sz w:val="24"/>
          <w:szCs w:val="24"/>
        </w:rPr>
        <w:t>2、</w:t>
      </w:r>
      <w:r>
        <w:rPr>
          <w:rFonts w:ascii="仿宋" w:hAnsi="仿宋" w:eastAsia="仿宋" w:cs="仿宋"/>
          <w:b/>
          <w:bCs/>
          <w:color w:val="auto"/>
          <w:kern w:val="0"/>
          <w:sz w:val="24"/>
          <w:szCs w:val="24"/>
        </w:rPr>
        <w:t>有关无效标的情形</w:t>
      </w:r>
      <w:r>
        <w:rPr>
          <w:rFonts w:ascii="仿宋" w:hAnsi="仿宋" w:eastAsia="仿宋" w:cs="仿宋"/>
          <w:color w:val="auto"/>
          <w:kern w:val="0"/>
          <w:sz w:val="24"/>
          <w:szCs w:val="24"/>
        </w:rPr>
        <w:t>:</w:t>
      </w:r>
    </w:p>
    <w:p>
      <w:pPr>
        <w:spacing w:line="360" w:lineRule="auto"/>
        <w:ind w:firstLine="480"/>
        <w:jc w:val="left"/>
        <w:rPr>
          <w:color w:val="auto"/>
        </w:rPr>
      </w:pPr>
      <w:r>
        <w:rPr>
          <w:rFonts w:ascii="仿宋" w:hAnsi="仿宋" w:eastAsia="仿宋"/>
          <w:color w:val="auto"/>
          <w:sz w:val="24"/>
        </w:rPr>
        <w:t>1）投标报价高于投标报价上限价的；</w:t>
      </w:r>
    </w:p>
    <w:p>
      <w:pPr>
        <w:spacing w:line="360" w:lineRule="auto"/>
        <w:ind w:firstLine="480"/>
        <w:jc w:val="left"/>
        <w:rPr>
          <w:color w:val="auto"/>
        </w:rPr>
      </w:pPr>
      <w:r>
        <w:rPr>
          <w:rFonts w:ascii="仿宋" w:hAnsi="仿宋" w:eastAsia="仿宋"/>
          <w:color w:val="auto"/>
          <w:sz w:val="24"/>
        </w:rPr>
        <w:t>2）投标报价中擅自修改投标报价书中规定不可竞争的暂列金额或安全文明施工措施费的；</w:t>
      </w:r>
    </w:p>
    <w:p>
      <w:pPr>
        <w:spacing w:line="360" w:lineRule="auto"/>
        <w:ind w:firstLine="480"/>
        <w:jc w:val="left"/>
        <w:rPr>
          <w:color w:val="auto"/>
        </w:rPr>
      </w:pPr>
      <w:r>
        <w:rPr>
          <w:rFonts w:ascii="仿宋" w:hAnsi="仿宋" w:eastAsia="仿宋"/>
          <w:color w:val="auto"/>
          <w:sz w:val="24"/>
        </w:rPr>
        <w:t>3）施工投标承诺函未按招标公告规定填写或更改非投标人填写内容的；</w:t>
      </w:r>
    </w:p>
    <w:p>
      <w:pPr>
        <w:spacing w:line="360" w:lineRule="auto"/>
        <w:ind w:firstLine="480"/>
        <w:jc w:val="left"/>
        <w:rPr>
          <w:color w:val="auto"/>
        </w:rPr>
      </w:pPr>
      <w:r>
        <w:rPr>
          <w:rFonts w:ascii="仿宋" w:hAnsi="仿宋" w:eastAsia="仿宋"/>
          <w:color w:val="auto"/>
          <w:sz w:val="24"/>
        </w:rPr>
        <w:t>4）投标文件未按招标公告要求密封并加盖公章的。</w:t>
      </w:r>
    </w:p>
    <w:p>
      <w:pPr>
        <w:spacing w:line="360" w:lineRule="auto"/>
        <w:ind w:firstLine="480"/>
        <w:jc w:val="left"/>
        <w:rPr>
          <w:color w:val="auto"/>
        </w:rPr>
      </w:pPr>
      <w:r>
        <w:rPr>
          <w:rFonts w:ascii="仿宋" w:hAnsi="仿宋" w:eastAsia="仿宋"/>
          <w:color w:val="auto"/>
          <w:sz w:val="24"/>
        </w:rPr>
        <w:t>3、本次标书不采用电子投标，由投标人将上述投标文件采用A4纸单面打印，一式三份（一正两副），装订成册，加盖公章并密封包装。</w:t>
      </w:r>
    </w:p>
    <w:p>
      <w:pPr>
        <w:spacing w:line="360" w:lineRule="auto"/>
        <w:ind w:firstLine="480"/>
        <w:jc w:val="left"/>
        <w:rPr>
          <w:color w:val="auto"/>
        </w:rPr>
      </w:pPr>
      <w:r>
        <w:rPr>
          <w:rFonts w:ascii="仿宋" w:hAnsi="仿宋" w:eastAsia="仿宋"/>
          <w:color w:val="auto"/>
          <w:sz w:val="24"/>
        </w:rPr>
        <w:t>4、投标人必须携带受托人（应与投标文件中受托人一致）身份证原件于公告指定的时间前至指定地点现场递交投标文件及参加开标会，否则其投标文件将不予受理。</w:t>
      </w:r>
    </w:p>
    <w:p>
      <w:pPr>
        <w:spacing w:line="360" w:lineRule="auto"/>
        <w:ind w:firstLine="480"/>
        <w:jc w:val="left"/>
        <w:rPr>
          <w:rFonts w:ascii="仿宋" w:hAnsi="仿宋" w:eastAsia="仿宋" w:cs="仿宋"/>
          <w:color w:val="auto"/>
          <w:kern w:val="0"/>
          <w:sz w:val="24"/>
          <w:szCs w:val="24"/>
        </w:rPr>
      </w:pPr>
      <w:r>
        <w:rPr>
          <w:rFonts w:ascii="仿宋" w:hAnsi="仿宋" w:eastAsia="仿宋" w:cs="仿宋"/>
          <w:color w:val="auto"/>
          <w:kern w:val="0"/>
          <w:sz w:val="24"/>
          <w:szCs w:val="24"/>
          <w:lang w:val="en-US" w:eastAsia="zh-CN"/>
        </w:rPr>
        <w:t>5</w:t>
      </w:r>
      <w:r>
        <w:rPr>
          <w:rFonts w:ascii="仿宋" w:hAnsi="仿宋" w:eastAsia="仿宋" w:cs="仿宋"/>
          <w:color w:val="auto"/>
          <w:kern w:val="0"/>
          <w:sz w:val="24"/>
          <w:szCs w:val="24"/>
        </w:rPr>
        <w:t>、附件均为本次招标公告的有效组成文件。其中招标公告word版本与及其附件，请投标人按</w:t>
      </w:r>
      <w:r>
        <w:rPr>
          <w:rFonts w:ascii="仿宋" w:hAnsi="仿宋" w:eastAsia="仿宋" w:cs="仿宋"/>
          <w:color w:val="auto"/>
          <w:kern w:val="0"/>
          <w:sz w:val="24"/>
          <w:szCs w:val="24"/>
          <w:lang w:val="en-US" w:eastAsia="zh-CN"/>
        </w:rPr>
        <w:t>招标人提供的</w:t>
      </w:r>
      <w:r>
        <w:rPr>
          <w:rFonts w:ascii="仿宋" w:hAnsi="仿宋" w:eastAsia="仿宋" w:cs="仿宋"/>
          <w:color w:val="auto"/>
          <w:kern w:val="0"/>
          <w:sz w:val="24"/>
          <w:szCs w:val="24"/>
        </w:rPr>
        <w:t>链接</w:t>
      </w:r>
      <w:r>
        <w:rPr>
          <w:rFonts w:ascii="仿宋" w:hAnsi="仿宋" w:eastAsia="仿宋" w:cs="仿宋"/>
          <w:color w:val="auto"/>
          <w:kern w:val="0"/>
          <w:sz w:val="24"/>
          <w:szCs w:val="24"/>
        </w:rPr>
        <w:t>方式（</w:t>
      </w:r>
      <w:r>
        <w:rPr>
          <w:rFonts w:hint="eastAsia" w:ascii="仿宋" w:hAnsi="仿宋" w:eastAsia="仿宋" w:cs="仿宋"/>
          <w:color w:val="auto"/>
          <w:kern w:val="0"/>
          <w:sz w:val="24"/>
          <w:szCs w:val="24"/>
        </w:rPr>
        <w:t xml:space="preserve">链接: https://pan.baidu.com/s/1OL0u1hWG-pYLzI1U8wyI7Q?pwd=ccw3 提取码: ccw3 </w:t>
      </w:r>
      <w:r>
        <w:rPr>
          <w:rFonts w:ascii="仿宋" w:hAnsi="仿宋" w:eastAsia="仿宋" w:cs="仿宋"/>
          <w:color w:val="auto"/>
          <w:kern w:val="0"/>
          <w:sz w:val="24"/>
          <w:szCs w:val="24"/>
        </w:rPr>
        <w:t>）进</w:t>
      </w:r>
      <w:r>
        <w:rPr>
          <w:rFonts w:ascii="仿宋" w:hAnsi="仿宋" w:eastAsia="仿宋" w:cs="仿宋"/>
          <w:color w:val="auto"/>
          <w:kern w:val="0"/>
          <w:sz w:val="24"/>
          <w:szCs w:val="24"/>
        </w:rPr>
        <w:t>行领取</w:t>
      </w:r>
      <w:r>
        <w:rPr>
          <w:rFonts w:ascii="仿宋" w:hAnsi="仿宋" w:eastAsia="仿宋" w:cs="仿宋"/>
          <w:color w:val="auto"/>
          <w:kern w:val="0"/>
          <w:sz w:val="24"/>
          <w:szCs w:val="24"/>
          <w:lang w:eastAsia="zh-CN"/>
        </w:rPr>
        <w:t>。</w:t>
      </w:r>
    </w:p>
    <w:p>
      <w:pPr>
        <w:rPr>
          <w:rFonts w:ascii="仿宋" w:hAnsi="仿宋" w:eastAsia="仿宋" w:cs="仿宋"/>
          <w:color w:val="auto"/>
          <w:kern w:val="0"/>
          <w:sz w:val="24"/>
          <w:szCs w:val="24"/>
        </w:rPr>
      </w:pPr>
      <w:r>
        <w:rPr>
          <w:color w:val="auto"/>
        </w:rPr>
        <w:br w:type="page"/>
      </w:r>
    </w:p>
    <w:p>
      <w:pPr>
        <w:pStyle w:val="4"/>
        <w:keepNext w:val="0"/>
        <w:keepLines w:val="0"/>
        <w:adjustRightInd w:val="0"/>
        <w:snapToGrid w:val="0"/>
        <w:spacing w:before="0" w:after="0" w:line="360" w:lineRule="auto"/>
        <w:jc w:val="left"/>
        <w:rPr>
          <w:color w:val="auto"/>
        </w:rPr>
      </w:pPr>
      <w:bookmarkStart w:id="1" w:name="_Toc517529801"/>
      <w:bookmarkStart w:id="2" w:name="_Toc405968322"/>
      <w:bookmarkStart w:id="3" w:name="_Toc517531077"/>
      <w:bookmarkStart w:id="4" w:name="Bookmark21"/>
      <w:bookmarkStart w:id="5" w:name="_Toc517527746"/>
      <w:bookmarkStart w:id="6" w:name="_Toc517528839"/>
      <w:r>
        <w:rPr>
          <w:rFonts w:hint="eastAsia"/>
          <w:color w:val="auto"/>
        </w:rPr>
        <w:t>附件</w:t>
      </w:r>
      <w:r>
        <w:rPr>
          <w:color w:val="auto"/>
        </w:rPr>
        <w:t>1</w:t>
      </w:r>
      <w:r>
        <w:rPr>
          <w:rFonts w:hint="eastAsia"/>
          <w:color w:val="auto"/>
        </w:rPr>
        <w:t>：</w:t>
      </w:r>
      <w:bookmarkEnd w:id="1"/>
      <w:bookmarkEnd w:id="2"/>
      <w:bookmarkEnd w:id="3"/>
      <w:bookmarkEnd w:id="4"/>
      <w:bookmarkEnd w:id="5"/>
      <w:bookmarkEnd w:id="6"/>
    </w:p>
    <w:p>
      <w:pPr>
        <w:pStyle w:val="4"/>
        <w:keepNext w:val="0"/>
        <w:keepLines w:val="0"/>
        <w:adjustRightInd w:val="0"/>
        <w:snapToGrid w:val="0"/>
        <w:spacing w:before="0" w:after="0" w:line="360" w:lineRule="auto"/>
        <w:jc w:val="center"/>
        <w:rPr>
          <w:color w:val="auto"/>
        </w:rPr>
      </w:pPr>
      <w:r>
        <w:rPr>
          <w:rFonts w:hint="eastAsia"/>
          <w:color w:val="auto"/>
        </w:rPr>
        <w:t>工程量清单投标报价规定</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工程量清单应与投标人须知、合同通用条件、合同专用条件、技术规范、技术要求、图纸等文件及中华人民共和国国家标准《建设工程工程量清单计价规范》（GB50500—2013）、《工程量清单计算规范》（GB50854～862-2013）以及《深圳市建设工程计价规程》（2017）结合起来理解或解释。</w:t>
      </w:r>
    </w:p>
    <w:p>
      <w:pPr>
        <w:adjustRightInd w:val="0"/>
        <w:snapToGrid w:val="0"/>
        <w:spacing w:line="360" w:lineRule="auto"/>
        <w:ind w:firstLine="200" w:firstLineChars="200"/>
        <w:jc w:val="left"/>
        <w:rPr>
          <w:rFonts w:ascii="宋体" w:hAnsi="宋体"/>
          <w:bCs/>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2、固定单价合同、固定总价合同及</w:t>
      </w:r>
      <w:r>
        <w:rPr>
          <w:rFonts w:hint="eastAsia" w:ascii="宋体" w:hAnsi="宋体"/>
          <w:color w:val="auto"/>
          <w:sz w:val="20"/>
          <w:szCs w:val="20"/>
        </w:rPr>
        <w:t>固定单价合同中含有分项工程固定合价的报价原则</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2.1本款适用于固定单价合同</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工程量清单的项目及数量按中华人民共和国国家标准《建设工程工程量清单计价规范》（</w:t>
      </w:r>
      <w:r>
        <w:rPr>
          <w:rFonts w:ascii="宋体" w:hAnsi="宋体"/>
          <w:bCs/>
          <w:color w:val="auto"/>
          <w:sz w:val="20"/>
          <w:szCs w:val="20"/>
        </w:rPr>
        <w:t>GB50500—2013）、《工程量清单计算规范》（GB50854～862-2013）以及《深圳市建设工程计价规程》（2017）规定及施工图纸编制。综合单价包干，结算时不调整。投标人报价时不允许对工程项目、数量进行调整和改变（措施项目清单除外）。</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2.2本款适用于固定总价合同</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工程量清单的项目及数量按中华人民共和国国家标准《建设工程工程量清单计价规范》（</w:t>
      </w:r>
      <w:r>
        <w:rPr>
          <w:rFonts w:ascii="宋体" w:hAnsi="宋体"/>
          <w:bCs/>
          <w:color w:val="auto"/>
          <w:sz w:val="20"/>
          <w:szCs w:val="20"/>
        </w:rPr>
        <w:t>GB50500—2013）、《工程量清单计算规范》（GB50854～862-2013）以及《深圳市建设工程计价规程》（2017）规定及施工图纸编制。投标人报价时不允许对招标人提供的工程项目、数量进行调整和改变，但可根据施工图或各自深化设计自行校核招标人提供的工程量清单，校核后有差错的，应明确提出招标清单中差错部分的项目编码、项目名称及工程量，并按照《清单计价规范》规定另列清单并报价。</w:t>
      </w:r>
    </w:p>
    <w:p>
      <w:pPr>
        <w:adjustRightInd w:val="0"/>
        <w:snapToGrid w:val="0"/>
        <w:spacing w:line="360" w:lineRule="auto"/>
        <w:ind w:firstLine="400" w:firstLineChars="200"/>
        <w:jc w:val="left"/>
        <w:rPr>
          <w:rFonts w:ascii="宋体" w:hAnsi="宋体"/>
          <w:color w:val="auto"/>
          <w:sz w:val="20"/>
          <w:szCs w:val="20"/>
        </w:rPr>
      </w:pPr>
      <w:r>
        <w:rPr>
          <w:rFonts w:hint="eastAsia"/>
          <w:color w:val="auto"/>
          <w:sz w:val="20"/>
          <w:szCs w:val="20"/>
        </w:rPr>
        <w:t>本工程为固定总价合同，除暂列金额、奖金、专业工程暂估价外总价包干。投标人根据招标人提供的工程量清单和施工图纸确定投标报价后，投标人的报价将被视为投标人完全理解了工程量清单和施工图纸中的全部项目、数量及内容。工程实施过程中承包人发现实际施工完成量</w:t>
      </w:r>
      <w:r>
        <w:rPr>
          <w:rFonts w:hint="eastAsia" w:ascii="宋体" w:hAnsi="宋体"/>
          <w:color w:val="auto"/>
          <w:sz w:val="20"/>
          <w:szCs w:val="20"/>
        </w:rPr>
        <w:t>（不含非承包人原因引起的工程变更）与工程量清单存在差异时，差异部分不作调整。暂列金额的使用和工程变更按本合同中的有关条款执行。</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2.3本款适用于固定单价合同中含有分项工程固定合价的情况</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工程量清单的项目及数量按中华人民共和国国家标准《建设工程工程量清单计价规范》（</w:t>
      </w:r>
      <w:r>
        <w:rPr>
          <w:rFonts w:ascii="宋体" w:hAnsi="宋体"/>
          <w:color w:val="auto"/>
          <w:sz w:val="20"/>
          <w:szCs w:val="20"/>
        </w:rPr>
        <w:t>GB50500—2013）、《工程量清单计算规范》（GB50854～862-2013）以及《深圳市建设工程计价规程》（2017）规定及施工图纸编制。合同中固定单价部分按2.1款原则执行，分项工程固定合价的部分按2.2款原则执行。</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t>3、工程量清单中所填入的综合单价为按技术规范与技术要求完成一个规定计量单位的工程所需的人工费、材料费、施工机械使用费、企业管理费和利润，以及一定范围内的风险费用（如招标文件要求考虑的风险等）。按技术规范、</w:t>
      </w:r>
      <w:r>
        <w:rPr>
          <w:rFonts w:hint="eastAsia"/>
          <w:bCs/>
          <w:color w:val="auto"/>
          <w:sz w:val="20"/>
          <w:szCs w:val="20"/>
        </w:rPr>
        <w:t>招标文件、设计图纸、国标《建设工程工程量清单计价规范》、深圳市现行计价办法等</w:t>
      </w:r>
      <w:r>
        <w:rPr>
          <w:rFonts w:hint="eastAsia" w:ascii="宋体" w:hAnsi="宋体"/>
          <w:bCs/>
          <w:color w:val="auto"/>
          <w:sz w:val="20"/>
          <w:szCs w:val="20"/>
        </w:rPr>
        <w:t>要求为完成一个规定计量单位的工程量所需的其他一切费用除非投标人在措施项目清单中列出，否则视为已被包含在工程量清单各项目综合单价中。</w:t>
      </w:r>
    </w:p>
    <w:p>
      <w:pPr>
        <w:adjustRightInd w:val="0"/>
        <w:snapToGrid w:val="0"/>
        <w:spacing w:line="360" w:lineRule="auto"/>
        <w:ind w:firstLine="400" w:firstLineChars="200"/>
        <w:jc w:val="left"/>
        <w:rPr>
          <w:color w:val="auto"/>
          <w:sz w:val="20"/>
          <w:szCs w:val="20"/>
        </w:rPr>
      </w:pPr>
      <w:r>
        <w:rPr>
          <w:rFonts w:hint="eastAsia" w:ascii="宋体" w:hAnsi="宋体"/>
          <w:bCs/>
          <w:color w:val="auto"/>
          <w:sz w:val="20"/>
          <w:szCs w:val="20"/>
        </w:rPr>
        <w:t>提示</w:t>
      </w:r>
      <w:r>
        <w:rPr>
          <w:rFonts w:hint="eastAsia"/>
          <w:color w:val="auto"/>
          <w:sz w:val="20"/>
          <w:szCs w:val="20"/>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adjustRightInd w:val="0"/>
        <w:snapToGrid w:val="0"/>
        <w:spacing w:line="360" w:lineRule="auto"/>
        <w:ind w:firstLine="201" w:firstLineChars="200"/>
        <w:jc w:val="left"/>
        <w:rPr>
          <w:b/>
          <w:color w:val="auto"/>
          <w:sz w:val="10"/>
          <w:szCs w:val="10"/>
        </w:rPr>
      </w:pPr>
    </w:p>
    <w:p>
      <w:pPr>
        <w:adjustRightInd w:val="0"/>
        <w:snapToGrid w:val="0"/>
        <w:spacing w:line="360" w:lineRule="auto"/>
        <w:ind w:firstLine="400" w:firstLineChars="200"/>
        <w:jc w:val="left"/>
        <w:rPr>
          <w:rFonts w:ascii="宋体"/>
          <w:bCs/>
          <w:color w:val="auto"/>
          <w:sz w:val="20"/>
          <w:szCs w:val="20"/>
        </w:rPr>
      </w:pPr>
      <w:r>
        <w:rPr>
          <w:rFonts w:hint="eastAsia" w:ascii="宋体"/>
          <w:bCs/>
          <w:color w:val="auto"/>
          <w:sz w:val="20"/>
          <w:szCs w:val="20"/>
        </w:rPr>
        <w:t>4、对本工程施工、材料和设备的说明或规定（特别是招标人有明确质量品质标准要求的材料和设备），在招标文件、设计图纸及实物样板（如有）已有详细说明，因而未重复写入工程量清单内（或工程量清单中的项目名称所描述的项目特征不全或不准确）。投标人投标报价时应认真阅读、全面理解并满足上述规定（满足技术要求、设计图纸及相关规范的规定）。</w:t>
      </w:r>
    </w:p>
    <w:p>
      <w:pPr>
        <w:adjustRightInd w:val="0"/>
        <w:snapToGrid w:val="0"/>
        <w:spacing w:line="360" w:lineRule="auto"/>
        <w:ind w:firstLine="200" w:firstLineChars="200"/>
        <w:jc w:val="left"/>
        <w:rPr>
          <w:rFonts w:ascii="宋体"/>
          <w:bCs/>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5、工程量清单中的每一项目须填入综合单价或合价。投标人没有填入综合单价或合价的细目，其费用均视为已分配在工程量清单的其他综合单价与合价之中。</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对于工程量清单描述相同的子目，投标报价原则上应保持一致，否则招标人有权对清单之外工程量价格进行调整。</w:t>
      </w:r>
    </w:p>
    <w:p>
      <w:pPr>
        <w:adjustRightInd w:val="0"/>
        <w:snapToGrid w:val="0"/>
        <w:spacing w:line="360" w:lineRule="auto"/>
        <w:ind w:firstLine="200" w:firstLineChars="200"/>
        <w:jc w:val="left"/>
        <w:rPr>
          <w:rFonts w:ascii="宋体" w:hAnsi="宋体"/>
          <w:bCs/>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6、投标人所报工程量清单所有项目应按规定格式提供</w:t>
      </w:r>
      <w:r>
        <w:rPr>
          <w:rFonts w:hint="eastAsia" w:ascii="宋体" w:hAnsi="宋体"/>
          <w:color w:val="auto"/>
          <w:sz w:val="20"/>
          <w:szCs w:val="20"/>
        </w:rPr>
        <w:t>综合</w:t>
      </w:r>
      <w:r>
        <w:rPr>
          <w:rFonts w:hint="eastAsia" w:ascii="宋体" w:hAnsi="宋体"/>
          <w:bCs/>
          <w:color w:val="auto"/>
          <w:sz w:val="20"/>
          <w:szCs w:val="20"/>
        </w:rPr>
        <w:t>单价分析表</w:t>
      </w:r>
      <w:r>
        <w:rPr>
          <w:rFonts w:hint="eastAsia" w:ascii="宋体" w:hAnsi="宋体"/>
          <w:color w:val="auto"/>
          <w:sz w:val="20"/>
          <w:szCs w:val="20"/>
        </w:rPr>
        <w:t>（详表）</w:t>
      </w:r>
      <w:r>
        <w:rPr>
          <w:rFonts w:hint="eastAsia" w:ascii="宋体" w:hAnsi="宋体"/>
          <w:bCs/>
          <w:color w:val="auto"/>
          <w:sz w:val="20"/>
          <w:szCs w:val="20"/>
        </w:rPr>
        <w:t>。</w:t>
      </w:r>
    </w:p>
    <w:p>
      <w:pPr>
        <w:adjustRightInd w:val="0"/>
        <w:snapToGrid w:val="0"/>
        <w:spacing w:line="360" w:lineRule="auto"/>
        <w:ind w:firstLine="200" w:firstLineChars="200"/>
        <w:jc w:val="left"/>
        <w:rPr>
          <w:rFonts w:ascii="宋体" w:hAnsi="宋体"/>
          <w:bCs/>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7、投标报价为投标人在投标文件所列项目的全部费用，包括建安工程费、工程建设其他费、设备及工器具购置费及预备费，其中建安工程费由直接费、企业管理费、利润、规费和税金组成。</w:t>
      </w:r>
    </w:p>
    <w:p>
      <w:pPr>
        <w:adjustRightInd w:val="0"/>
        <w:snapToGrid w:val="0"/>
        <w:spacing w:line="360" w:lineRule="auto"/>
        <w:ind w:firstLine="200" w:firstLineChars="200"/>
        <w:jc w:val="left"/>
        <w:rPr>
          <w:rFonts w:ascii="宋体" w:hAnsi="宋体"/>
          <w:bCs/>
          <w:color w:val="auto"/>
          <w:sz w:val="10"/>
          <w:szCs w:val="10"/>
        </w:rPr>
      </w:pPr>
    </w:p>
    <w:p>
      <w:pPr>
        <w:adjustRightInd w:val="0"/>
        <w:snapToGrid w:val="0"/>
        <w:spacing w:line="360" w:lineRule="auto"/>
        <w:ind w:firstLine="400" w:firstLineChars="200"/>
        <w:jc w:val="left"/>
        <w:rPr>
          <w:rFonts w:ascii="宋体" w:hAnsi="宋体"/>
          <w:bCs/>
          <w:color w:val="auto"/>
          <w:sz w:val="23"/>
          <w:szCs w:val="23"/>
        </w:rPr>
      </w:pPr>
      <w:r>
        <w:rPr>
          <w:rFonts w:ascii="宋体" w:hAnsi="宋体"/>
          <w:bCs/>
          <w:color w:val="auto"/>
          <w:sz w:val="20"/>
          <w:szCs w:val="20"/>
        </w:rPr>
        <w:t>8、“工程量清单报价表”包括以下几个部分：</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1）投标总价</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2）总说明</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3）工程项目投标价汇总表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4）单项工程投标价汇总表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5）单位工程投标价汇总表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6）分部分项工程量清单与计价表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7）工程量清单综合单价分析表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8）措施项目清单与计价汇总表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9）措施项目清单与计价表（一）或（二）</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10）安全文明施工措施费汇总表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11）安全文明施工措施费详细清单与计价表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12）其他项目清单与计价汇总表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13）材料设备暂估计价表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14）计日工表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15）总承包服务费计价表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16）发包人供应材料设备明细表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17）规费、税金项目清单与计价表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18）暂列金额明细表</w:t>
      </w:r>
    </w:p>
    <w:p>
      <w:pPr>
        <w:adjustRightInd w:val="0"/>
        <w:snapToGrid w:val="0"/>
        <w:spacing w:line="360" w:lineRule="auto"/>
        <w:ind w:left="42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19）主要设备材料价格表（应按招标文件的要求注明主要设备材料的规格、型号及品牌）</w:t>
      </w:r>
    </w:p>
    <w:p>
      <w:pPr>
        <w:adjustRightInd w:val="0"/>
        <w:snapToGrid w:val="0"/>
        <w:spacing w:line="360" w:lineRule="auto"/>
        <w:ind w:left="420"/>
        <w:jc w:val="left"/>
        <w:rPr>
          <w:rFonts w:ascii="宋体" w:hAnsi="宋体"/>
          <w:color w:val="auto"/>
          <w:sz w:val="20"/>
          <w:szCs w:val="20"/>
        </w:rPr>
      </w:pPr>
      <w:r>
        <w:rPr>
          <w:rFonts w:hint="eastAsia" w:ascii="宋体" w:hAnsi="宋体"/>
          <w:bCs/>
          <w:color w:val="auto"/>
          <w:sz w:val="20"/>
          <w:szCs w:val="20"/>
        </w:rPr>
        <w:t>（</w:t>
      </w:r>
      <w:r>
        <w:rPr>
          <w:rFonts w:ascii="宋体" w:hAnsi="宋体"/>
          <w:bCs/>
          <w:color w:val="auto"/>
          <w:sz w:val="20"/>
          <w:szCs w:val="20"/>
        </w:rPr>
        <w:t>20）分包工程价格控制表</w:t>
      </w:r>
    </w:p>
    <w:p>
      <w:pPr>
        <w:adjustRightInd w:val="0"/>
        <w:snapToGrid w:val="0"/>
        <w:spacing w:line="360" w:lineRule="auto"/>
        <w:jc w:val="left"/>
        <w:rPr>
          <w:rFonts w:ascii="宋体" w:hAnsi="宋体"/>
          <w:bCs/>
          <w:color w:val="auto"/>
          <w:sz w:val="10"/>
          <w:szCs w:val="10"/>
        </w:rPr>
      </w:pPr>
    </w:p>
    <w:p>
      <w:pPr>
        <w:adjustRightInd w:val="0"/>
        <w:snapToGrid w:val="0"/>
        <w:spacing w:line="360" w:lineRule="auto"/>
        <w:ind w:left="29" w:leftChars="14" w:firstLine="420"/>
        <w:jc w:val="left"/>
        <w:rPr>
          <w:rFonts w:ascii="宋体" w:hAnsi="宋体"/>
          <w:bCs/>
          <w:color w:val="auto"/>
          <w:sz w:val="20"/>
          <w:szCs w:val="20"/>
        </w:rPr>
      </w:pPr>
      <w:r>
        <w:rPr>
          <w:rFonts w:ascii="宋体" w:hAnsi="宋体"/>
          <w:bCs/>
          <w:color w:val="auto"/>
          <w:sz w:val="20"/>
          <w:szCs w:val="20"/>
        </w:rPr>
        <w:t>9、措施项目费是为完成工程项目施工，发生于该工程施工前和施工过程中技术、生活、安全等方面</w:t>
      </w:r>
      <w:r>
        <w:rPr>
          <w:rFonts w:hint="eastAsia" w:ascii="宋体" w:hAnsi="宋体"/>
          <w:bCs/>
          <w:color w:val="auto"/>
          <w:sz w:val="20"/>
          <w:szCs w:val="20"/>
        </w:rPr>
        <w:t>的非工程实体项目，包含了完成该招标工程所需发生的全部措施费用（合同专用条款</w:t>
      </w:r>
      <w:r>
        <w:rPr>
          <w:rFonts w:ascii="宋体" w:hAnsi="宋体"/>
          <w:bCs/>
          <w:color w:val="auto"/>
          <w:sz w:val="20"/>
          <w:szCs w:val="20"/>
        </w:rPr>
        <w:t>11.5规定情形除外）。</w:t>
      </w:r>
    </w:p>
    <w:p>
      <w:pPr>
        <w:adjustRightInd w:val="0"/>
        <w:snapToGrid w:val="0"/>
        <w:spacing w:line="360" w:lineRule="auto"/>
        <w:ind w:left="29" w:leftChars="14" w:firstLine="420"/>
        <w:jc w:val="left"/>
        <w:rPr>
          <w:rFonts w:ascii="宋体" w:hAnsi="宋体"/>
          <w:bCs/>
          <w:color w:val="auto"/>
          <w:sz w:val="20"/>
          <w:szCs w:val="20"/>
        </w:rPr>
      </w:pPr>
      <w:r>
        <w:rPr>
          <w:rFonts w:hint="eastAsia" w:ascii="宋体" w:hAnsi="宋体"/>
          <w:color w:val="auto"/>
          <w:sz w:val="20"/>
          <w:szCs w:val="20"/>
        </w:rPr>
        <w:t>招标文件工程量清单中</w:t>
      </w:r>
      <w:r>
        <w:rPr>
          <w:rFonts w:hint="eastAsia" w:ascii="宋体" w:hAnsi="宋体"/>
          <w:bCs/>
          <w:color w:val="auto"/>
          <w:sz w:val="20"/>
          <w:szCs w:val="20"/>
        </w:rPr>
        <w:t>所列措施项目是招标人根据一般情况估计的项目。</w:t>
      </w:r>
    </w:p>
    <w:p>
      <w:pPr>
        <w:adjustRightInd w:val="0"/>
        <w:snapToGrid w:val="0"/>
        <w:spacing w:line="360" w:lineRule="auto"/>
        <w:ind w:left="29" w:leftChars="14" w:firstLine="400" w:firstLineChars="200"/>
        <w:jc w:val="left"/>
        <w:rPr>
          <w:rFonts w:ascii="宋体"/>
          <w:color w:val="auto"/>
          <w:sz w:val="20"/>
          <w:szCs w:val="20"/>
        </w:rPr>
      </w:pPr>
      <w:r>
        <w:rPr>
          <w:rFonts w:hint="eastAsia"/>
          <w:color w:val="auto"/>
          <w:sz w:val="20"/>
          <w:szCs w:val="20"/>
        </w:rPr>
        <w:t>投标人应详细阅读理解招标人所发出的本工程设计文件及与本工程有关的其他图纸资料，认真细致领会招标文件要旨，并充分、详细考察工地现场。根据招标文件、招标人提供的所有与本工程有关的其他图纸资料、工程实际情况、投标人的施工组织设计及风险等自行调整措施项目并报价。在实施过程中</w:t>
      </w:r>
      <w:r>
        <w:rPr>
          <w:rFonts w:hint="eastAsia" w:ascii="宋体" w:hAnsi="宋体"/>
          <w:color w:val="auto"/>
          <w:sz w:val="20"/>
          <w:szCs w:val="20"/>
        </w:rPr>
        <w:t>，除非合同条件中另有明确约定，否则，工程措施项目费将以总价包干。</w:t>
      </w:r>
      <w:r>
        <w:rPr>
          <w:rFonts w:hint="eastAsia"/>
          <w:color w:val="auto"/>
          <w:sz w:val="20"/>
          <w:szCs w:val="20"/>
        </w:rPr>
        <w:t>如施工组织设计方案存在缺陷，发包人可要求其对方案进行完善、修改，承包人必须无条件执行，直到发包人、监理工程师、设计单位批准通过，但不因施工组织设计方案的调整而调整相关措施费用。</w:t>
      </w:r>
      <w:r>
        <w:rPr>
          <w:rFonts w:hint="eastAsia" w:ascii="宋体"/>
          <w:color w:val="auto"/>
          <w:sz w:val="20"/>
          <w:szCs w:val="20"/>
        </w:rPr>
        <w:t>任何因忽视或误解工地情况而导致的费用索赔或工期延长的申请不获批准。</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t>10、措施项目中的安全施工、文明施工、临时设施、环境保护等安全文明施工措施费为不可竞争费用，投标人按招标控制价中公布的该项费用具体金额进行报价，不得改变，并计入总报价。</w:t>
      </w:r>
    </w:p>
    <w:p>
      <w:pPr>
        <w:adjustRightInd w:val="0"/>
        <w:snapToGrid w:val="0"/>
        <w:spacing w:line="360" w:lineRule="auto"/>
        <w:ind w:left="29" w:leftChars="14" w:firstLine="420"/>
        <w:jc w:val="left"/>
        <w:rPr>
          <w:rFonts w:hint="eastAsia" w:ascii="宋体" w:hAnsi="宋体"/>
          <w:bCs/>
          <w:color w:val="auto"/>
          <w:sz w:val="20"/>
          <w:szCs w:val="20"/>
        </w:rPr>
      </w:pPr>
      <w:r>
        <w:rPr>
          <w:rFonts w:hint="eastAsia" w:ascii="宋体" w:hAnsi="宋体"/>
          <w:bCs/>
          <w:color w:val="auto"/>
          <w:sz w:val="20"/>
          <w:szCs w:val="20"/>
        </w:rPr>
        <w:t>措施项目费中的履约担保手续费为总价包干，投标人报价时应综合考虑企业资信、项目实际情况等因素，结算时该费用不再调整。</w:t>
      </w:r>
    </w:p>
    <w:p>
      <w:pPr>
        <w:adjustRightInd w:val="0"/>
        <w:snapToGrid w:val="0"/>
        <w:spacing w:line="360" w:lineRule="auto"/>
        <w:ind w:firstLine="200" w:firstLineChars="200"/>
        <w:jc w:val="left"/>
        <w:rPr>
          <w:rFonts w:ascii="宋体" w:hAnsi="宋体"/>
          <w:bCs/>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11、暂列金额、奖金、专业工程暂估价</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11.1暂列金额：金额见前附表二，根据招标文件规定金额计入投标总价，不得更改。</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暂列金额的使用详见合同条款。</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11.2奖金</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奖金是为鼓励承包人提供优质服务、建设优质工程而暂列的奖励费用。金额见前附表二，根据招标文件规定金额计入投标总价，不得更改。</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11.3专业工程暂估价</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专业工程暂估价是招标人在工程量清单中提供的用于支付必然发生但暂时不能确定的专业工程金额。专业工程暂估价是根据工程实际和招标文件要求估算。</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投标报价时应按招标人列出的金额填写</w:t>
      </w:r>
      <w:r>
        <w:rPr>
          <w:rFonts w:hint="eastAsia" w:ascii="宋体" w:hAnsi="宋体"/>
          <w:bCs/>
          <w:color w:val="auto"/>
          <w:sz w:val="20"/>
          <w:szCs w:val="20"/>
        </w:rPr>
        <w:t>，不得更改</w:t>
      </w:r>
      <w:r>
        <w:rPr>
          <w:rFonts w:hint="eastAsia" w:ascii="宋体" w:hAnsi="宋体"/>
          <w:color w:val="auto"/>
          <w:sz w:val="20"/>
          <w:szCs w:val="20"/>
        </w:rPr>
        <w:t>。</w:t>
      </w:r>
    </w:p>
    <w:p>
      <w:pPr>
        <w:adjustRightInd w:val="0"/>
        <w:snapToGrid w:val="0"/>
        <w:spacing w:line="360" w:lineRule="auto"/>
        <w:ind w:left="29" w:leftChars="14" w:firstLine="201" w:firstLineChars="200"/>
        <w:jc w:val="left"/>
        <w:rPr>
          <w:rFonts w:ascii="宋体"/>
          <w:b/>
          <w:color w:val="auto"/>
          <w:sz w:val="10"/>
          <w:szCs w:val="10"/>
        </w:rPr>
      </w:pP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12、其他项目</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12.1</w:t>
      </w:r>
      <w:r>
        <w:rPr>
          <w:rFonts w:hint="eastAsia" w:ascii="宋体" w:hAnsi="宋体"/>
          <w:b/>
          <w:bCs/>
          <w:color w:val="auto"/>
          <w:sz w:val="20"/>
          <w:szCs w:val="20"/>
        </w:rPr>
        <w:t>甲供设备材料（发包人供应设备材料）</w:t>
      </w:r>
    </w:p>
    <w:p>
      <w:pPr>
        <w:adjustRightInd w:val="0"/>
        <w:snapToGrid w:val="0"/>
        <w:spacing w:line="360" w:lineRule="auto"/>
        <w:ind w:firstLine="400" w:firstLineChars="200"/>
        <w:jc w:val="left"/>
        <w:rPr>
          <w:rFonts w:ascii="宋体" w:hAnsi="宋体"/>
          <w:b/>
          <w:bCs/>
          <w:color w:val="auto"/>
          <w:sz w:val="20"/>
          <w:szCs w:val="20"/>
        </w:rPr>
      </w:pPr>
      <w:r>
        <w:rPr>
          <w:rFonts w:hint="eastAsia" w:ascii="宋体" w:hAnsi="宋体"/>
          <w:bCs/>
          <w:color w:val="auto"/>
          <w:sz w:val="20"/>
          <w:szCs w:val="20"/>
        </w:rPr>
        <w:t>本工程甲供设备材料</w:t>
      </w:r>
      <w:r>
        <w:rPr>
          <w:rFonts w:hint="eastAsia" w:ascii="宋体"/>
          <w:bCs/>
          <w:color w:val="auto"/>
          <w:sz w:val="20"/>
          <w:szCs w:val="20"/>
          <w:u w:val="single"/>
        </w:rPr>
        <w:t xml:space="preserve">      </w:t>
      </w:r>
      <w:r>
        <w:rPr>
          <w:rFonts w:hint="eastAsia" w:ascii="宋体" w:hAnsi="宋体"/>
          <w:bCs/>
          <w:color w:val="auto"/>
          <w:sz w:val="20"/>
          <w:szCs w:val="20"/>
        </w:rPr>
        <w:t>万元（内容详见招标文件工程量清单中的发包人供应材料设备明细表），如上述金额未填写且发包人供应材料设备明细表中没有列明，则本工程无甲供设备材料。</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12.2材料设备暂估价</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材料设备暂估价是招标人在工程量清单中提供的用于支付必然发生但暂时不能确定价格的材料、设备的单价。材料设备暂估价是根据工程实际和招标文件要求列出相应材料或设备的名称、规格、单位和单价。</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本工程材料设备暂估价</w:t>
      </w:r>
      <w:r>
        <w:rPr>
          <w:rFonts w:hint="eastAsia" w:ascii="宋体"/>
          <w:bCs/>
          <w:color w:val="auto"/>
          <w:sz w:val="20"/>
          <w:szCs w:val="20"/>
          <w:u w:val="single"/>
        </w:rPr>
        <w:t xml:space="preserve">      </w:t>
      </w:r>
      <w:r>
        <w:rPr>
          <w:rFonts w:hint="eastAsia" w:ascii="宋体" w:hAnsi="宋体"/>
          <w:bCs/>
          <w:color w:val="auto"/>
          <w:sz w:val="20"/>
          <w:szCs w:val="20"/>
        </w:rPr>
        <w:t>万元（详见招标文件工程量清单中的内容详见招标文件工程量清单中的材料设备暂估价计价表；内容包括：</w:t>
      </w:r>
      <w:r>
        <w:rPr>
          <w:rFonts w:hint="eastAsia" w:ascii="宋体"/>
          <w:bCs/>
          <w:color w:val="auto"/>
          <w:sz w:val="20"/>
          <w:szCs w:val="20"/>
          <w:u w:val="single"/>
        </w:rPr>
        <w:t xml:space="preserve">      </w:t>
      </w:r>
      <w:r>
        <w:rPr>
          <w:rFonts w:hint="eastAsia" w:ascii="宋体" w:hAnsi="宋体"/>
          <w:bCs/>
          <w:color w:val="auto"/>
          <w:sz w:val="20"/>
          <w:szCs w:val="20"/>
        </w:rPr>
        <w:t xml:space="preserve"> ），如上述金额没有填写且材料设备暂估价计价表中没有列明，则本工程无材料设备暂估价。</w:t>
      </w:r>
    </w:p>
    <w:p>
      <w:pPr>
        <w:adjustRightInd w:val="0"/>
        <w:snapToGrid w:val="0"/>
        <w:spacing w:line="360" w:lineRule="auto"/>
        <w:ind w:firstLine="400" w:firstLineChars="200"/>
        <w:jc w:val="left"/>
        <w:rPr>
          <w:rFonts w:ascii="宋体" w:hAnsi="宋体"/>
          <w:bCs/>
          <w:color w:val="auto"/>
          <w:sz w:val="20"/>
          <w:szCs w:val="20"/>
        </w:rPr>
      </w:pPr>
      <w:r>
        <w:rPr>
          <w:rFonts w:ascii="宋体" w:hAnsi="宋体"/>
          <w:bCs/>
          <w:color w:val="auto"/>
          <w:sz w:val="20"/>
          <w:szCs w:val="20"/>
        </w:rPr>
        <w:t>12.3总承包服务费</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总承包服务费包括总包管理服务费和发包人供应（甲供）材料设备保管费。</w:t>
      </w:r>
    </w:p>
    <w:p>
      <w:pPr>
        <w:adjustRightInd w:val="0"/>
        <w:snapToGrid w:val="0"/>
        <w:spacing w:line="360" w:lineRule="auto"/>
        <w:jc w:val="left"/>
        <w:rPr>
          <w:rFonts w:ascii="宋体" w:hAnsi="宋体"/>
          <w:bCs/>
          <w:color w:val="auto"/>
          <w:sz w:val="20"/>
          <w:szCs w:val="20"/>
        </w:rPr>
      </w:pPr>
      <w:r>
        <w:rPr>
          <w:rFonts w:ascii="宋体" w:hAnsi="宋体"/>
          <w:bCs/>
          <w:color w:val="auto"/>
          <w:sz w:val="20"/>
          <w:szCs w:val="20"/>
        </w:rPr>
        <w:object>
          <v:shape id="_x0000_i1025" o:spt="201" type="#_x0000_t201" style="height:18pt;width:12.75pt;" o:ole="t" filled="f" o:preferrelative="t" stroked="f" coordsize="21600,21600">
            <v:path/>
            <v:fill on="f" focussize="0,0"/>
            <v:stroke on="f"/>
            <v:imagedata r:id="rId17" o:title=""/>
            <o:lock v:ext="edit" aspectratio="t"/>
            <w10:wrap type="none"/>
            <w10:anchorlock/>
          </v:shape>
          <w:control r:id="rId16" w:name="CheckBox142" w:shapeid="_x0000_i1025"/>
        </w:object>
      </w:r>
      <w:r>
        <w:rPr>
          <w:rFonts w:hint="eastAsia" w:hAnsi="宋体"/>
          <w:color w:val="auto"/>
          <w:sz w:val="23"/>
          <w:szCs w:val="23"/>
        </w:rPr>
        <w:t>（</w:t>
      </w:r>
      <w:r>
        <w:rPr>
          <w:rFonts w:hAnsi="宋体"/>
          <w:color w:val="auto"/>
          <w:sz w:val="23"/>
          <w:szCs w:val="23"/>
        </w:rPr>
        <w:t>1</w:t>
      </w:r>
      <w:r>
        <w:rPr>
          <w:rFonts w:hint="eastAsia" w:hAnsi="宋体"/>
          <w:color w:val="auto"/>
          <w:sz w:val="23"/>
          <w:szCs w:val="23"/>
        </w:rPr>
        <w:t>）</w:t>
      </w:r>
      <w:r>
        <w:rPr>
          <w:rFonts w:hint="eastAsia" w:ascii="宋体" w:hAnsi="宋体"/>
          <w:bCs/>
          <w:color w:val="auto"/>
          <w:sz w:val="20"/>
          <w:szCs w:val="20"/>
        </w:rPr>
        <w:t>总包管理服务费（推荐费率：</w:t>
      </w:r>
      <w:r>
        <w:rPr>
          <w:rFonts w:ascii="宋体" w:hAnsi="宋体"/>
          <w:bCs/>
          <w:color w:val="auto"/>
          <w:sz w:val="20"/>
          <w:szCs w:val="20"/>
        </w:rPr>
        <w:t>1.5-3.5%） [备注：编制施工总承包工程招标文件时可选用此项]</w:t>
      </w:r>
    </w:p>
    <w:p>
      <w:pPr>
        <w:adjustRightInd w:val="0"/>
        <w:snapToGrid w:val="0"/>
        <w:spacing w:line="360" w:lineRule="auto"/>
        <w:jc w:val="left"/>
        <w:rPr>
          <w:rFonts w:ascii="宋体" w:hAnsi="宋体"/>
          <w:bCs/>
          <w:color w:val="auto"/>
          <w:sz w:val="20"/>
          <w:szCs w:val="20"/>
        </w:rPr>
      </w:pPr>
      <w:r>
        <w:rPr>
          <w:rFonts w:hint="eastAsia" w:ascii="宋体" w:hAnsi="宋体"/>
          <w:bCs/>
          <w:color w:val="auto"/>
          <w:sz w:val="20"/>
          <w:szCs w:val="20"/>
        </w:rPr>
        <w:t>承包人（总承包单位）对发包人发包的专业工程实施统筹管理而发生的费用，包括对专业工程的进度安排、施工现场管理协调、竣工资料汇总整理等。</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招标人指定承包的专业工程，总包管理服务费采用费率报价的方法，投标人以招标人指定承包项目估算金额为基数值，乘以投标自报费率，对各种指定承包项目进行管理费用报价累加，即为指定承包项目的总包管理服务费，该部分费用包干，不随结算价款的增减而调整，但由于非承包人原因增加的招标人指定承包工程，总包管理服务费按指定承包专业工程的合同价乘以推荐费率</w:t>
      </w:r>
      <w:r>
        <w:rPr>
          <w:rFonts w:hint="eastAsia" w:ascii="宋体"/>
          <w:bCs/>
          <w:color w:val="auto"/>
          <w:sz w:val="20"/>
          <w:szCs w:val="20"/>
          <w:u w:val="single"/>
        </w:rPr>
        <w:t xml:space="preserve">      </w:t>
      </w:r>
      <w:r>
        <w:rPr>
          <w:rFonts w:ascii="宋体" w:hAnsi="宋体"/>
          <w:bCs/>
          <w:color w:val="auto"/>
          <w:sz w:val="20"/>
          <w:szCs w:val="20"/>
        </w:rPr>
        <w:t xml:space="preserve"> %按实计取。（发包人发包的专业工程详见招标文件的工程量清单）</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2）临时设施使用费（推荐费率：0-3%）</w:t>
      </w:r>
    </w:p>
    <w:p>
      <w:pPr>
        <w:adjustRightInd w:val="0"/>
        <w:snapToGrid w:val="0"/>
        <w:spacing w:line="360" w:lineRule="auto"/>
        <w:ind w:firstLine="400" w:firstLineChars="200"/>
        <w:jc w:val="left"/>
        <w:rPr>
          <w:rFonts w:ascii="宋体" w:hAnsi="宋体"/>
          <w:bCs/>
          <w:color w:val="auto"/>
          <w:sz w:val="20"/>
          <w:szCs w:val="20"/>
        </w:rPr>
      </w:pPr>
      <w:r>
        <w:rPr>
          <w:rFonts w:hint="eastAsia" w:ascii="宋体" w:hAnsi="宋体"/>
          <w:bCs/>
          <w:color w:val="auto"/>
          <w:sz w:val="20"/>
          <w:szCs w:val="20"/>
        </w:rPr>
        <w:t>指定承包人使用总承包单位现场设施所需支付的费用，包括脚手架、垂直运输设备等使用费及总承包单位和专业工程承包人约定的其他费用，由指定承包人支付给总承包单位。招标人建议的费率为</w:t>
      </w:r>
      <w:r>
        <w:rPr>
          <w:rFonts w:ascii="宋体" w:hAnsi="宋体"/>
          <w:bCs/>
          <w:color w:val="auto"/>
          <w:sz w:val="20"/>
          <w:szCs w:val="20"/>
        </w:rPr>
        <w:t>0-3%，计费基础为招标人指定承包项目合同金额扣减设备费（包括扣减红线外10KV高压电缆主材价）。具体费用由双方协商确定，总承包单位不得恶意抬价。</w:t>
      </w:r>
    </w:p>
    <w:p>
      <w:pPr>
        <w:adjustRightInd w:val="0"/>
        <w:snapToGrid w:val="0"/>
        <w:spacing w:line="360" w:lineRule="auto"/>
        <w:ind w:firstLine="400" w:firstLineChars="200"/>
        <w:jc w:val="left"/>
        <w:rPr>
          <w:bCs/>
          <w:color w:val="auto"/>
          <w:sz w:val="20"/>
          <w:szCs w:val="20"/>
        </w:rPr>
      </w:pPr>
      <w:r>
        <w:rPr>
          <w:rFonts w:hint="eastAsia" w:ascii="宋体" w:hAnsi="宋体"/>
          <w:bCs/>
          <w:color w:val="auto"/>
          <w:sz w:val="20"/>
          <w:szCs w:val="20"/>
        </w:rPr>
        <w:t>招标人编制的专业工程标底中已包含脚手架、垂直运输设备等费用，专业工程承包人如使用总承包单位的脚手架、垂直运输设备等设施时，如需向总承包单位缴纳临时设施使用费（具体金额与总承包单位协商）时，该费用由专业工程承包人负责，不得向发包人另行索要。</w:t>
      </w:r>
    </w:p>
    <w:p>
      <w:pPr>
        <w:adjustRightInd w:val="0"/>
        <w:snapToGrid w:val="0"/>
        <w:spacing w:line="360" w:lineRule="auto"/>
        <w:jc w:val="left"/>
        <w:rPr>
          <w:rFonts w:ascii="宋体" w:hAnsi="宋体"/>
          <w:bCs/>
          <w:color w:val="auto"/>
          <w:sz w:val="20"/>
          <w:szCs w:val="20"/>
        </w:rPr>
      </w:pPr>
      <w:r>
        <w:rPr>
          <w:rFonts w:ascii="宋体" w:hAnsi="宋体"/>
          <w:bCs/>
          <w:color w:val="auto"/>
          <w:sz w:val="20"/>
          <w:szCs w:val="20"/>
        </w:rPr>
        <w:object>
          <v:shape id="_x0000_i1026" o:spt="201" type="#_x0000_t201" style="height:18pt;width:12.75pt;" o:ole="t" filled="f" o:preferrelative="t" stroked="f" coordsize="21600,21600">
            <v:path/>
            <v:fill on="f" focussize="0,0"/>
            <v:stroke on="f"/>
            <v:imagedata r:id="rId19" o:title=""/>
            <o:lock v:ext="edit" aspectratio="t"/>
            <w10:wrap type="none"/>
            <w10:anchorlock/>
          </v:shape>
          <w:control r:id="rId18" w:name="CheckBox143" w:shapeid="_x0000_i1026"/>
        </w:object>
      </w:r>
      <w:r>
        <w:rPr>
          <w:rFonts w:hint="eastAsia" w:hAnsi="宋体"/>
          <w:color w:val="auto"/>
          <w:sz w:val="23"/>
          <w:szCs w:val="23"/>
        </w:rPr>
        <w:t>（</w:t>
      </w:r>
      <w:r>
        <w:rPr>
          <w:rFonts w:hAnsi="宋体"/>
          <w:color w:val="auto"/>
          <w:sz w:val="23"/>
          <w:szCs w:val="23"/>
        </w:rPr>
        <w:t>3</w:t>
      </w:r>
      <w:r>
        <w:rPr>
          <w:rFonts w:hint="eastAsia" w:hAnsi="宋体"/>
          <w:color w:val="auto"/>
          <w:sz w:val="23"/>
          <w:szCs w:val="23"/>
        </w:rPr>
        <w:t>）</w:t>
      </w:r>
      <w:r>
        <w:rPr>
          <w:rFonts w:hint="eastAsia" w:ascii="宋体" w:hAnsi="宋体"/>
          <w:bCs/>
          <w:color w:val="auto"/>
          <w:sz w:val="20"/>
          <w:szCs w:val="20"/>
        </w:rPr>
        <w:t>发包人供应（甲供）材料设备保管费（推荐费率：材料</w:t>
      </w:r>
      <w:r>
        <w:rPr>
          <w:rFonts w:ascii="宋体" w:hAnsi="宋体"/>
          <w:bCs/>
          <w:color w:val="auto"/>
          <w:sz w:val="20"/>
          <w:szCs w:val="20"/>
        </w:rPr>
        <w:t>1-2%，设备0.5-1.5%）</w:t>
      </w:r>
    </w:p>
    <w:p>
      <w:pPr>
        <w:adjustRightInd w:val="0"/>
        <w:snapToGrid w:val="0"/>
        <w:spacing w:line="360" w:lineRule="auto"/>
        <w:ind w:firstLine="400" w:firstLineChars="200"/>
        <w:jc w:val="left"/>
        <w:rPr>
          <w:bCs/>
          <w:color w:val="auto"/>
          <w:sz w:val="20"/>
          <w:szCs w:val="20"/>
          <w:bdr w:val="single" w:color="auto" w:sz="4" w:space="0"/>
        </w:rPr>
      </w:pPr>
      <w:r>
        <w:rPr>
          <w:rFonts w:hint="eastAsia" w:ascii="宋体" w:hAnsi="宋体"/>
          <w:bCs/>
          <w:color w:val="auto"/>
          <w:sz w:val="20"/>
          <w:szCs w:val="20"/>
        </w:rPr>
        <w:t>对发包人供应的材料设备（甲供材料设备）进行保管服务及现场管理所需的费用，费率由投标人自报。</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12.4计日工：计日工是指在施工过程中，完成发包人提出的施工图纸以外的零星项目或工作，按合同中约定的综合单价计价。</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计日工应根据工程特点和实际情况列出相应人工工日、材料、机械台班的暂定数量。</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根据招标人提供的计日工表进行填报综合单价。结算时，应按实际完成的工程量结算。</w:t>
      </w:r>
    </w:p>
    <w:p>
      <w:pPr>
        <w:adjustRightInd w:val="0"/>
        <w:snapToGrid w:val="0"/>
        <w:spacing w:line="360" w:lineRule="auto"/>
        <w:ind w:firstLine="200" w:firstLineChars="200"/>
        <w:jc w:val="left"/>
        <w:rPr>
          <w:rFonts w:ascii="宋体" w:hAnsi="宋体"/>
          <w:color w:val="auto"/>
          <w:sz w:val="10"/>
          <w:szCs w:val="10"/>
        </w:rPr>
      </w:pP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13、投标报价中应包含国家有关部门和地方政府规定交纳的“规费”，其包括社会保障费(包括失业保险、养老保险、工伤保险、生育保险、医疗保险、住房公积金)、工程排污费等。</w:t>
      </w:r>
    </w:p>
    <w:p>
      <w:pPr>
        <w:adjustRightInd w:val="0"/>
        <w:snapToGrid w:val="0"/>
        <w:spacing w:line="360" w:lineRule="auto"/>
        <w:ind w:firstLine="200" w:firstLineChars="200"/>
        <w:jc w:val="left"/>
        <w:rPr>
          <w:rFonts w:ascii="宋体" w:hAnsi="宋体"/>
          <w:color w:val="auto"/>
          <w:sz w:val="10"/>
          <w:szCs w:val="10"/>
        </w:rPr>
      </w:pP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14、</w:t>
      </w:r>
      <w:r>
        <w:rPr>
          <w:rFonts w:hint="eastAsia" w:ascii="宋体" w:hAnsi="宋体"/>
          <w:color w:val="auto"/>
          <w:sz w:val="20"/>
          <w:szCs w:val="20"/>
        </w:rPr>
        <w:t>关于参考品牌及其报价</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14.1招标人为了确保工程质量和装饰效果，对某些质量、价格或观感对整个工程或设备质量、价格或者装饰效果起着非常关键作用的主要材料或设备（元器件）设立参考品牌，作为材料设备的选用范围。</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14.2投标人在投标时可以选择参考品牌作为投标品牌，也可以选用其他品质不低于参考品牌的品牌，但在后一种情况下投标人应提供足够的证据证明其所选投标品牌完全满足设计要求、品质不低于参考品牌。由于投标单位未能提供足够的证据造成的后果由投标人承担。投标人在投标时</w:t>
      </w:r>
      <w:r>
        <w:rPr>
          <w:rFonts w:hint="eastAsia" w:ascii="宋体" w:hAnsi="宋体"/>
          <w:color w:val="auto"/>
          <w:sz w:val="20"/>
          <w:szCs w:val="20"/>
        </w:rPr>
        <w:t>应根据所</w:t>
      </w:r>
      <w:r>
        <w:rPr>
          <w:rFonts w:ascii="宋体" w:hAnsi="宋体"/>
          <w:color w:val="auto"/>
          <w:sz w:val="20"/>
          <w:szCs w:val="20"/>
        </w:rPr>
        <w:t>选择</w:t>
      </w:r>
      <w:r>
        <w:rPr>
          <w:rFonts w:hint="eastAsia" w:ascii="宋体" w:hAnsi="宋体"/>
          <w:color w:val="auto"/>
          <w:sz w:val="20"/>
          <w:szCs w:val="20"/>
        </w:rPr>
        <w:t>的</w:t>
      </w:r>
      <w:r>
        <w:rPr>
          <w:rFonts w:ascii="宋体" w:hAnsi="宋体"/>
          <w:color w:val="auto"/>
          <w:sz w:val="20"/>
          <w:szCs w:val="20"/>
        </w:rPr>
        <w:t>参考品牌</w:t>
      </w:r>
      <w:r>
        <w:rPr>
          <w:rFonts w:hint="eastAsia" w:ascii="宋体" w:hAnsi="宋体"/>
          <w:color w:val="auto"/>
          <w:sz w:val="20"/>
          <w:szCs w:val="20"/>
        </w:rPr>
        <w:t>进行报价。</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color w:val="auto"/>
          <w:sz w:val="20"/>
          <w:szCs w:val="20"/>
        </w:rPr>
        <w:t>15、鼓励按照市政府关于建筑废弃物减排与利用的规定使用再生建材，相关费用变化由投标人在投标报价时综合考虑。</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color w:val="auto"/>
          <w:sz w:val="20"/>
          <w:szCs w:val="20"/>
        </w:rPr>
        <w:t>16、投标人商务标工程量清单综合单价分析表中的主要材料、设备消耗量应符合常理，对于</w:t>
      </w:r>
      <w:r>
        <w:rPr>
          <w:rFonts w:hint="eastAsia" w:ascii="宋体" w:hAnsi="宋体"/>
          <w:color w:val="auto"/>
          <w:sz w:val="20"/>
          <w:szCs w:val="20"/>
        </w:rPr>
        <w:t>明显不合理</w:t>
      </w:r>
      <w:r>
        <w:rPr>
          <w:rFonts w:ascii="宋体" w:hAnsi="宋体"/>
          <w:color w:val="auto"/>
          <w:sz w:val="20"/>
          <w:szCs w:val="20"/>
        </w:rPr>
        <w:t>的情况，情节较轻的招标人可以要求投标人予以澄清，情节较重的（超过10%数量的工程量清单综合单价分析存在前述情况的），招标人（含定标委员）可能不予认可，造成的后果由投标人自负。</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color w:val="auto"/>
          <w:sz w:val="20"/>
          <w:szCs w:val="20"/>
        </w:rPr>
        <w:t>17、当招标工程的单位工程数量超过一个的，投标报价时需按公示的各个单位工程的安全文明施工措施费填报，并填入安全文明施工措施费汇总表。</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color w:val="auto"/>
          <w:sz w:val="20"/>
          <w:szCs w:val="20"/>
        </w:rPr>
        <w:t>18、工程量清单中的报价，均应以人民币元为单位，最终以人民币办理结算。</w:t>
      </w:r>
    </w:p>
    <w:p>
      <w:pPr>
        <w:adjustRightInd w:val="0"/>
        <w:snapToGrid w:val="0"/>
        <w:spacing w:line="360" w:lineRule="auto"/>
        <w:jc w:val="left"/>
        <w:outlineLvl w:val="1"/>
        <w:rPr>
          <w:rFonts w:ascii="黑体" w:eastAsia="黑体"/>
          <w:color w:val="auto"/>
          <w:sz w:val="31"/>
          <w:szCs w:val="31"/>
        </w:rPr>
      </w:pPr>
      <w:r>
        <w:rPr>
          <w:rFonts w:ascii="宋体" w:hAnsi="宋体"/>
          <w:color w:val="auto"/>
          <w:sz w:val="20"/>
          <w:szCs w:val="20"/>
        </w:rPr>
        <w:br w:type="page"/>
      </w:r>
      <w:bookmarkStart w:id="7" w:name="_Toc405968324"/>
      <w:bookmarkStart w:id="8" w:name="Bookmark22"/>
      <w:bookmarkStart w:id="9" w:name="_Toc517528841"/>
      <w:bookmarkStart w:id="10" w:name="_Toc517527748"/>
      <w:bookmarkStart w:id="11" w:name="_Toc517531079"/>
      <w:bookmarkStart w:id="12" w:name="_Toc517529803"/>
      <w:r>
        <w:rPr>
          <w:rFonts w:hint="eastAsia" w:ascii="黑体" w:eastAsia="黑体"/>
          <w:color w:val="auto"/>
          <w:sz w:val="31"/>
          <w:szCs w:val="31"/>
        </w:rPr>
        <w:t>附件2：</w:t>
      </w:r>
      <w:bookmarkEnd w:id="7"/>
      <w:bookmarkEnd w:id="8"/>
      <w:bookmarkEnd w:id="9"/>
      <w:bookmarkEnd w:id="10"/>
      <w:bookmarkEnd w:id="11"/>
      <w:bookmarkEnd w:id="12"/>
    </w:p>
    <w:p>
      <w:pPr>
        <w:adjustRightInd w:val="0"/>
        <w:snapToGrid w:val="0"/>
        <w:spacing w:line="360" w:lineRule="auto"/>
        <w:jc w:val="center"/>
        <w:rPr>
          <w:b/>
          <w:color w:val="auto"/>
          <w:sz w:val="27"/>
          <w:szCs w:val="27"/>
        </w:rPr>
      </w:pPr>
      <w:r>
        <w:rPr>
          <w:rFonts w:hint="eastAsia" w:ascii="宋体" w:hAnsi="宋体"/>
          <w:b/>
          <w:bCs/>
          <w:color w:val="auto"/>
          <w:sz w:val="27"/>
          <w:szCs w:val="27"/>
        </w:rPr>
        <w:t>《工程量清单投标报价规定》的修改及补充条款</w:t>
      </w:r>
    </w:p>
    <w:p>
      <w:pPr>
        <w:adjustRightInd w:val="0"/>
        <w:snapToGrid w:val="0"/>
        <w:spacing w:line="360" w:lineRule="auto"/>
        <w:jc w:val="left"/>
        <w:rPr>
          <w:b/>
          <w:color w:val="auto"/>
          <w:sz w:val="20"/>
          <w:szCs w:val="20"/>
        </w:rPr>
      </w:pPr>
      <w:r>
        <w:rPr>
          <w:rFonts w:hint="eastAsia"/>
          <w:b/>
          <w:color w:val="auto"/>
          <w:sz w:val="20"/>
          <w:szCs w:val="20"/>
        </w:rPr>
        <w:t>说明：附件</w:t>
      </w:r>
      <w:r>
        <w:rPr>
          <w:b/>
          <w:color w:val="auto"/>
          <w:sz w:val="20"/>
          <w:szCs w:val="20"/>
        </w:rPr>
        <w:t>2</w:t>
      </w:r>
      <w:r>
        <w:rPr>
          <w:rFonts w:hint="eastAsia"/>
          <w:b/>
          <w:color w:val="auto"/>
          <w:sz w:val="20"/>
          <w:szCs w:val="20"/>
        </w:rPr>
        <w:t>是附件</w:t>
      </w:r>
      <w:r>
        <w:rPr>
          <w:b/>
          <w:color w:val="auto"/>
          <w:sz w:val="20"/>
          <w:szCs w:val="20"/>
        </w:rPr>
        <w:t>1</w:t>
      </w:r>
      <w:r>
        <w:rPr>
          <w:rFonts w:hint="eastAsia"/>
          <w:b/>
          <w:color w:val="auto"/>
          <w:sz w:val="20"/>
          <w:szCs w:val="20"/>
        </w:rPr>
        <w:t>的修改和补充，如附件</w:t>
      </w:r>
      <w:r>
        <w:rPr>
          <w:b/>
          <w:color w:val="auto"/>
          <w:sz w:val="20"/>
          <w:szCs w:val="20"/>
        </w:rPr>
        <w:t>2</w:t>
      </w:r>
      <w:r>
        <w:rPr>
          <w:rFonts w:hint="eastAsia"/>
          <w:b/>
          <w:color w:val="auto"/>
          <w:sz w:val="20"/>
          <w:szCs w:val="20"/>
        </w:rPr>
        <w:t>与附件</w:t>
      </w:r>
      <w:r>
        <w:rPr>
          <w:b/>
          <w:color w:val="auto"/>
          <w:sz w:val="20"/>
          <w:szCs w:val="20"/>
        </w:rPr>
        <w:t>1</w:t>
      </w:r>
      <w:r>
        <w:rPr>
          <w:rFonts w:hint="eastAsia"/>
          <w:b/>
          <w:color w:val="auto"/>
          <w:sz w:val="20"/>
          <w:szCs w:val="20"/>
        </w:rPr>
        <w:t>之间有不符之处，以附件</w:t>
      </w:r>
      <w:r>
        <w:rPr>
          <w:b/>
          <w:color w:val="auto"/>
          <w:sz w:val="20"/>
          <w:szCs w:val="20"/>
        </w:rPr>
        <w:t>2</w:t>
      </w:r>
      <w:r>
        <w:rPr>
          <w:rFonts w:hint="eastAsia"/>
          <w:b/>
          <w:color w:val="auto"/>
          <w:sz w:val="20"/>
          <w:szCs w:val="20"/>
        </w:rPr>
        <w:t>内容为准。</w:t>
      </w:r>
    </w:p>
    <w:p>
      <w:pPr>
        <w:adjustRightInd w:val="0"/>
        <w:snapToGrid w:val="0"/>
        <w:spacing w:line="360" w:lineRule="auto"/>
        <w:jc w:val="left"/>
        <w:rPr>
          <w:color w:val="auto"/>
          <w:sz w:val="20"/>
          <w:szCs w:val="20"/>
          <w:bdr w:val="single" w:color="auto" w:sz="4" w:space="0"/>
        </w:rPr>
      </w:pPr>
      <w:r>
        <w:rPr>
          <w:i/>
          <w:color w:val="auto"/>
          <w:sz w:val="20"/>
          <w:szCs w:val="20"/>
          <w:bdr w:val="single" w:color="auto" w:sz="4" w:space="0"/>
        </w:rPr>
        <w:t>[</w:t>
      </w:r>
      <w:r>
        <w:rPr>
          <w:rFonts w:hint="eastAsia"/>
          <w:i/>
          <w:color w:val="auto"/>
          <w:sz w:val="20"/>
          <w:szCs w:val="20"/>
          <w:bdr w:val="single" w:color="auto" w:sz="4" w:space="0"/>
        </w:rPr>
        <w:t>备注：以下条款可根据招标工程具体情况选用（如施工总承包、专业承包工程）</w:t>
      </w:r>
      <w:r>
        <w:rPr>
          <w:i/>
          <w:color w:val="auto"/>
          <w:sz w:val="20"/>
          <w:szCs w:val="20"/>
          <w:bdr w:val="single" w:color="auto" w:sz="4" w:space="0"/>
        </w:rPr>
        <w:t>]</w:t>
      </w:r>
    </w:p>
    <w:p>
      <w:pPr>
        <w:pStyle w:val="23"/>
        <w:adjustRightInd w:val="0"/>
        <w:snapToGrid w:val="0"/>
        <w:spacing w:before="240" w:beforeLines="100"/>
        <w:ind w:left="0" w:firstLine="400" w:firstLineChars="200"/>
        <w:jc w:val="left"/>
        <w:rPr>
          <w:rFonts w:hAnsi="宋体"/>
          <w:color w:val="auto"/>
          <w:bdr w:val="single" w:color="auto" w:sz="4" w:space="0"/>
        </w:rPr>
      </w:pPr>
      <w:r>
        <w:rPr>
          <w:rFonts w:hAnsi="宋体"/>
          <w:bCs/>
          <w:color w:val="auto"/>
        </w:rPr>
        <w:object>
          <v:shape id="_x0000_i1027" o:spt="201" type="#_x0000_t201" style="height:18pt;width:12.75pt;" o:ole="t" filled="f" o:preferrelative="t" stroked="f" coordsize="21600,21600">
            <v:path/>
            <v:fill on="f" focussize="0,0"/>
            <v:stroke on="f"/>
            <v:imagedata r:id="rId21" o:title=""/>
            <o:lock v:ext="edit" aspectratio="t"/>
            <w10:wrap type="none"/>
            <w10:anchorlock/>
          </v:shape>
          <w:control r:id="rId20" w:name="CheckBox144" w:shapeid="_x0000_i1027"/>
        </w:object>
      </w:r>
      <w:r>
        <w:rPr>
          <w:rFonts w:hAnsi="宋体"/>
          <w:bCs/>
          <w:color w:val="auto"/>
        </w:rPr>
        <w:t>1、工程量清单中因图纸不详的某些项目，投标人应按招标人给定的专业工程暂估价报价。该专项工程施工图纸完善后、施工之前，承包人应按合同及有关规定做出预算书报监理工程师、发包人审核，该专业工程验收后，再经深圳市</w:t>
      </w:r>
      <w:r>
        <w:rPr>
          <w:rFonts w:hint="eastAsia" w:hAnsi="宋体"/>
          <w:bCs/>
          <w:color w:val="auto"/>
        </w:rPr>
        <w:t>财政投资评审中心</w:t>
      </w:r>
      <w:r>
        <w:rPr>
          <w:rFonts w:hAnsi="宋体"/>
          <w:bCs/>
          <w:color w:val="auto"/>
        </w:rPr>
        <w:t>（以下简称“</w:t>
      </w:r>
      <w:r>
        <w:rPr>
          <w:rFonts w:hint="eastAsia" w:hAnsi="宋体"/>
          <w:bCs/>
          <w:color w:val="auto"/>
        </w:rPr>
        <w:t>评审中心</w:t>
      </w:r>
      <w:r>
        <w:rPr>
          <w:rFonts w:hAnsi="宋体"/>
          <w:bCs/>
          <w:color w:val="auto"/>
        </w:rPr>
        <w:t>”）或发包人指定的第三方审定</w:t>
      </w:r>
      <w:r>
        <w:rPr>
          <w:rFonts w:hint="eastAsia" w:hAnsi="宋体"/>
          <w:bCs/>
          <w:color w:val="auto"/>
        </w:rPr>
        <w:t>结果</w:t>
      </w:r>
      <w:r>
        <w:rPr>
          <w:rFonts w:hAnsi="宋体"/>
          <w:bCs/>
          <w:color w:val="auto"/>
        </w:rPr>
        <w:t>作为结算价。</w:t>
      </w:r>
    </w:p>
    <w:p>
      <w:pPr>
        <w:pStyle w:val="23"/>
        <w:adjustRightInd w:val="0"/>
        <w:snapToGrid w:val="0"/>
        <w:spacing w:before="240" w:beforeLines="100"/>
        <w:ind w:left="0" w:firstLine="400" w:firstLineChars="200"/>
        <w:jc w:val="left"/>
        <w:rPr>
          <w:rFonts w:hAnsi="宋体"/>
          <w:bCs/>
          <w:color w:val="auto"/>
        </w:rPr>
      </w:pPr>
      <w:r>
        <w:rPr>
          <w:rFonts w:hAnsi="宋体"/>
          <w:bCs/>
          <w:color w:val="auto"/>
        </w:rPr>
        <w:object>
          <v:shape id="_x0000_i1028" o:spt="201" type="#_x0000_t201" style="height:18pt;width:12.75pt;" o:ole="t" filled="f" o:preferrelative="t" stroked="f" coordsize="21600,21600">
            <v:path/>
            <v:fill on="f" focussize="0,0"/>
            <v:stroke on="f"/>
            <v:imagedata r:id="rId23" o:title=""/>
            <o:lock v:ext="edit" aspectratio="t"/>
            <w10:wrap type="none"/>
            <w10:anchorlock/>
          </v:shape>
          <w:control r:id="rId22" w:name="CheckBox145" w:shapeid="_x0000_i1028"/>
        </w:object>
      </w:r>
      <w:r>
        <w:rPr>
          <w:rFonts w:hAnsi="宋体"/>
          <w:bCs/>
          <w:color w:val="auto"/>
        </w:rPr>
        <w:t>2、工程量清单中设有材料设备暂估价的，投标人须按照招标人所确定的材料设备暂估价计算主材费(材料设备暂估价不得变动)，加上其他除主材之外的一切费用计算综合单价。材料设备暂估价为最后定价的上限价，结算时仅对材料设备暂估价（即主材价）部分调整价差，其他部分包干，不予调整。材料设备暂估价的确定方法按招标人的有关规定执行。</w:t>
      </w:r>
    </w:p>
    <w:p>
      <w:pPr>
        <w:spacing w:line="360" w:lineRule="auto"/>
        <w:ind w:firstLine="440"/>
        <w:jc w:val="left"/>
        <w:rPr>
          <w:rFonts w:ascii="宋体" w:hAnsi="宋体"/>
          <w:color w:val="auto"/>
          <w:szCs w:val="21"/>
        </w:rPr>
      </w:pPr>
      <w:bookmarkStart w:id="13" w:name="_1628422433"/>
      <w:bookmarkEnd w:id="13"/>
      <w:r>
        <w:rPr>
          <w:rFonts w:ascii="宋体" w:hAnsi="宋体"/>
          <w:bCs/>
          <w:color w:val="auto"/>
          <w:sz w:val="20"/>
          <w:szCs w:val="20"/>
        </w:rPr>
        <w:object>
          <v:shape id="_x0000_i1029" o:spt="201" type="#_x0000_t201" style="height:18pt;width:12.75pt;" o:ole="t" filled="f" o:preferrelative="t" stroked="f" coordsize="21600,21600">
            <v:path/>
            <v:fill on="f" focussize="0,0"/>
            <v:stroke on="f"/>
            <v:imagedata r:id="rId25" o:title=""/>
            <o:lock v:ext="edit" aspectratio="t"/>
            <w10:wrap type="none"/>
            <w10:anchorlock/>
          </v:shape>
          <w:control r:id="rId24" w:name="CheckBox146" w:shapeid="_x0000_i1029"/>
        </w:object>
      </w:r>
      <w:r>
        <w:rPr>
          <w:rFonts w:ascii="宋体" w:hAnsi="宋体"/>
          <w:color w:val="auto"/>
          <w:szCs w:val="21"/>
        </w:rPr>
        <w:t>3、发包人供应材料和设备，投标人在投标报价中不计材料和设备价格。投标报价以发包人提供的材料和设备材料设备价格为基础，计算包括安装等所有费用构成的综合单价，结算时综合单价包干，不随发包人供应材料和设备价格的调整而调整其综合单价。</w:t>
      </w:r>
    </w:p>
    <w:p>
      <w:pPr>
        <w:pStyle w:val="23"/>
        <w:adjustRightInd w:val="0"/>
        <w:snapToGrid w:val="0"/>
        <w:spacing w:before="240" w:beforeLines="100"/>
        <w:ind w:left="0" w:firstLine="400" w:firstLineChars="200"/>
        <w:jc w:val="left"/>
        <w:rPr>
          <w:rFonts w:hAnsi="宋体"/>
          <w:color w:val="auto"/>
          <w:szCs w:val="21"/>
        </w:rPr>
      </w:pPr>
      <w:r>
        <w:rPr>
          <w:rFonts w:hint="eastAsia" w:hAnsi="宋体"/>
          <w:color w:val="auto"/>
          <w:szCs w:val="21"/>
        </w:rPr>
        <w:t>发包人供应材料的，其金额是规费的计算基数，参与规费计算后从建安工程造价中扣除。发包人供应设备的，其金额不参与规费税金计算。材料与设备的划分原则见《深圳市建设工程计价规程》（</w:t>
      </w:r>
      <w:r>
        <w:rPr>
          <w:rFonts w:hAnsi="宋体"/>
          <w:color w:val="auto"/>
          <w:szCs w:val="21"/>
        </w:rPr>
        <w:t>2017）之附件3《深圳市安装工程设备与材料划分原则》。</w:t>
      </w:r>
    </w:p>
    <w:p>
      <w:pPr>
        <w:pStyle w:val="23"/>
        <w:adjustRightInd w:val="0"/>
        <w:snapToGrid w:val="0"/>
        <w:spacing w:before="240" w:beforeLines="100"/>
        <w:ind w:left="0" w:firstLine="400" w:firstLineChars="200"/>
        <w:jc w:val="left"/>
        <w:rPr>
          <w:rFonts w:hAnsi="宋体"/>
          <w:bCs/>
          <w:color w:val="auto"/>
        </w:rPr>
      </w:pPr>
      <w:r>
        <w:rPr>
          <w:rFonts w:hAnsi="宋体"/>
          <w:bCs/>
          <w:color w:val="auto"/>
        </w:rPr>
        <w:object>
          <v:shape id="_x0000_i1030" o:spt="201" type="#_x0000_t201" style="height:18pt;width:12.75pt;" o:ole="t" filled="f" o:preferrelative="t" stroked="f" coordsize="21600,21600">
            <v:path/>
            <v:fill on="f" focussize="0,0"/>
            <v:stroke on="f"/>
            <v:imagedata r:id="rId27" o:title=""/>
            <o:lock v:ext="edit" aspectratio="t"/>
            <w10:wrap type="none"/>
            <w10:anchorlock/>
          </v:shape>
          <w:control r:id="rId26" w:name="CheckBox147" w:shapeid="_x0000_i1030"/>
        </w:object>
      </w:r>
      <w:r>
        <w:rPr>
          <w:rFonts w:hAnsi="宋体"/>
          <w:bCs/>
          <w:color w:val="auto"/>
        </w:rPr>
        <w:t>4、本工程承包范围内所有的防腐、防锈、防水、防火、收口收边等措施应含在投标报价中；投标报价中还应包括当照明灯具的高温部位靠近非A级材料时应采取隔热散热等防火保护措施。</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31" o:spt="201" type="#_x0000_t201" style="height:18pt;width:12.75pt;" o:ole="t" filled="f" o:preferrelative="t" stroked="f" coordsize="21600,21600">
            <v:path/>
            <v:fill on="f" focussize="0,0"/>
            <v:stroke on="f"/>
            <v:imagedata r:id="rId29" o:title=""/>
            <o:lock v:ext="edit" aspectratio="t"/>
            <w10:wrap type="none"/>
            <w10:anchorlock/>
          </v:shape>
          <w:control r:id="rId28" w:name="CheckBox155" w:shapeid="_x0000_i1031"/>
        </w:object>
      </w:r>
      <w:r>
        <w:rPr>
          <w:rFonts w:ascii="宋体" w:hAnsi="宋体"/>
          <w:bCs/>
          <w:color w:val="auto"/>
          <w:sz w:val="20"/>
          <w:szCs w:val="20"/>
        </w:rPr>
        <w:t>5、本工程应按设计要求选用环保材料并按要求送检，其费用在相应的综合单价中综合考虑。</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2" o:spt="201" type="#_x0000_t201" style="height:18pt;width:12.75pt;" o:ole="t" filled="f" o:preferrelative="t" stroked="f" coordsize="21600,21600">
            <v:path/>
            <v:fill on="f" focussize="0,0"/>
            <v:stroke on="f"/>
            <v:imagedata r:id="rId31" o:title=""/>
            <o:lock v:ext="edit" aspectratio="t"/>
            <w10:wrap type="none"/>
            <w10:anchorlock/>
          </v:shape>
          <w:control r:id="rId30" w:name="CheckBox155" w:shapeid="_x0000_i1032"/>
        </w:object>
      </w:r>
      <w:r>
        <w:rPr>
          <w:rFonts w:ascii="宋体" w:hAnsi="宋体"/>
          <w:color w:val="auto"/>
          <w:sz w:val="20"/>
          <w:szCs w:val="20"/>
        </w:rPr>
        <w:t>6、本工程为固定综合单价合同，投标人在投标报价时应充分考虑为完成本工程应包括的全部项目及风险，综合单价中应包括招标文件及合同条件明示和隐含的一切风险费用。风险范围包括但不限于：</w:t>
      </w:r>
    </w:p>
    <w:p>
      <w:pPr>
        <w:adjustRightInd w:val="0"/>
        <w:snapToGrid w:val="0"/>
        <w:spacing w:line="360" w:lineRule="auto"/>
        <w:ind w:left="29" w:leftChars="14" w:firstLine="400" w:firstLineChars="20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1）由于承包人与总承包单位、其他专业承包人之间的交叉作业或配合而引起的窝工、停工损失；以及施工作业面移交等原因导致不均衡施工对劳动力需求的变化从而出现赶工或窝工，费用不做调整。</w:t>
      </w:r>
    </w:p>
    <w:p>
      <w:pPr>
        <w:adjustRightInd w:val="0"/>
        <w:snapToGrid w:val="0"/>
        <w:spacing w:line="360" w:lineRule="auto"/>
        <w:ind w:left="29" w:leftChars="14" w:firstLine="400" w:firstLineChars="20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2）人工、材料、机械费等变化引起风险（合同规定的可以调整的除外）；</w:t>
      </w:r>
    </w:p>
    <w:p>
      <w:pPr>
        <w:adjustRightInd w:val="0"/>
        <w:snapToGrid w:val="0"/>
        <w:spacing w:line="360" w:lineRule="auto"/>
        <w:ind w:left="29" w:leftChars="14" w:firstLine="400" w:firstLineChars="200"/>
        <w:jc w:val="left"/>
        <w:rPr>
          <w:rFonts w:ascii="宋体" w:hAnsi="宋体"/>
          <w:bCs/>
          <w:color w:val="auto"/>
          <w:sz w:val="20"/>
          <w:szCs w:val="20"/>
        </w:rPr>
      </w:pPr>
      <w:r>
        <w:rPr>
          <w:rFonts w:hint="eastAsia" w:ascii="宋体" w:hAnsi="宋体"/>
          <w:bCs/>
          <w:color w:val="auto"/>
          <w:sz w:val="20"/>
          <w:szCs w:val="20"/>
        </w:rPr>
        <w:t>（</w:t>
      </w:r>
      <w:r>
        <w:rPr>
          <w:rFonts w:ascii="宋体" w:hAnsi="宋体"/>
          <w:bCs/>
          <w:color w:val="auto"/>
          <w:sz w:val="20"/>
          <w:szCs w:val="20"/>
        </w:rPr>
        <w:t>3）招标工程承包范围内有需深化设计项目的，清单项目内因施工工艺需承包人进行深化设计所发生的一切费用；</w:t>
      </w:r>
    </w:p>
    <w:p>
      <w:pPr>
        <w:adjustRightInd w:val="0"/>
        <w:snapToGrid w:val="0"/>
        <w:spacing w:line="360" w:lineRule="auto"/>
        <w:ind w:left="29" w:leftChars="14" w:firstLine="400" w:firstLineChars="200"/>
        <w:jc w:val="left"/>
        <w:rPr>
          <w:rFonts w:ascii="宋体" w:hAnsi="宋体"/>
          <w:bCs/>
          <w:color w:val="auto"/>
          <w:sz w:val="20"/>
          <w:szCs w:val="20"/>
        </w:rPr>
      </w:pPr>
      <w:r>
        <w:rPr>
          <w:rFonts w:hint="eastAsia" w:ascii="宋体" w:hAnsi="宋体"/>
          <w:color w:val="auto"/>
          <w:sz w:val="20"/>
          <w:szCs w:val="20"/>
        </w:rPr>
        <w:t>（</w:t>
      </w:r>
      <w:r>
        <w:rPr>
          <w:rFonts w:ascii="宋体" w:hAnsi="宋体"/>
          <w:color w:val="auto"/>
          <w:sz w:val="20"/>
          <w:szCs w:val="20"/>
        </w:rPr>
        <w:t>4）与各专业之间的衔接、部分已完结构的</w:t>
      </w:r>
      <w:r>
        <w:rPr>
          <w:rFonts w:hint="eastAsia" w:ascii="宋体" w:hAnsi="宋体"/>
          <w:bCs/>
          <w:color w:val="auto"/>
          <w:sz w:val="20"/>
          <w:szCs w:val="20"/>
        </w:rPr>
        <w:t>拆除、隔断与原结构的连接、水电管线安装与原有管线交叉部位的处理等所发生的一切费用。</w:t>
      </w:r>
    </w:p>
    <w:p>
      <w:pPr>
        <w:adjustRightInd w:val="0"/>
        <w:snapToGrid w:val="0"/>
        <w:spacing w:line="360" w:lineRule="auto"/>
        <w:ind w:left="29" w:leftChars="14" w:firstLine="400" w:firstLineChars="200"/>
        <w:jc w:val="left"/>
        <w:rPr>
          <w:rFonts w:ascii="宋体" w:hAnsi="宋体"/>
          <w:bCs/>
          <w:color w:val="auto"/>
          <w:sz w:val="20"/>
          <w:szCs w:val="20"/>
        </w:rPr>
      </w:pPr>
      <w:r>
        <w:rPr>
          <w:rFonts w:hint="eastAsia" w:ascii="宋体" w:hAnsi="宋体"/>
          <w:color w:val="auto"/>
          <w:sz w:val="20"/>
          <w:szCs w:val="20"/>
        </w:rPr>
        <w:t>（</w:t>
      </w:r>
      <w:r>
        <w:rPr>
          <w:rFonts w:ascii="宋体" w:hAnsi="宋体"/>
          <w:color w:val="auto"/>
          <w:sz w:val="20"/>
          <w:szCs w:val="20"/>
        </w:rPr>
        <w:t>5）</w:t>
      </w:r>
      <w:r>
        <w:rPr>
          <w:rFonts w:hint="eastAsia" w:ascii="宋体" w:hAnsi="宋体"/>
          <w:bCs/>
          <w:color w:val="auto"/>
          <w:sz w:val="20"/>
          <w:szCs w:val="20"/>
        </w:rPr>
        <w:t>由于承包人与总承包单位、其他专业承包人之间的交叉作业或配合而引起的人工和机械的降效。</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w:t>
      </w:r>
      <w:r>
        <w:rPr>
          <w:rFonts w:ascii="宋体" w:hAnsi="宋体"/>
          <w:color w:val="auto"/>
          <w:sz w:val="20"/>
          <w:szCs w:val="20"/>
        </w:rPr>
        <w:t>6）其他</w:t>
      </w:r>
    </w:p>
    <w:p>
      <w:pPr>
        <w:adjustRightInd w:val="0"/>
        <w:snapToGrid w:val="0"/>
        <w:spacing w:line="360" w:lineRule="auto"/>
        <w:ind w:firstLine="498" w:firstLineChars="249"/>
        <w:jc w:val="left"/>
        <w:rPr>
          <w:rFonts w:ascii="宋体" w:hAnsi="宋体"/>
          <w:color w:val="auto"/>
          <w:sz w:val="20"/>
          <w:szCs w:val="20"/>
          <w:bdr w:val="single" w:color="auto" w:sz="4" w:space="0"/>
        </w:rPr>
      </w:pPr>
      <w:r>
        <w:rPr>
          <w:rFonts w:ascii="宋体" w:hAnsi="宋体"/>
          <w:i/>
          <w:color w:val="auto"/>
          <w:sz w:val="20"/>
          <w:szCs w:val="20"/>
          <w:bdr w:val="single" w:color="auto" w:sz="4" w:space="0"/>
        </w:rPr>
        <w:t>[备注：风险内容为编制招标文件时重点分析内容，项目组可根据项目实际情况调整]</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3" o:spt="201" type="#_x0000_t201" style="height:18pt;width:12.75pt;" o:ole="t" filled="f" o:preferrelative="t" stroked="f" coordsize="21600,21600">
            <v:path/>
            <v:fill on="f" focussize="0,0"/>
            <v:stroke on="f"/>
            <v:imagedata r:id="rId33" o:title=""/>
            <o:lock v:ext="edit" aspectratio="t"/>
            <w10:wrap type="none"/>
            <w10:anchorlock/>
          </v:shape>
          <w:control r:id="rId32" w:name="CheckBox150" w:shapeid="_x0000_i1033"/>
        </w:object>
      </w:r>
      <w:r>
        <w:rPr>
          <w:rFonts w:ascii="宋体" w:hAnsi="宋体"/>
          <w:color w:val="auto"/>
          <w:sz w:val="20"/>
          <w:szCs w:val="20"/>
        </w:rPr>
        <w:t>7、土石方挖运的工作内容包括施工范围内土石方开挖、外运，报价时综合考虑土石方的各种不同土石类别及其可能包含杂质、杂物，开挖坡度、挖土深度、装卸、场内处理、运至合理弃土点的运距、弃置费等一切费用。投标人应充分考虑招标人提供的地质资料、基础支护施工图、清单工程量、施工图等相关资料可能与实际不符及其他风险而引起的费用增加。土石方工程的清单工程量计量规则按照下述规范执行：</w:t>
      </w:r>
    </w:p>
    <w:p>
      <w:pPr>
        <w:adjustRightInd w:val="0"/>
        <w:snapToGrid w:val="0"/>
        <w:spacing w:line="360" w:lineRule="auto"/>
        <w:ind w:firstLine="800" w:firstLineChars="400"/>
        <w:jc w:val="left"/>
        <w:rPr>
          <w:rFonts w:ascii="宋体" w:hAnsi="宋体"/>
          <w:color w:val="auto"/>
          <w:sz w:val="20"/>
          <w:szCs w:val="20"/>
        </w:rPr>
      </w:pPr>
      <w:r>
        <w:rPr>
          <w:rFonts w:ascii="宋体" w:hAnsi="宋体"/>
          <w:bCs/>
          <w:color w:val="auto"/>
          <w:sz w:val="20"/>
          <w:szCs w:val="20"/>
        </w:rPr>
        <w:object>
          <v:shape id="_x0000_i1034" o:spt="201" type="#_x0000_t201" style="height:18pt;width:12.75pt;" o:ole="t" filled="f" o:preferrelative="t" stroked="f" coordsize="21600,21600">
            <v:path/>
            <v:fill on="f" focussize="0,0"/>
            <v:stroke on="f"/>
            <v:imagedata r:id="rId35" o:title=""/>
            <o:lock v:ext="edit" aspectratio="t"/>
            <w10:wrap type="none"/>
            <w10:anchorlock/>
          </v:shape>
          <w:control r:id="rId34" w:name="CheckBox152" w:shapeid="_x0000_i1034"/>
        </w:object>
      </w:r>
      <w:r>
        <w:rPr>
          <w:rFonts w:hint="eastAsia" w:ascii="宋体" w:hAnsi="宋体"/>
          <w:color w:val="auto"/>
          <w:sz w:val="20"/>
          <w:szCs w:val="20"/>
        </w:rPr>
        <w:t>《建设工程工程量清单计价规范》（</w:t>
      </w:r>
      <w:r>
        <w:rPr>
          <w:rFonts w:ascii="宋体" w:hAnsi="宋体"/>
          <w:color w:val="auto"/>
          <w:sz w:val="20"/>
          <w:szCs w:val="20"/>
        </w:rPr>
        <w:t>GB50500—2013）。</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5" o:spt="201" type="#_x0000_t201" style="height:18pt;width:12.75pt;" o:ole="t" filled="f" o:preferrelative="t" stroked="f" coordsize="21600,21600">
            <v:path/>
            <v:fill on="f" focussize="0,0"/>
            <v:stroke on="f"/>
            <v:imagedata r:id="rId37" o:title=""/>
            <o:lock v:ext="edit" aspectratio="t"/>
            <w10:wrap type="none"/>
            <w10:anchorlock/>
          </v:shape>
          <w:control r:id="rId36" w:name="CheckBox151" w:shapeid="_x0000_i1035"/>
        </w:object>
      </w:r>
      <w:r>
        <w:rPr>
          <w:rFonts w:ascii="宋体" w:hAnsi="宋体"/>
          <w:color w:val="auto"/>
          <w:sz w:val="20"/>
          <w:szCs w:val="20"/>
        </w:rPr>
        <w:t>7.1工程量清单中，土石方挖运按1项报价，总价包干。</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6" o:spt="201" type="#_x0000_t201" style="height:18pt;width:12.75pt;" o:ole="t" filled="f" o:preferrelative="t" stroked="f" coordsize="21600,21600">
            <v:path/>
            <v:fill on="f" focussize="0,0"/>
            <v:stroke on="f"/>
            <v:imagedata r:id="rId39" o:title=""/>
            <o:lock v:ext="edit" aspectratio="t"/>
            <w10:wrap type="none"/>
            <w10:anchorlock/>
          </v:shape>
          <w:control r:id="rId38" w:name="CheckBox153" w:shapeid="_x0000_i1036"/>
        </w:object>
      </w:r>
      <w:r>
        <w:rPr>
          <w:rFonts w:ascii="宋体" w:hAnsi="宋体"/>
          <w:color w:val="auto"/>
          <w:sz w:val="20"/>
          <w:szCs w:val="20"/>
        </w:rPr>
        <w:t>7.2</w:t>
      </w:r>
      <w:r>
        <w:rPr>
          <w:rFonts w:hint="eastAsia" w:ascii="宋体" w:hAnsi="宋体"/>
          <w:color w:val="auto"/>
          <w:sz w:val="20"/>
          <w:szCs w:val="20"/>
        </w:rPr>
        <w:t>工程量清单中，土石方挖运工程按</w:t>
      </w:r>
      <w:r>
        <w:rPr>
          <w:rFonts w:ascii="宋体" w:hAnsi="宋体"/>
          <w:color w:val="auto"/>
          <w:sz w:val="20"/>
          <w:szCs w:val="20"/>
        </w:rPr>
        <w:t>m3报价，综合单价包干。</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7" o:spt="201" type="#_x0000_t201" style="height:18pt;width:12.75pt;" o:ole="t" filled="f" o:preferrelative="t" stroked="f" coordsize="21600,21600">
            <v:path/>
            <v:fill on="f" focussize="0,0"/>
            <v:stroke on="f"/>
            <v:imagedata r:id="rId41" o:title=""/>
            <o:lock v:ext="edit" aspectratio="t"/>
            <w10:wrap type="none"/>
            <w10:anchorlock/>
          </v:shape>
          <w:control r:id="rId40" w:name="CheckBox154" w:shapeid="_x0000_i1037"/>
        </w:object>
      </w:r>
      <w:r>
        <w:rPr>
          <w:rFonts w:ascii="宋体" w:hAnsi="宋体"/>
          <w:color w:val="auto"/>
          <w:sz w:val="20"/>
          <w:szCs w:val="20"/>
        </w:rPr>
        <w:t>7.3在前两款中（7.1、7.2款），石方经批准采用爆破方式破碎的，可另行计量爆破的工程量，爆破的计量须经发包人、承包人、监理工程师、设计单位、勘察单位在现场共同签字确认；没有实施爆破的石方，不予计量爆破的工程量。爆破的综合单价除完成爆破所需的所有必要工作的费用外，还应考虑向相关主管部门办理手续、各种必要准备工作、爆破防护措施，根据不同的地质条件、周边环境选择适宜的爆破方式等因素。结算时，综合单价不因上述因素而调整。</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38" o:spt="201" type="#_x0000_t201" style="height:18pt;width:12.75pt;" o:ole="t" filled="f" o:preferrelative="t" stroked="f" coordsize="21600,21600">
            <v:path/>
            <v:fill on="f" focussize="0,0"/>
            <v:stroke on="f"/>
            <v:imagedata r:id="rId43" o:title=""/>
            <o:lock v:ext="edit" aspectratio="t"/>
            <w10:wrap type="none"/>
            <w10:anchorlock/>
          </v:shape>
          <w:control r:id="rId42" w:name="CheckBox155" w:shapeid="_x0000_i1038"/>
        </w:object>
      </w:r>
      <w:r>
        <w:rPr>
          <w:rFonts w:ascii="宋体" w:hAnsi="宋体"/>
          <w:bCs/>
          <w:color w:val="auto"/>
          <w:sz w:val="20"/>
          <w:szCs w:val="20"/>
        </w:rPr>
        <w:t>8、工程量清单中的回填，报价时应综合考虑回填材料满足施工要求、回填密实度满足施工要求、运距、装卸、购土等一切费用。投标人应充分考虑因招标人提供的地质资料、基础支护施工图、参考工程量、施工图等相关资料可能与实际不符及其他风险而引起的费用增加。土石方工程的清单工程量计量规则按照下述规范执行：</w:t>
      </w:r>
      <w:r>
        <w:rPr>
          <w:rFonts w:ascii="宋体" w:hAnsi="宋体"/>
          <w:color w:val="auto"/>
          <w:sz w:val="20"/>
          <w:szCs w:val="20"/>
        </w:rPr>
        <w:t xml:space="preserve"> </w:t>
      </w:r>
    </w:p>
    <w:p>
      <w:pPr>
        <w:adjustRightInd w:val="0"/>
        <w:snapToGrid w:val="0"/>
        <w:spacing w:line="360" w:lineRule="auto"/>
        <w:ind w:firstLine="800" w:firstLineChars="400"/>
        <w:jc w:val="left"/>
        <w:rPr>
          <w:rFonts w:ascii="宋体" w:hAnsi="宋体"/>
          <w:color w:val="auto"/>
          <w:sz w:val="20"/>
          <w:szCs w:val="20"/>
        </w:rPr>
      </w:pPr>
      <w:r>
        <w:rPr>
          <w:rFonts w:ascii="宋体" w:hAnsi="宋体"/>
          <w:bCs/>
          <w:color w:val="auto"/>
          <w:sz w:val="20"/>
          <w:szCs w:val="20"/>
        </w:rPr>
        <w:object>
          <v:shape id="_x0000_i1039" o:spt="201" type="#_x0000_t201" style="height:18pt;width:12.75pt;" o:ole="t" filled="f" o:preferrelative="t" stroked="f" coordsize="21600,21600">
            <v:path/>
            <v:fill on="f" focussize="0,0"/>
            <v:stroke on="f"/>
            <v:imagedata r:id="rId45" o:title=""/>
            <o:lock v:ext="edit" aspectratio="t"/>
            <w10:wrap type="none"/>
            <w10:anchorlock/>
          </v:shape>
          <w:control r:id="rId44" w:name="CheckBox156" w:shapeid="_x0000_i1039"/>
        </w:object>
      </w:r>
      <w:r>
        <w:rPr>
          <w:rFonts w:hint="eastAsia" w:ascii="宋体" w:hAnsi="宋体"/>
          <w:color w:val="auto"/>
          <w:sz w:val="20"/>
          <w:szCs w:val="20"/>
        </w:rPr>
        <w:t>《建设工程工程量清单计价规范》（</w:t>
      </w:r>
      <w:r>
        <w:rPr>
          <w:rFonts w:ascii="宋体" w:hAnsi="宋体"/>
          <w:color w:val="auto"/>
          <w:sz w:val="20"/>
          <w:szCs w:val="20"/>
        </w:rPr>
        <w:t>GB50500—2013）。</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40" o:spt="201" type="#_x0000_t201" style="height:18pt;width:12.75pt;" o:ole="t" filled="f" o:preferrelative="t" stroked="f" coordsize="21600,21600">
            <v:path/>
            <v:fill on="f" focussize="0,0"/>
            <v:stroke on="f"/>
            <v:imagedata r:id="rId47" o:title=""/>
            <o:lock v:ext="edit" aspectratio="t"/>
            <w10:wrap type="none"/>
            <w10:anchorlock/>
          </v:shape>
          <w:control r:id="rId46" w:name="CheckBox157" w:shapeid="_x0000_i1040"/>
        </w:object>
      </w:r>
      <w:r>
        <w:rPr>
          <w:rFonts w:ascii="宋体" w:hAnsi="宋体"/>
          <w:color w:val="auto"/>
          <w:sz w:val="20"/>
          <w:szCs w:val="20"/>
        </w:rPr>
        <w:t>8.1工程量清单中，回填按1项报价，总价包干。</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41" o:spt="201" type="#_x0000_t201" style="height:18pt;width:12.75pt;" o:ole="t" filled="f" o:preferrelative="t" stroked="f" coordsize="21600,21600">
            <v:path/>
            <v:fill on="f" focussize="0,0"/>
            <v:stroke on="f"/>
            <v:imagedata r:id="rId49" o:title=""/>
            <o:lock v:ext="edit" aspectratio="t"/>
            <w10:wrap type="none"/>
            <w10:anchorlock/>
          </v:shape>
          <w:control r:id="rId48" w:name="CheckBox158" w:shapeid="_x0000_i1041"/>
        </w:object>
      </w:r>
      <w:r>
        <w:rPr>
          <w:rFonts w:ascii="宋体" w:hAnsi="宋体"/>
          <w:color w:val="auto"/>
          <w:sz w:val="20"/>
          <w:szCs w:val="20"/>
        </w:rPr>
        <w:t>8.2</w:t>
      </w:r>
      <w:r>
        <w:rPr>
          <w:rFonts w:hint="eastAsia" w:ascii="宋体" w:hAnsi="宋体"/>
          <w:color w:val="auto"/>
          <w:sz w:val="20"/>
          <w:szCs w:val="20"/>
        </w:rPr>
        <w:t>工程量清单中，回填按</w:t>
      </w:r>
      <w:r>
        <w:rPr>
          <w:rFonts w:ascii="宋体" w:hAnsi="宋体"/>
          <w:color w:val="auto"/>
          <w:sz w:val="20"/>
          <w:szCs w:val="20"/>
        </w:rPr>
        <w:t>m3报价，综合单价包干。</w:t>
      </w:r>
    </w:p>
    <w:p>
      <w:pPr>
        <w:adjustRightInd w:val="0"/>
        <w:snapToGrid w:val="0"/>
        <w:spacing w:before="240" w:beforeLines="100" w:line="360" w:lineRule="auto"/>
        <w:ind w:firstLine="400" w:firstLineChars="200"/>
        <w:jc w:val="left"/>
        <w:rPr>
          <w:rFonts w:ascii="宋体" w:hAnsi="宋体"/>
          <w:color w:val="auto"/>
          <w:sz w:val="20"/>
          <w:szCs w:val="20"/>
          <w:bdr w:val="single" w:color="auto" w:sz="4" w:space="0"/>
        </w:rPr>
      </w:pPr>
      <w:r>
        <w:rPr>
          <w:rFonts w:ascii="宋体" w:hAnsi="宋体"/>
          <w:bCs/>
          <w:color w:val="auto"/>
          <w:sz w:val="20"/>
          <w:szCs w:val="20"/>
        </w:rPr>
        <w:object>
          <v:shape id="_x0000_i1042" o:spt="201" type="#_x0000_t201" style="height:18pt;width:12.75pt;" o:ole="t" filled="f" o:preferrelative="t" stroked="f" coordsize="21600,21600">
            <v:path/>
            <v:fill on="f" focussize="0,0"/>
            <v:stroke on="f"/>
            <v:imagedata r:id="rId51" o:title=""/>
            <o:lock v:ext="edit" aspectratio="t"/>
            <w10:wrap type="none"/>
            <w10:anchorlock/>
          </v:shape>
          <w:control r:id="rId50" w:name="CheckBox159" w:shapeid="_x0000_i1042"/>
        </w:object>
      </w:r>
      <w:r>
        <w:rPr>
          <w:rFonts w:ascii="宋体" w:hAnsi="宋体"/>
          <w:color w:val="auto"/>
          <w:sz w:val="20"/>
          <w:szCs w:val="20"/>
        </w:rPr>
        <w:t>9、气体灭火工程按项报价，总价包干。清单提供的防护面积仅供投标人参考，具体施工内容及范围以设计、招标文件的相关规定、施工规范及技术要求等为准，投标人报价应综合考虑为按招标文件要求完成全部气体灭火工程所需费用，如深化设计费、套管、所有设备材料（含灭火剂）的购买及安装、施工范围、消防深化设计而引起的打洞、孔洞封堵等费用以及预留管、洞位置的调整发生的费用等，结算时费用不再调整。投标人应考虑到深化设计方案中，如气瓶间位置、大小等内容需得到建筑设计单位及业主的同意，以及装修设计时计算机房吊顶、地板高度等不确定因素，带来对气体深化设计方案的影</w:t>
      </w:r>
      <w:r>
        <w:rPr>
          <w:rFonts w:hint="eastAsia" w:ascii="宋体" w:hAnsi="宋体"/>
          <w:color w:val="auto"/>
          <w:sz w:val="20"/>
          <w:szCs w:val="20"/>
        </w:rPr>
        <w:t>响。投标时要充分考虑其影响并按不利的情况来投标报价，结算时该项目费用不会因上述原因而调整。</w:t>
      </w:r>
      <w:r>
        <w:rPr>
          <w:rFonts w:ascii="宋体" w:hAnsi="宋体"/>
          <w:i/>
          <w:color w:val="auto"/>
          <w:sz w:val="20"/>
          <w:szCs w:val="20"/>
          <w:bdr w:val="single" w:color="auto" w:sz="4" w:space="0"/>
        </w:rPr>
        <w:t>[备注：招标时气体灭火图纸设计不详时可选用]</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43" o:spt="201" type="#_x0000_t201" style="height:18pt;width:12.75pt;" o:ole="t" filled="f" o:preferrelative="t" stroked="f" coordsize="21600,21600">
            <v:path/>
            <v:fill on="f" focussize="0,0"/>
            <v:stroke on="f"/>
            <v:imagedata r:id="rId53" o:title=""/>
            <o:lock v:ext="edit" aspectratio="t"/>
            <w10:wrap type="none"/>
            <w10:anchorlock/>
          </v:shape>
          <w:control r:id="rId52" w:name="CheckBox160" w:shapeid="_x0000_i1043"/>
        </w:object>
      </w:r>
      <w:r>
        <w:rPr>
          <w:rFonts w:ascii="宋体" w:hAnsi="宋体"/>
          <w:color w:val="auto"/>
          <w:sz w:val="20"/>
          <w:szCs w:val="20"/>
        </w:rPr>
        <w:t>10、各系统及设备房的防雷接地按项报价，总价包干。具体施工内容及范围以设计、招标文件的相关规定、施工规范及技术要求等为准，投标人报价应综合考虑为按招标文件要求完成全部防雷接地工程所需费用。费用包括深化设计（深化设计需经相关部门审查确认）、所有设备材料的购买及安装、施工范围调整等，结算时费用不再调整。</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44" o:spt="201" type="#_x0000_t201" style="height:18pt;width:12.75pt;" o:ole="t" filled="f" o:preferrelative="t" stroked="f" coordsize="21600,21600">
            <v:path/>
            <v:fill on="f" focussize="0,0"/>
            <v:stroke on="f"/>
            <v:imagedata r:id="rId55" o:title=""/>
            <o:lock v:ext="edit" aspectratio="t"/>
            <w10:wrap type="none"/>
            <w10:anchorlock/>
          </v:shape>
          <w:control r:id="rId54" w:name="CheckBox161" w:shapeid="_x0000_i1044"/>
        </w:object>
      </w:r>
      <w:r>
        <w:rPr>
          <w:rFonts w:ascii="宋体" w:hAnsi="宋体"/>
          <w:color w:val="auto"/>
          <w:sz w:val="20"/>
          <w:szCs w:val="20"/>
        </w:rPr>
        <w:t>11、电动防火卷帘门、电动挡烟垂壁、联动防火门、联动胶合板门、电动窗、智能窗等按樘报价，报价应综合考虑门的制作、运输、安装、调试，启动装置</w:t>
      </w:r>
      <w:r>
        <w:rPr>
          <w:rFonts w:hint="eastAsia" w:ascii="宋体" w:hAnsi="宋体"/>
          <w:color w:val="auto"/>
          <w:sz w:val="20"/>
          <w:szCs w:val="20"/>
          <w:u w:val="single"/>
        </w:rPr>
        <w:t>（手动、电动装置及相应配置的管线）</w:t>
      </w:r>
      <w:r>
        <w:rPr>
          <w:rFonts w:hint="eastAsia" w:ascii="宋体" w:hAnsi="宋体"/>
          <w:color w:val="auto"/>
          <w:sz w:val="20"/>
          <w:szCs w:val="20"/>
        </w:rPr>
        <w:t>、五金制作（购买）及安装，刷防护材料、油漆等费用。</w:t>
      </w:r>
    </w:p>
    <w:p>
      <w:pPr>
        <w:pStyle w:val="33"/>
        <w:adjustRightInd w:val="0"/>
        <w:snapToGrid w:val="0"/>
        <w:spacing w:before="240" w:beforeLines="100" w:after="0" w:line="360" w:lineRule="auto"/>
        <w:ind w:left="0" w:leftChars="0" w:firstLine="400" w:firstLineChars="200"/>
        <w:jc w:val="left"/>
        <w:rPr>
          <w:rFonts w:ascii="宋体" w:hAnsi="宋体"/>
          <w:color w:val="auto"/>
          <w:sz w:val="20"/>
          <w:szCs w:val="20"/>
        </w:rPr>
      </w:pPr>
      <w:r>
        <w:rPr>
          <w:rFonts w:ascii="宋体" w:hAnsi="宋体"/>
          <w:bCs/>
          <w:color w:val="auto"/>
          <w:sz w:val="20"/>
          <w:szCs w:val="20"/>
        </w:rPr>
        <w:object>
          <v:shape id="_x0000_i1045" o:spt="201" type="#_x0000_t201" style="height:18pt;width:12.75pt;" o:ole="t" filled="f" o:preferrelative="t" stroked="f" coordsize="21600,21600">
            <v:path/>
            <v:fill on="f" focussize="0,0"/>
            <v:stroke on="f"/>
            <v:imagedata r:id="rId57" o:title=""/>
            <o:lock v:ext="edit" aspectratio="t"/>
            <w10:wrap type="none"/>
            <w10:anchorlock/>
          </v:shape>
          <w:control r:id="rId56" w:name="CheckBox162" w:shapeid="_x0000_i1045"/>
        </w:object>
      </w:r>
      <w:r>
        <w:rPr>
          <w:rFonts w:ascii="宋体" w:hAnsi="宋体"/>
          <w:color w:val="auto"/>
          <w:sz w:val="20"/>
          <w:szCs w:val="20"/>
        </w:rPr>
        <w:t>12、投标人应根据本工程实际情况，综合考虑原构筑物拆除费用（含场内外清运费），费用包干，结算时不再调整；拆除废料由承包人自行处理，投标报价时考虑此因素。</w:t>
      </w:r>
    </w:p>
    <w:p>
      <w:pPr>
        <w:pStyle w:val="33"/>
        <w:adjustRightInd w:val="0"/>
        <w:snapToGrid w:val="0"/>
        <w:spacing w:after="0" w:line="360" w:lineRule="auto"/>
        <w:ind w:left="0" w:leftChars="0" w:firstLine="500" w:firstLineChars="250"/>
        <w:jc w:val="left"/>
        <w:rPr>
          <w:rFonts w:ascii="宋体" w:hAnsi="宋体"/>
          <w:bCs/>
          <w:color w:val="auto"/>
          <w:sz w:val="20"/>
          <w:szCs w:val="20"/>
        </w:rPr>
      </w:pPr>
      <w:r>
        <w:rPr>
          <w:rFonts w:hint="eastAsia" w:ascii="宋体" w:hAnsi="宋体"/>
          <w:bCs/>
          <w:color w:val="auto"/>
          <w:sz w:val="20"/>
          <w:szCs w:val="20"/>
        </w:rPr>
        <w:t>拆除范围：</w:t>
      </w:r>
      <w:r>
        <w:rPr>
          <w:rFonts w:hint="eastAsia" w:ascii="宋体"/>
          <w:bCs/>
          <w:color w:val="auto"/>
          <w:sz w:val="20"/>
          <w:szCs w:val="20"/>
          <w:u w:val="single"/>
        </w:rPr>
        <w:t xml:space="preserve">      </w:t>
      </w:r>
      <w:r>
        <w:rPr>
          <w:rFonts w:hint="eastAsia" w:ascii="宋体" w:hAnsi="宋体"/>
          <w:bCs/>
          <w:color w:val="auto"/>
          <w:sz w:val="20"/>
          <w:szCs w:val="20"/>
        </w:rPr>
        <w:t>；处置方式：</w:t>
      </w:r>
      <w:r>
        <w:rPr>
          <w:rFonts w:hint="eastAsia" w:ascii="宋体"/>
          <w:bCs/>
          <w:color w:val="auto"/>
          <w:sz w:val="20"/>
          <w:szCs w:val="20"/>
          <w:u w:val="single"/>
        </w:rPr>
        <w:t xml:space="preserve">      </w:t>
      </w:r>
      <w:r>
        <w:rPr>
          <w:rFonts w:hint="eastAsia" w:ascii="宋体" w:hAnsi="宋体"/>
          <w:bCs/>
          <w:color w:val="auto"/>
          <w:sz w:val="20"/>
          <w:szCs w:val="20"/>
        </w:rPr>
        <w:t xml:space="preserve"> 。</w:t>
      </w:r>
    </w:p>
    <w:p>
      <w:pPr>
        <w:adjustRightInd w:val="0"/>
        <w:snapToGrid w:val="0"/>
        <w:spacing w:line="360" w:lineRule="auto"/>
        <w:ind w:firstLine="498" w:firstLineChars="249"/>
        <w:jc w:val="left"/>
        <w:rPr>
          <w:rFonts w:ascii="宋体" w:hAnsi="宋体"/>
          <w:color w:val="auto"/>
          <w:sz w:val="20"/>
          <w:szCs w:val="20"/>
          <w:bdr w:val="single" w:color="auto" w:sz="4" w:space="0"/>
        </w:rPr>
      </w:pPr>
      <w:r>
        <w:rPr>
          <w:rFonts w:ascii="宋体" w:hAnsi="宋体"/>
          <w:i/>
          <w:color w:val="auto"/>
          <w:sz w:val="20"/>
          <w:szCs w:val="20"/>
          <w:bdr w:val="single" w:color="auto" w:sz="4" w:space="0"/>
        </w:rPr>
        <w:t>[</w:t>
      </w:r>
      <w:r>
        <w:rPr>
          <w:rFonts w:hint="eastAsia" w:ascii="宋体" w:hAnsi="宋体"/>
          <w:i/>
          <w:color w:val="auto"/>
          <w:sz w:val="20"/>
          <w:szCs w:val="20"/>
          <w:bdr w:val="single" w:color="auto" w:sz="4" w:space="0"/>
        </w:rPr>
        <w:t>备注：改造或重新装修项目时可选用，选用时注意说明施工范围内的所有拆除范围及处置方式</w:t>
      </w:r>
      <w:r>
        <w:rPr>
          <w:rFonts w:ascii="宋体" w:hAnsi="宋体"/>
          <w:i/>
          <w:color w:val="auto"/>
          <w:sz w:val="20"/>
          <w:szCs w:val="20"/>
          <w:bdr w:val="single" w:color="auto" w:sz="4" w:space="0"/>
        </w:rPr>
        <w:t>]</w:t>
      </w:r>
    </w:p>
    <w:p>
      <w:pPr>
        <w:adjustRightInd w:val="0"/>
        <w:snapToGrid w:val="0"/>
        <w:spacing w:before="240" w:beforeLines="100" w:line="360" w:lineRule="auto"/>
        <w:ind w:firstLine="400" w:firstLineChars="200"/>
        <w:jc w:val="left"/>
        <w:rPr>
          <w:rFonts w:ascii="宋体" w:hAnsi="宋体"/>
          <w:color w:val="auto"/>
          <w:sz w:val="20"/>
          <w:szCs w:val="20"/>
          <w:bdr w:val="single" w:color="auto" w:sz="4" w:space="0"/>
        </w:rPr>
      </w:pPr>
      <w:r>
        <w:rPr>
          <w:rFonts w:ascii="宋体" w:hAnsi="宋体"/>
          <w:bCs/>
          <w:color w:val="auto"/>
          <w:sz w:val="20"/>
          <w:szCs w:val="20"/>
        </w:rPr>
        <w:object>
          <v:shape id="_x0000_i1046" o:spt="201" type="#_x0000_t201" style="height:18pt;width:12.75pt;" o:ole="t" filled="f" o:preferrelative="t" stroked="f" coordsize="21600,21600">
            <v:path/>
            <v:fill on="f" focussize="0,0"/>
            <v:stroke on="f"/>
            <v:imagedata r:id="rId59" o:title=""/>
            <o:lock v:ext="edit" aspectratio="t"/>
            <w10:wrap type="none"/>
            <w10:anchorlock/>
          </v:shape>
          <w:control r:id="rId58" w:name="CheckBox163" w:shapeid="_x0000_i1046"/>
        </w:object>
      </w:r>
      <w:r>
        <w:rPr>
          <w:rFonts w:ascii="宋体" w:hAnsi="宋体"/>
          <w:color w:val="auto"/>
          <w:sz w:val="20"/>
          <w:szCs w:val="20"/>
        </w:rPr>
        <w:t>13、根据本工程的特点，投标报价应充分考虑以下因素（不限于）：人工和机械的降效及材料消耗量的不同、保护原建筑物及其附属设备、不能连续施工、保证施工不影响楼内其他办公人员的安全、不影响楼内正常办公环境等。</w:t>
      </w:r>
      <w:r>
        <w:rPr>
          <w:rFonts w:ascii="宋体" w:hAnsi="宋体"/>
          <w:i/>
          <w:color w:val="auto"/>
          <w:sz w:val="20"/>
          <w:szCs w:val="20"/>
          <w:bdr w:val="single" w:color="auto" w:sz="4" w:space="0"/>
        </w:rPr>
        <w:t>[</w:t>
      </w:r>
      <w:r>
        <w:rPr>
          <w:rFonts w:hint="eastAsia" w:ascii="宋体" w:hAnsi="宋体"/>
          <w:i/>
          <w:color w:val="auto"/>
          <w:sz w:val="20"/>
          <w:szCs w:val="20"/>
          <w:bdr w:val="single" w:color="auto" w:sz="4" w:space="0"/>
        </w:rPr>
        <w:t>备注：改造或重新装修项目时可选用</w:t>
      </w:r>
      <w:r>
        <w:rPr>
          <w:rFonts w:ascii="宋体" w:hAnsi="宋体"/>
          <w:i/>
          <w:color w:val="auto"/>
          <w:sz w:val="20"/>
          <w:szCs w:val="20"/>
          <w:bdr w:val="single" w:color="auto" w:sz="4" w:space="0"/>
        </w:rPr>
        <w:t>]</w:t>
      </w:r>
    </w:p>
    <w:p>
      <w:pPr>
        <w:adjustRightInd w:val="0"/>
        <w:snapToGrid w:val="0"/>
        <w:spacing w:before="240" w:beforeLines="100" w:line="360" w:lineRule="auto"/>
        <w:ind w:firstLine="400" w:firstLineChars="200"/>
        <w:jc w:val="left"/>
        <w:rPr>
          <w:rFonts w:ascii="宋体" w:hAnsi="宋体"/>
          <w:color w:val="auto"/>
          <w:sz w:val="20"/>
          <w:szCs w:val="20"/>
          <w:highlight w:val="none"/>
          <w:bdr w:val="single" w:color="auto" w:sz="4" w:space="0"/>
        </w:rPr>
      </w:pPr>
      <w:r>
        <w:rPr>
          <w:rFonts w:ascii="宋体" w:hAnsi="宋体"/>
          <w:bCs/>
          <w:color w:val="auto"/>
          <w:sz w:val="20"/>
          <w:szCs w:val="20"/>
          <w:highlight w:val="none"/>
        </w:rPr>
        <w:object>
          <v:shape id="_x0000_i1047" o:spt="201" type="#_x0000_t201" style="height:18pt;width:12.75pt;" o:ole="t" filled="f" o:preferrelative="t" stroked="f" coordsize="21600,21600">
            <v:path/>
            <v:fill on="f" focussize="0,0"/>
            <v:stroke on="f"/>
            <v:imagedata r:id="rId61" o:title=""/>
            <o:lock v:ext="edit" aspectratio="t"/>
            <w10:wrap type="none"/>
            <w10:anchorlock/>
          </v:shape>
          <w:control r:id="rId60" w:name="CheckBox155" w:shapeid="_x0000_i1047"/>
        </w:object>
      </w:r>
      <w:r>
        <w:rPr>
          <w:rFonts w:ascii="宋体" w:hAnsi="宋体"/>
          <w:color w:val="auto"/>
          <w:sz w:val="20"/>
          <w:szCs w:val="20"/>
          <w:highlight w:val="none"/>
        </w:rPr>
        <w:t>14、根据本工程的实际情况,应购买足够的保险（如原结构、物品因施工造成意外破坏引起的赔偿等）。</w:t>
      </w:r>
      <w:r>
        <w:rPr>
          <w:rFonts w:ascii="宋体" w:hAnsi="宋体"/>
          <w:i/>
          <w:color w:val="auto"/>
          <w:sz w:val="20"/>
          <w:szCs w:val="20"/>
          <w:highlight w:val="none"/>
          <w:bdr w:val="single" w:color="auto" w:sz="4" w:space="0"/>
        </w:rPr>
        <w:t>[</w:t>
      </w:r>
      <w:r>
        <w:rPr>
          <w:rFonts w:hint="eastAsia" w:ascii="宋体" w:hAnsi="宋体"/>
          <w:i/>
          <w:color w:val="auto"/>
          <w:sz w:val="20"/>
          <w:szCs w:val="20"/>
          <w:highlight w:val="none"/>
          <w:bdr w:val="single" w:color="auto" w:sz="4" w:space="0"/>
        </w:rPr>
        <w:t>备注：改造或重新装修项目时可选用</w:t>
      </w:r>
      <w:r>
        <w:rPr>
          <w:rFonts w:ascii="宋体" w:hAnsi="宋体"/>
          <w:i/>
          <w:color w:val="auto"/>
          <w:sz w:val="20"/>
          <w:szCs w:val="20"/>
          <w:highlight w:val="none"/>
          <w:bdr w:val="single" w:color="auto" w:sz="4" w:space="0"/>
        </w:rPr>
        <w:t>]</w:t>
      </w:r>
    </w:p>
    <w:p>
      <w:pPr>
        <w:adjustRightInd w:val="0"/>
        <w:snapToGrid w:val="0"/>
        <w:spacing w:before="240" w:beforeLines="100" w:line="360" w:lineRule="auto"/>
        <w:ind w:firstLine="400" w:firstLineChars="200"/>
        <w:jc w:val="left"/>
        <w:rPr>
          <w:rFonts w:ascii="宋体" w:hAnsi="宋体"/>
          <w:color w:val="auto"/>
          <w:sz w:val="20"/>
          <w:szCs w:val="20"/>
          <w:bdr w:val="single" w:color="auto" w:sz="4" w:space="0"/>
        </w:rPr>
      </w:pPr>
      <w:r>
        <w:rPr>
          <w:rFonts w:ascii="宋体" w:hAnsi="宋体"/>
          <w:bCs/>
          <w:color w:val="auto"/>
          <w:sz w:val="20"/>
          <w:szCs w:val="20"/>
        </w:rPr>
        <w:object>
          <v:shape id="_x0000_i1048" o:spt="201" type="#_x0000_t201" style="height:18pt;width:12.75pt;" o:ole="t" filled="f" o:preferrelative="t" stroked="f" coordsize="21600,21600">
            <v:path/>
            <v:fill on="f" focussize="0,0"/>
            <v:stroke on="f"/>
            <v:imagedata r:id="rId63" o:title=""/>
            <o:lock v:ext="edit" aspectratio="t"/>
            <w10:wrap type="none"/>
            <w10:anchorlock/>
          </v:shape>
          <w:control r:id="rId62" w:name="CheckBox165" w:shapeid="_x0000_i1048"/>
        </w:object>
      </w:r>
      <w:r>
        <w:rPr>
          <w:rFonts w:ascii="宋体" w:hAnsi="宋体"/>
          <w:color w:val="auto"/>
          <w:sz w:val="20"/>
          <w:szCs w:val="20"/>
        </w:rPr>
        <w:t>15、部分材料设备（如</w:t>
      </w:r>
      <w:r>
        <w:rPr>
          <w:rFonts w:hint="eastAsia" w:ascii="宋体"/>
          <w:bCs/>
          <w:color w:val="auto"/>
          <w:sz w:val="20"/>
          <w:szCs w:val="20"/>
          <w:u w:val="single"/>
        </w:rPr>
        <w:t xml:space="preserve">      </w:t>
      </w:r>
      <w:r>
        <w:rPr>
          <w:rFonts w:ascii="宋体" w:hAnsi="宋体"/>
          <w:color w:val="auto"/>
          <w:sz w:val="20"/>
          <w:szCs w:val="20"/>
        </w:rPr>
        <w:t>等）需保留使用的，施工时为保护性拆除并采取相应保管措施保证设备重新安装使用，投标人投标报价时应综合考虑由此引起的施工费用增加。</w:t>
      </w:r>
      <w:r>
        <w:rPr>
          <w:rFonts w:ascii="宋体" w:hAnsi="宋体"/>
          <w:i/>
          <w:color w:val="auto"/>
          <w:sz w:val="20"/>
          <w:szCs w:val="20"/>
          <w:bdr w:val="single" w:color="auto" w:sz="4" w:space="0"/>
        </w:rPr>
        <w:t>[</w:t>
      </w:r>
      <w:r>
        <w:rPr>
          <w:rFonts w:hint="eastAsia" w:ascii="宋体" w:hAnsi="宋体"/>
          <w:i/>
          <w:color w:val="auto"/>
          <w:sz w:val="20"/>
          <w:szCs w:val="20"/>
          <w:bdr w:val="single" w:color="auto" w:sz="4" w:space="0"/>
        </w:rPr>
        <w:t>备注：改造或重新装修项目时选用</w:t>
      </w:r>
      <w:r>
        <w:rPr>
          <w:rFonts w:ascii="宋体" w:hAnsi="宋体"/>
          <w:i/>
          <w:color w:val="auto"/>
          <w:sz w:val="20"/>
          <w:szCs w:val="20"/>
          <w:bdr w:val="single" w:color="auto" w:sz="4" w:space="0"/>
        </w:rPr>
        <w:t>]</w:t>
      </w:r>
    </w:p>
    <w:p>
      <w:pPr>
        <w:adjustRightInd w:val="0"/>
        <w:snapToGrid w:val="0"/>
        <w:spacing w:before="240" w:beforeLines="100" w:line="360" w:lineRule="auto"/>
        <w:ind w:firstLine="400" w:firstLineChars="200"/>
        <w:jc w:val="left"/>
        <w:rPr>
          <w:rFonts w:ascii="宋体" w:hAnsi="宋体"/>
          <w:bCs/>
          <w:color w:val="auto"/>
          <w:sz w:val="20"/>
          <w:szCs w:val="20"/>
        </w:rPr>
      </w:pPr>
      <w:bookmarkStart w:id="14" w:name="_1628422457"/>
      <w:bookmarkEnd w:id="14"/>
      <w:r>
        <w:rPr>
          <w:rFonts w:ascii="宋体" w:hAnsi="宋体"/>
          <w:bCs/>
          <w:color w:val="auto"/>
          <w:sz w:val="20"/>
          <w:szCs w:val="20"/>
        </w:rPr>
        <w:object>
          <v:shape id="_x0000_i1049" o:spt="201" type="#_x0000_t201" style="height:18pt;width:12.75pt;" o:ole="t" filled="f" o:preferrelative="t" stroked="f" coordsize="21600,21600">
            <v:path/>
            <v:fill on="f" focussize="0,0"/>
            <v:stroke on="f"/>
            <v:imagedata r:id="rId65" o:title=""/>
            <o:lock v:ext="edit" aspectratio="t"/>
            <w10:wrap type="none"/>
            <w10:anchorlock/>
          </v:shape>
          <w:control r:id="rId64" w:name="CheckBox166" w:shapeid="_x0000_i1049"/>
        </w:object>
      </w:r>
      <w:r>
        <w:rPr>
          <w:rFonts w:ascii="宋体" w:hAnsi="宋体"/>
          <w:bCs/>
          <w:color w:val="auto"/>
          <w:sz w:val="20"/>
          <w:szCs w:val="20"/>
        </w:rPr>
        <w:t>16、白蚁防治费按1项单列在工程建设其他费中，总价包干。投标人应根据相关规范综合考虑施工合同范围内的所有需要进行白蚁防治的全部费用。白蚁防治主要工作内容及要求详见招标文件相关规定；投标报价中应包括人工费、材料费、机械费、管理费、措施费、风险金、税金、白蚁防治保质期内复查（维护）包治费及按政府有关规定送检、工程验收等为完成本工程所发生的一切费用。</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50" o:spt="201" type="#_x0000_t201" style="height:18pt;width:12.75pt;" o:ole="t" filled="f" o:preferrelative="t" stroked="f" coordsize="21600,21600">
            <v:path/>
            <v:fill on="f" focussize="0,0"/>
            <v:stroke on="f"/>
            <v:imagedata r:id="rId67" o:title=""/>
            <o:lock v:ext="edit" aspectratio="t"/>
            <w10:wrap type="none"/>
            <w10:anchorlock/>
          </v:shape>
          <w:control r:id="rId66" w:name="CheckBox167" w:shapeid="_x0000_i1050"/>
        </w:object>
      </w:r>
      <w:r>
        <w:rPr>
          <w:rFonts w:ascii="宋体" w:hAnsi="宋体"/>
          <w:color w:val="auto"/>
          <w:sz w:val="20"/>
          <w:szCs w:val="20"/>
        </w:rPr>
        <w:t>17、投标报价中应包括高压柜、直流电源柜、直流信号屏、变压器及温控装置、为完成本工程所需的所有辅助材料、配件及备品备件的供货、安装、新设备（或入网）检测、测试、试验、调试直至通过验收送电(包括供用电手续的办理直至正式送电)的所有费用。</w:t>
      </w:r>
    </w:p>
    <w:p>
      <w:pPr>
        <w:adjustRightInd w:val="0"/>
        <w:snapToGrid w:val="0"/>
        <w:spacing w:before="240" w:beforeLines="100" w:line="360" w:lineRule="auto"/>
        <w:ind w:firstLine="400" w:firstLineChars="200"/>
        <w:jc w:val="left"/>
        <w:rPr>
          <w:rFonts w:ascii="宋体" w:hAnsi="宋体"/>
          <w:color w:val="auto"/>
          <w:sz w:val="20"/>
          <w:szCs w:val="20"/>
          <w:bdr w:val="single" w:color="auto" w:sz="4" w:space="0"/>
        </w:rPr>
      </w:pPr>
      <w:r>
        <w:rPr>
          <w:rFonts w:ascii="宋体" w:hAnsi="宋体"/>
          <w:bCs/>
          <w:i/>
          <w:color w:val="auto"/>
          <w:sz w:val="20"/>
          <w:szCs w:val="20"/>
          <w:bdr w:val="single" w:color="auto" w:sz="4" w:space="0"/>
        </w:rPr>
        <w:t>[备注：此部分由谁施工，就由谁支付，含在报价内，</w:t>
      </w:r>
      <w:r>
        <w:rPr>
          <w:rFonts w:hint="eastAsia" w:ascii="宋体" w:hAnsi="宋体"/>
          <w:i/>
          <w:color w:val="auto"/>
          <w:sz w:val="20"/>
          <w:szCs w:val="20"/>
          <w:bdr w:val="single" w:color="auto" w:sz="4" w:space="0"/>
        </w:rPr>
        <w:t>根据项目实际情况勾选其中一种</w:t>
      </w:r>
      <w:r>
        <w:rPr>
          <w:rFonts w:ascii="宋体" w:hAnsi="宋体"/>
          <w:i/>
          <w:color w:val="auto"/>
          <w:sz w:val="20"/>
          <w:szCs w:val="20"/>
          <w:bdr w:val="single" w:color="auto" w:sz="4" w:space="0"/>
        </w:rPr>
        <w:t>]</w:t>
      </w:r>
    </w:p>
    <w:p>
      <w:pPr>
        <w:adjustRightInd w:val="0"/>
        <w:snapToGrid w:val="0"/>
        <w:spacing w:line="360" w:lineRule="auto"/>
        <w:ind w:firstLine="400" w:firstLineChars="200"/>
        <w:jc w:val="left"/>
        <w:rPr>
          <w:rFonts w:ascii="宋体" w:hAnsi="宋体"/>
          <w:color w:val="auto"/>
          <w:sz w:val="20"/>
          <w:szCs w:val="20"/>
          <w:bdr w:val="single" w:color="auto" w:sz="4" w:space="0"/>
        </w:rPr>
      </w:pPr>
      <w:r>
        <w:rPr>
          <w:rFonts w:ascii="宋体" w:hAnsi="宋体"/>
          <w:i/>
          <w:color w:val="auto"/>
          <w:sz w:val="20"/>
          <w:szCs w:val="20"/>
          <w:bdr w:val="single" w:color="auto" w:sz="4" w:space="0"/>
        </w:rPr>
        <w:t>[第一种情况：总包包括了大部分的专业工程，招标人指定承包的专业工程用电量较小的情况下采用。]</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51" o:spt="201" type="#_x0000_t201" style="height:18pt;width:12.75pt;" o:ole="t" filled="f" o:preferrelative="t" stroked="f" coordsize="21600,21600">
            <v:path/>
            <v:fill on="f" focussize="0,0"/>
            <v:stroke on="f"/>
            <v:imagedata r:id="rId69" o:title=""/>
            <o:lock v:ext="edit" aspectratio="t"/>
            <w10:wrap type="none"/>
            <w10:anchorlock/>
          </v:shape>
          <w:control r:id="rId68" w:name="CheckBox168" w:shapeid="_x0000_i1051"/>
        </w:object>
      </w:r>
      <w:r>
        <w:rPr>
          <w:rFonts w:ascii="宋体" w:hAnsi="宋体"/>
          <w:color w:val="auto"/>
          <w:sz w:val="20"/>
          <w:szCs w:val="20"/>
        </w:rPr>
        <w:t>18.1、联合调试费：</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联合调试费由承包人负责。联合调试费应包括本项目所有机电设备（即包括承包人承包范围内的机电设备、发包人指定承包的其他机电设备等）联合调试所需的工、料、机、燃料、水电等所有相关费用，其中电费按使用正式电考虑。正式用电开通后，基本电费、使用电费等均由承包人承担。承包人承担电费的计取时间为：正式用电开通（一般情况下在竣工验收前</w:t>
      </w:r>
      <w:r>
        <w:rPr>
          <w:rFonts w:hint="eastAsia" w:ascii="宋体"/>
          <w:bCs/>
          <w:color w:val="auto"/>
          <w:sz w:val="20"/>
          <w:szCs w:val="20"/>
          <w:u w:val="single"/>
        </w:rPr>
        <w:t xml:space="preserve">      </w:t>
      </w:r>
      <w:r>
        <w:rPr>
          <w:rFonts w:hint="eastAsia" w:ascii="宋体" w:hAnsi="宋体"/>
          <w:color w:val="auto"/>
          <w:sz w:val="20"/>
          <w:szCs w:val="20"/>
        </w:rPr>
        <w:t>天开通正式用电）至工程竣工验收后    天内或工程正式移交使用单位（以先到时间为准）。投标人应在措施费项目清单中对联合调试费报价，否则，招标人均认为投标人投标报价中已充分考虑了此项费用。此项费用按中标价包干，不管出现何种情况，均不予调整。（承包人不得向其他指定承包人收取正式水电的分摊水电费）</w:t>
      </w:r>
    </w:p>
    <w:p>
      <w:pPr>
        <w:adjustRightInd w:val="0"/>
        <w:snapToGrid w:val="0"/>
        <w:spacing w:line="360" w:lineRule="auto"/>
        <w:ind w:firstLine="402" w:firstLineChars="200"/>
        <w:jc w:val="left"/>
        <w:rPr>
          <w:rFonts w:ascii="宋体" w:hAnsi="宋体"/>
          <w:b/>
          <w:color w:val="auto"/>
          <w:sz w:val="20"/>
          <w:szCs w:val="20"/>
        </w:rPr>
      </w:pPr>
      <w:r>
        <w:rPr>
          <w:rFonts w:hint="eastAsia" w:ascii="宋体" w:hAnsi="宋体"/>
          <w:b/>
          <w:color w:val="auto"/>
          <w:sz w:val="20"/>
          <w:szCs w:val="20"/>
        </w:rPr>
        <w:t>提示：为避免上述期限到期后，使用单位以各种理由拒绝交割水电引起费用纠纷，建议承包人与水电部门签订《供用电（水）协议》时应注明，水电部门在收到承包人关于水电报停的通知后应及时给予办理，否则由此引起的水电费用承包人不予承担。</w:t>
      </w:r>
    </w:p>
    <w:p>
      <w:pPr>
        <w:adjustRightInd w:val="0"/>
        <w:snapToGrid w:val="0"/>
        <w:spacing w:before="240" w:beforeLines="100" w:line="360" w:lineRule="auto"/>
        <w:ind w:firstLine="400" w:firstLineChars="200"/>
        <w:jc w:val="left"/>
        <w:rPr>
          <w:rFonts w:ascii="宋体" w:hAnsi="宋体"/>
          <w:color w:val="auto"/>
          <w:sz w:val="20"/>
          <w:szCs w:val="20"/>
          <w:bdr w:val="single" w:color="auto" w:sz="4" w:space="0"/>
        </w:rPr>
      </w:pPr>
      <w:r>
        <w:rPr>
          <w:rFonts w:ascii="宋体" w:hAnsi="宋体"/>
          <w:i/>
          <w:color w:val="auto"/>
          <w:sz w:val="20"/>
          <w:szCs w:val="20"/>
          <w:bdr w:val="single" w:color="auto" w:sz="4" w:space="0"/>
        </w:rPr>
        <w:t>[第二种情况：除总包外，招标人指定承包的专业工程用电量较大的情况下采用（如消防、空调、装修等）。]</w:t>
      </w:r>
    </w:p>
    <w:p>
      <w:pPr>
        <w:adjustRightInd w:val="0"/>
        <w:snapToGrid w:val="0"/>
        <w:spacing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52" o:spt="201" type="#_x0000_t201" style="height:18pt;width:12.75pt;" o:ole="t" filled="f" o:preferrelative="t" stroked="f" coordsize="21600,21600">
            <v:path/>
            <v:fill on="f" focussize="0,0"/>
            <v:stroke on="f"/>
            <v:imagedata r:id="rId67" o:title=""/>
            <o:lock v:ext="edit" aspectratio="t"/>
            <w10:wrap type="none"/>
            <w10:anchorlock/>
          </v:shape>
          <w:control r:id="rId70" w:name="CheckBox169" w:shapeid="_x0000_i1052"/>
        </w:object>
      </w:r>
      <w:r>
        <w:rPr>
          <w:rFonts w:ascii="宋体" w:hAnsi="宋体"/>
          <w:color w:val="auto"/>
          <w:sz w:val="20"/>
          <w:szCs w:val="20"/>
        </w:rPr>
        <w:t>18.2、联合调试费：</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联合调试费应包括本项目所有机电设备（即包括承包人承包范围内的机电设备、发包人指定承包的其他机电设备等）联合调试所需的工、料、机、燃料、水电等所有相关费用，其中电费按使用正式电考虑。正式用电开通后，基本电费、使用电费等均由各承包人承担。各承包人承担电费的计取时间为：正式用电开通（一般情况下在竣工验收前天开通正式用电）至工程竣工验收后天内或工程正式移交使用单位（以先到时间为准）。投标人应在措施费项目清单中对联合调试费报价，否则，招标人均认为投标人投标报价中已充分考虑了此项费用。此项费用按中标价包干，不管出现何种情况，均不予调整。</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正式水电费由总承包单位支付，总承包单位负责收取其他指定承包人应分摊水电费。根据本项目的具体情况，总承包与各专业承包工程正式水电费分摊比例约定如下：</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A</w:t>
      </w:r>
      <w:r>
        <w:rPr>
          <w:rFonts w:hint="eastAsia" w:ascii="宋体" w:hAnsi="宋体"/>
          <w:color w:val="auto"/>
          <w:sz w:val="20"/>
          <w:szCs w:val="20"/>
        </w:rPr>
        <w:t xml:space="preserve">．总承包工程用电占    </w:t>
      </w:r>
      <w:r>
        <w:rPr>
          <w:rFonts w:ascii="宋体" w:hAnsi="宋体"/>
          <w:color w:val="auto"/>
          <w:sz w:val="20"/>
          <w:szCs w:val="20"/>
        </w:rPr>
        <w:t>%，用水占</w:t>
      </w:r>
      <w:r>
        <w:rPr>
          <w:rFonts w:hint="eastAsia" w:ascii="宋体" w:hAnsi="宋体"/>
          <w:color w:val="auto"/>
          <w:sz w:val="20"/>
          <w:szCs w:val="20"/>
        </w:rPr>
        <w:t xml:space="preserve">     </w:t>
      </w:r>
      <w:r>
        <w:rPr>
          <w:rFonts w:ascii="宋体" w:hAnsi="宋体"/>
          <w:color w:val="auto"/>
          <w:sz w:val="20"/>
          <w:szCs w:val="20"/>
        </w:rPr>
        <w:t>%；</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B．</w:t>
      </w:r>
      <w:r>
        <w:rPr>
          <w:rFonts w:hint="eastAsia" w:ascii="宋体" w:hAnsi="宋体"/>
          <w:color w:val="auto"/>
          <w:sz w:val="20"/>
          <w:szCs w:val="20"/>
        </w:rPr>
        <w:t xml:space="preserve">      </w:t>
      </w:r>
      <w:r>
        <w:rPr>
          <w:rFonts w:ascii="宋体" w:hAnsi="宋体"/>
          <w:color w:val="auto"/>
          <w:sz w:val="20"/>
          <w:szCs w:val="20"/>
        </w:rPr>
        <w:t>工程用电占</w:t>
      </w:r>
      <w:r>
        <w:rPr>
          <w:rFonts w:hint="eastAsia" w:ascii="宋体" w:hAnsi="宋体"/>
          <w:color w:val="auto"/>
          <w:sz w:val="20"/>
          <w:szCs w:val="20"/>
        </w:rPr>
        <w:t xml:space="preserve">     </w:t>
      </w:r>
      <w:r>
        <w:rPr>
          <w:rFonts w:ascii="宋体" w:hAnsi="宋体"/>
          <w:color w:val="auto"/>
          <w:sz w:val="20"/>
          <w:szCs w:val="20"/>
        </w:rPr>
        <w:t>%，用水占</w:t>
      </w:r>
      <w:r>
        <w:rPr>
          <w:rFonts w:hint="eastAsia" w:ascii="宋体" w:hAnsi="宋体"/>
          <w:color w:val="auto"/>
          <w:sz w:val="20"/>
          <w:szCs w:val="20"/>
        </w:rPr>
        <w:t xml:space="preserve">      </w:t>
      </w:r>
      <w:r>
        <w:rPr>
          <w:rFonts w:ascii="宋体" w:hAnsi="宋体"/>
          <w:color w:val="auto"/>
          <w:sz w:val="20"/>
          <w:szCs w:val="20"/>
        </w:rPr>
        <w:t>%；</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C．</w:t>
      </w:r>
      <w:r>
        <w:rPr>
          <w:rFonts w:hint="eastAsia" w:ascii="宋体" w:hAnsi="宋体"/>
          <w:color w:val="auto"/>
          <w:sz w:val="20"/>
          <w:szCs w:val="20"/>
        </w:rPr>
        <w:t xml:space="preserve">       </w:t>
      </w:r>
      <w:r>
        <w:rPr>
          <w:rFonts w:ascii="宋体" w:hAnsi="宋体"/>
          <w:color w:val="auto"/>
          <w:sz w:val="20"/>
          <w:szCs w:val="20"/>
        </w:rPr>
        <w:t>工程用电占</w:t>
      </w:r>
      <w:r>
        <w:rPr>
          <w:rFonts w:hint="eastAsia" w:ascii="宋体" w:hAnsi="宋体"/>
          <w:color w:val="auto"/>
          <w:sz w:val="20"/>
          <w:szCs w:val="20"/>
        </w:rPr>
        <w:t xml:space="preserve">     </w:t>
      </w:r>
      <w:r>
        <w:rPr>
          <w:rFonts w:ascii="宋体" w:hAnsi="宋体"/>
          <w:color w:val="auto"/>
          <w:sz w:val="20"/>
          <w:szCs w:val="20"/>
        </w:rPr>
        <w:t>%，用水占</w:t>
      </w:r>
      <w:r>
        <w:rPr>
          <w:rFonts w:hint="eastAsia" w:ascii="宋体" w:hAnsi="宋体"/>
          <w:color w:val="auto"/>
          <w:sz w:val="20"/>
          <w:szCs w:val="20"/>
        </w:rPr>
        <w:t xml:space="preserve">     </w:t>
      </w:r>
      <w:r>
        <w:rPr>
          <w:rFonts w:ascii="宋体" w:hAnsi="宋体"/>
          <w:color w:val="auto"/>
          <w:sz w:val="20"/>
          <w:szCs w:val="20"/>
        </w:rPr>
        <w:t>%；</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D．</w:t>
      </w:r>
      <w:r>
        <w:rPr>
          <w:rFonts w:hint="eastAsia" w:ascii="宋体" w:hAnsi="宋体"/>
          <w:color w:val="auto"/>
          <w:sz w:val="20"/>
          <w:szCs w:val="20"/>
        </w:rPr>
        <w:t xml:space="preserve">        </w:t>
      </w:r>
      <w:r>
        <w:rPr>
          <w:rFonts w:ascii="宋体" w:hAnsi="宋体"/>
          <w:color w:val="auto"/>
          <w:sz w:val="20"/>
          <w:szCs w:val="20"/>
        </w:rPr>
        <w:t>工程用电占</w:t>
      </w:r>
      <w:r>
        <w:rPr>
          <w:rFonts w:hint="eastAsia" w:ascii="宋体" w:hAnsi="宋体"/>
          <w:color w:val="auto"/>
          <w:sz w:val="20"/>
          <w:szCs w:val="20"/>
        </w:rPr>
        <w:t xml:space="preserve">     </w:t>
      </w:r>
      <w:r>
        <w:rPr>
          <w:rFonts w:ascii="宋体" w:hAnsi="宋体"/>
          <w:color w:val="auto"/>
          <w:sz w:val="20"/>
          <w:szCs w:val="20"/>
        </w:rPr>
        <w:t>%，用水占</w:t>
      </w:r>
      <w:r>
        <w:rPr>
          <w:rFonts w:hint="eastAsia" w:ascii="宋体" w:hAnsi="宋体"/>
          <w:color w:val="auto"/>
          <w:sz w:val="20"/>
          <w:szCs w:val="20"/>
        </w:rPr>
        <w:t xml:space="preserve">    </w:t>
      </w:r>
      <w:r>
        <w:rPr>
          <w:rFonts w:ascii="宋体" w:hAnsi="宋体"/>
          <w:color w:val="auto"/>
          <w:sz w:val="20"/>
          <w:szCs w:val="20"/>
        </w:rPr>
        <w:t>%。</w:t>
      </w:r>
    </w:p>
    <w:p>
      <w:pPr>
        <w:adjustRightInd w:val="0"/>
        <w:snapToGrid w:val="0"/>
        <w:spacing w:line="360" w:lineRule="auto"/>
        <w:ind w:firstLine="400" w:firstLineChars="200"/>
        <w:jc w:val="left"/>
        <w:rPr>
          <w:rFonts w:ascii="宋体" w:hAnsi="宋体"/>
          <w:color w:val="auto"/>
          <w:sz w:val="20"/>
          <w:szCs w:val="20"/>
        </w:rPr>
      </w:pPr>
      <w:r>
        <w:rPr>
          <w:rFonts w:ascii="宋体" w:hAnsi="宋体"/>
          <w:color w:val="auto"/>
          <w:sz w:val="20"/>
          <w:szCs w:val="20"/>
        </w:rPr>
        <w:t>A+B+C+D+…=100%</w:t>
      </w:r>
    </w:p>
    <w:p>
      <w:pPr>
        <w:adjustRightInd w:val="0"/>
        <w:snapToGrid w:val="0"/>
        <w:spacing w:line="360" w:lineRule="auto"/>
        <w:ind w:firstLine="400" w:firstLineChars="200"/>
        <w:jc w:val="left"/>
        <w:rPr>
          <w:rFonts w:ascii="宋体" w:hAnsi="宋体"/>
          <w:color w:val="auto"/>
          <w:sz w:val="20"/>
          <w:szCs w:val="20"/>
        </w:rPr>
      </w:pPr>
      <w:r>
        <w:rPr>
          <w:rFonts w:hint="eastAsia" w:ascii="宋体" w:hAnsi="宋体"/>
          <w:color w:val="auto"/>
          <w:sz w:val="20"/>
          <w:szCs w:val="20"/>
        </w:rPr>
        <w:t>注：调试不需用水的工程不分摊水费。</w:t>
      </w:r>
    </w:p>
    <w:p>
      <w:pPr>
        <w:adjustRightInd w:val="0"/>
        <w:snapToGrid w:val="0"/>
        <w:spacing w:line="360" w:lineRule="auto"/>
        <w:ind w:firstLine="402" w:firstLineChars="200"/>
        <w:jc w:val="left"/>
        <w:rPr>
          <w:rFonts w:ascii="宋体" w:hAnsi="宋体"/>
          <w:b/>
          <w:color w:val="auto"/>
          <w:sz w:val="20"/>
          <w:szCs w:val="20"/>
        </w:rPr>
      </w:pPr>
      <w:r>
        <w:rPr>
          <w:rFonts w:hint="eastAsia" w:ascii="宋体" w:hAnsi="宋体"/>
          <w:b/>
          <w:color w:val="auto"/>
          <w:sz w:val="20"/>
          <w:szCs w:val="20"/>
        </w:rPr>
        <w:t>提示：为避免上述期限到期后，使用单位以各种理由拒绝交割水电引起费用纠纷，建议承包人与水电部门签订《供用电（水）协议》时应注明，水电部门在收到承包人关于水电报停的通知后应及时给予办理，否则由此引起的水电费用承包人不予承担。</w:t>
      </w:r>
    </w:p>
    <w:p>
      <w:pPr>
        <w:adjustRightInd w:val="0"/>
        <w:snapToGrid w:val="0"/>
        <w:spacing w:before="240" w:beforeLines="100" w:line="360" w:lineRule="auto"/>
        <w:ind w:firstLine="400" w:firstLineChars="200"/>
        <w:jc w:val="left"/>
        <w:rPr>
          <w:rFonts w:ascii="宋体" w:hAnsi="宋体"/>
          <w:color w:val="auto"/>
          <w:sz w:val="20"/>
          <w:szCs w:val="20"/>
        </w:rPr>
      </w:pPr>
      <w:bookmarkStart w:id="15" w:name="_1626159693"/>
      <w:bookmarkEnd w:id="15"/>
      <w:r>
        <w:rPr>
          <w:rFonts w:ascii="宋体" w:hAnsi="宋体"/>
          <w:bCs/>
          <w:color w:val="auto"/>
          <w:sz w:val="20"/>
          <w:szCs w:val="20"/>
        </w:rPr>
        <w:object>
          <v:shape id="_x0000_i1053" o:spt="201" type="#_x0000_t201" style="height:18pt;width:12.75pt;" o:ole="t" filled="f" o:preferrelative="t" stroked="f" coordsize="21600,21600">
            <v:path/>
            <v:fill on="f" focussize="0,0"/>
            <v:stroke on="f"/>
            <v:imagedata r:id="rId72" o:title=""/>
            <o:lock v:ext="edit" aspectratio="t"/>
            <w10:wrap type="none"/>
            <w10:anchorlock/>
          </v:shape>
          <w:control r:id="rId71" w:name="CheckBox170" w:shapeid="_x0000_i1053"/>
        </w:object>
      </w:r>
      <w:r>
        <w:rPr>
          <w:rFonts w:ascii="宋体" w:hAnsi="宋体"/>
          <w:color w:val="auto"/>
          <w:sz w:val="20"/>
          <w:szCs w:val="20"/>
        </w:rPr>
        <w:t>19、安装工程中管线的工程量严格按图计算，承包人自行局部改变管线走向而增加的工程量不予计量；承包人施工工序不当导致的费用增加不予计量。</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54" o:spt="201" type="#_x0000_t201" style="height:18pt;width:12.75pt;" o:ole="t" filled="f" o:preferrelative="t" stroked="f" coordsize="21600,21600">
            <v:path/>
            <v:fill on="f" focussize="0,0"/>
            <v:stroke on="f"/>
            <v:imagedata r:id="rId74" o:title=""/>
            <o:lock v:ext="edit" aspectratio="t"/>
            <w10:wrap type="none"/>
            <w10:anchorlock/>
          </v:shape>
          <w:control r:id="rId73" w:name="CheckBox171" w:shapeid="_x0000_i1054"/>
        </w:object>
      </w:r>
      <w:r>
        <w:rPr>
          <w:rFonts w:ascii="宋体" w:hAnsi="宋体"/>
          <w:color w:val="auto"/>
          <w:sz w:val="20"/>
          <w:szCs w:val="20"/>
        </w:rPr>
        <w:t>20、各类吊顶的综合单价，投标报价时应综合考虑照明、消防、通风空调、弱电等工程所需的开槽、孔、洞及恢复整理的费用，结算时不因此而调整综合单价。</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55" o:spt="201" type="#_x0000_t201" style="height:18pt;width:12.75pt;" o:ole="t" filled="f" o:preferrelative="t" stroked="f" coordsize="21600,21600">
            <v:path/>
            <v:fill on="f" focussize="0,0"/>
            <v:stroke on="f"/>
            <v:imagedata r:id="rId76" o:title=""/>
            <o:lock v:ext="edit" aspectratio="t"/>
            <w10:wrap type="none"/>
            <w10:anchorlock/>
          </v:shape>
          <w:control r:id="rId75" w:name="CheckBox172" w:shapeid="_x0000_i1055"/>
        </w:object>
      </w:r>
      <w:r>
        <w:rPr>
          <w:rFonts w:ascii="宋体" w:hAnsi="宋体"/>
          <w:color w:val="auto"/>
          <w:sz w:val="20"/>
          <w:szCs w:val="20"/>
        </w:rPr>
        <w:t>21</w:t>
      </w:r>
      <w:r>
        <w:rPr>
          <w:rFonts w:hint="eastAsia" w:ascii="宋体" w:hAnsi="宋体"/>
          <w:bCs/>
          <w:color w:val="auto"/>
          <w:sz w:val="20"/>
          <w:szCs w:val="20"/>
        </w:rPr>
        <w:t>、投标报价时应考虑聘请专业保安公司负责施工现场保安工作，采取相应保卫措施防止出现财、物被盗行为，相关费用已包括在报价中，招标人不再另行支付此类费用。</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56" o:spt="201" type="#_x0000_t201" style="height:18pt;width:12.75pt;" o:ole="t" filled="f" o:preferrelative="t" stroked="f" coordsize="21600,21600">
            <v:path/>
            <v:fill on="f" focussize="0,0"/>
            <v:stroke on="f"/>
            <v:imagedata r:id="rId76" o:title=""/>
            <o:lock v:ext="edit" aspectratio="t"/>
            <w10:wrap type="none"/>
            <w10:anchorlock/>
          </v:shape>
          <w:control r:id="rId77" w:name="CheckBox173" w:shapeid="_x0000_i1056"/>
        </w:object>
      </w:r>
      <w:r>
        <w:rPr>
          <w:rFonts w:ascii="宋体" w:hAnsi="宋体"/>
          <w:color w:val="auto"/>
          <w:sz w:val="20"/>
          <w:szCs w:val="20"/>
        </w:rPr>
        <w:t>22、</w:t>
      </w:r>
      <w:r>
        <w:rPr>
          <w:rFonts w:hint="eastAsia" w:ascii="宋体" w:hAnsi="宋体"/>
          <w:bCs/>
          <w:color w:val="auto"/>
          <w:sz w:val="20"/>
          <w:szCs w:val="20"/>
        </w:rPr>
        <w:t>所有管、槽、桥架以及阀门、风口等需要安装支吊架的项目，其综合单价应根据不同材质、用途、安装位置、设计、保温及相应规范要求，充分考虑支吊架制作安装、除锈、刷漆等费用，结算时不因支吊架设计的变更或进一步明确等任何原因而作调整。</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57" o:spt="201" type="#_x0000_t201" style="height:18pt;width:12.75pt;" o:ole="t" filled="f" o:preferrelative="t" stroked="f" coordsize="21600,21600">
            <v:path/>
            <v:fill on="f" focussize="0,0"/>
            <v:stroke on="f"/>
            <v:imagedata r:id="rId79" o:title=""/>
            <o:lock v:ext="edit" aspectratio="t"/>
            <w10:wrap type="none"/>
            <w10:anchorlock/>
          </v:shape>
          <w:control r:id="rId78" w:name="CheckBox174" w:shapeid="_x0000_i1057"/>
        </w:object>
      </w:r>
      <w:r>
        <w:rPr>
          <w:rFonts w:ascii="宋体" w:hAnsi="宋体"/>
          <w:color w:val="auto"/>
          <w:sz w:val="20"/>
          <w:szCs w:val="20"/>
        </w:rPr>
        <w:t>23</w:t>
      </w:r>
      <w:r>
        <w:rPr>
          <w:rFonts w:hint="eastAsia" w:ascii="宋体" w:hAnsi="宋体"/>
          <w:bCs/>
          <w:color w:val="auto"/>
          <w:sz w:val="20"/>
          <w:szCs w:val="20"/>
        </w:rPr>
        <w:t>、所有管、槽、桥架等项目的安装综合单价均应充分考虑管件的购置或制作、安装费用，施工中不再单独计量，结算时也不因任何原因（如管道走向变更而导致管件增加等）而调整。</w:t>
      </w:r>
    </w:p>
    <w:p>
      <w:pPr>
        <w:adjustRightInd w:val="0"/>
        <w:snapToGrid w:val="0"/>
        <w:spacing w:before="240" w:beforeLines="100" w:line="360" w:lineRule="auto"/>
        <w:ind w:firstLine="400" w:firstLineChars="200"/>
        <w:jc w:val="left"/>
        <w:rPr>
          <w:rFonts w:ascii="宋体" w:hAnsi="宋体"/>
          <w:color w:val="auto"/>
          <w:sz w:val="20"/>
          <w:szCs w:val="20"/>
        </w:rPr>
      </w:pPr>
      <w:r>
        <w:rPr>
          <w:rFonts w:ascii="宋体" w:hAnsi="宋体"/>
          <w:bCs/>
          <w:color w:val="auto"/>
          <w:sz w:val="20"/>
          <w:szCs w:val="20"/>
        </w:rPr>
        <w:object>
          <v:shape id="_x0000_i1058" o:spt="201" type="#_x0000_t201" style="height:18pt;width:12.75pt;" o:ole="t" filled="f" o:preferrelative="t" stroked="f" coordsize="21600,21600">
            <v:path/>
            <v:fill on="f" focussize="0,0"/>
            <v:stroke on="f"/>
            <v:imagedata r:id="rId81" o:title=""/>
            <o:lock v:ext="edit" aspectratio="t"/>
            <w10:wrap type="none"/>
            <w10:anchorlock/>
          </v:shape>
          <w:control r:id="rId80" w:name="CheckBox175" w:shapeid="_x0000_i1058"/>
        </w:object>
      </w:r>
      <w:r>
        <w:rPr>
          <w:rFonts w:ascii="宋体" w:hAnsi="宋体"/>
          <w:color w:val="auto"/>
          <w:sz w:val="20"/>
          <w:szCs w:val="20"/>
        </w:rPr>
        <w:t>24、所有栏杆、防盗网、燃气管、水管、风管、桥架等项目清单中提供的材料壁厚仅供参考，投标人在投标报价时，应综合考虑满足国标、设计、技术要求等规定、确定壁厚及综合单价，结算时不因壁厚原因而作调整。</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59" o:spt="201" type="#_x0000_t201" style="height:18pt;width:12.75pt;" o:ole="t" filled="f" o:preferrelative="t" stroked="f" coordsize="21600,21600">
            <v:path/>
            <v:fill on="f" focussize="0,0"/>
            <v:stroke on="f"/>
            <v:imagedata r:id="rId83" o:title=""/>
            <o:lock v:ext="edit" aspectratio="t"/>
            <w10:wrap type="none"/>
            <w10:anchorlock/>
          </v:shape>
          <w:control r:id="rId82" w:name="CheckBox155" w:shapeid="_x0000_i1059"/>
        </w:object>
      </w:r>
      <w:r>
        <w:rPr>
          <w:rFonts w:ascii="宋体" w:hAnsi="宋体"/>
          <w:color w:val="auto"/>
          <w:sz w:val="20"/>
          <w:szCs w:val="20"/>
        </w:rPr>
        <w:t>25、</w:t>
      </w:r>
      <w:r>
        <w:rPr>
          <w:rFonts w:hint="eastAsia" w:ascii="宋体" w:hAnsi="宋体"/>
          <w:bCs/>
          <w:color w:val="auto"/>
          <w:sz w:val="20"/>
          <w:szCs w:val="20"/>
        </w:rPr>
        <w:t>投标人应根据设计耐火等级选用施工材料，对所使用建筑材料中易燃、可燃材料应按规范、设计要求及招标文件要求进行防火阻燃处理，其费用在相应的综合单价中综合考虑（不另行计量支付）。</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0" o:spt="201" type="#_x0000_t201" style="height:18pt;width:12.75pt;" o:ole="t" filled="f" o:preferrelative="t" stroked="f" coordsize="21600,21600">
            <v:path/>
            <v:fill on="f" focussize="0,0"/>
            <v:stroke on="f"/>
            <v:imagedata r:id="rId85" o:title=""/>
            <o:lock v:ext="edit" aspectratio="t"/>
            <w10:wrap type="none"/>
            <w10:anchorlock/>
          </v:shape>
          <w:control r:id="rId84" w:name="CheckBox177" w:shapeid="_x0000_i1060"/>
        </w:object>
      </w:r>
      <w:r>
        <w:rPr>
          <w:rFonts w:ascii="宋体" w:hAnsi="宋体"/>
          <w:color w:val="auto"/>
          <w:sz w:val="20"/>
          <w:szCs w:val="20"/>
        </w:rPr>
        <w:t>26</w:t>
      </w:r>
      <w:r>
        <w:rPr>
          <w:rFonts w:hint="eastAsia" w:ascii="宋体" w:hAnsi="宋体"/>
          <w:bCs/>
          <w:color w:val="auto"/>
          <w:sz w:val="20"/>
          <w:szCs w:val="20"/>
        </w:rPr>
        <w:t>、工程量清单项目中电力电缆敷设应包括（不限于）电缆敷设、电缆头制作、安装等工作内容，投标人投标报价时综合单价应充分考虑以上内容及电缆头与开关柜、配电箱连接的费用。</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1" o:spt="201" type="#_x0000_t201" style="height:18pt;width:12.75pt;" o:ole="t" filled="f" o:preferrelative="t" stroked="f" coordsize="21600,21600">
            <v:path/>
            <v:fill on="f" focussize="0,0"/>
            <v:stroke on="f"/>
            <v:imagedata r:id="rId87" o:title=""/>
            <o:lock v:ext="edit" aspectratio="t"/>
            <w10:wrap type="none"/>
            <w10:anchorlock/>
          </v:shape>
          <w:control r:id="rId86" w:name="CheckBox155" w:shapeid="_x0000_i1061"/>
        </w:object>
      </w:r>
      <w:r>
        <w:rPr>
          <w:rFonts w:ascii="宋体" w:hAnsi="宋体"/>
          <w:bCs/>
          <w:color w:val="auto"/>
          <w:sz w:val="20"/>
          <w:szCs w:val="20"/>
        </w:rPr>
        <w:t>27、防水工程由招标人的战略合作伙伴负责供货、施工，防水基层处理、防水工程完成后的成品保护由承包人负责，产生的相关费用由投标人在投标报价中综合考虑。防水工程的总分包配合费由发包人支付给承包人。</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2" o:spt="201" type="#_x0000_t201" style="height:18pt;width:12.75pt;" o:ole="t" filled="f" o:preferrelative="t" stroked="f" coordsize="21600,21600">
            <v:path/>
            <v:fill on="f" focussize="0,0"/>
            <v:stroke on="f"/>
            <v:imagedata r:id="rId89" o:title=""/>
            <o:lock v:ext="edit" aspectratio="t"/>
            <w10:wrap type="none"/>
            <w10:anchorlock/>
          </v:shape>
          <w:control r:id="rId88" w:name="CheckBox179" w:shapeid="_x0000_i1062"/>
        </w:object>
      </w:r>
      <w:r>
        <w:rPr>
          <w:rFonts w:ascii="宋体" w:hAnsi="宋体"/>
          <w:bCs/>
          <w:color w:val="auto"/>
          <w:sz w:val="20"/>
          <w:szCs w:val="20"/>
        </w:rPr>
        <w:t>28、本工程电缆采用招标人战略合作伙伴所提供的材料，计价文件中只计其安装费和保管费。安装费按施工图及现行的《深圳市建筑（安装）工程消耗量标准》计算的数量进行取费，结算时，安装费按综合单价包干，不因电缆长度及价格的变化而调整。保管费以发包人供应的材料暂定价格为基础，取费费率为1%，投标人投标报价时在“总承包服务费中”按一项行报价，结算时按项包干，不因电缆长度及价格的变化而调整。在项目实施过程中，电缆到货后承包人应做好收货和保管工作，电缆如遗失或损坏，责任由承包人承担，投标人在投标报价时应综合考虑对发包人供应的材料（甲供材料）进行保管服务及现场管理所需的费用。另外，多领的材料（实际领取数量—按施工图及现行的《深圳市建筑（安装）</w:t>
      </w:r>
      <w:r>
        <w:rPr>
          <w:rFonts w:hint="eastAsia" w:ascii="宋体" w:hAnsi="宋体"/>
          <w:bCs/>
          <w:color w:val="auto"/>
          <w:sz w:val="20"/>
          <w:szCs w:val="20"/>
        </w:rPr>
        <w:t>工程消耗量标准》计算的数量）按材料战略合作价在结算时扣除。</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3" o:spt="201" type="#_x0000_t201" style="height:18pt;width:12.75pt;" o:ole="t" filled="f" o:preferrelative="t" stroked="f" coordsize="21600,21600">
            <v:path/>
            <v:fill on="f" focussize="0,0"/>
            <v:stroke on="f"/>
            <v:imagedata r:id="rId91" o:title=""/>
            <o:lock v:ext="edit" aspectratio="t"/>
            <w10:wrap type="none"/>
            <w10:anchorlock/>
          </v:shape>
          <w:control r:id="rId90" w:name="CheckBox180" w:shapeid="_x0000_i1063"/>
        </w:object>
      </w:r>
      <w:r>
        <w:rPr>
          <w:rFonts w:ascii="宋体" w:hAnsi="宋体"/>
          <w:bCs/>
          <w:color w:val="auto"/>
          <w:sz w:val="20"/>
          <w:szCs w:val="20"/>
        </w:rPr>
        <w:t>29、人防工程由招标人的战略合作伙伴负责供货、施工，包括人防建筑、人防水、人防电气、人防通风等。人防工程的总分包配合费由招标人的战略合作伙伴支付给承包人。</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4" o:spt="201" type="#_x0000_t201" style="height:18pt;width:12.75pt;" o:ole="t" filled="f" o:preferrelative="t" stroked="f" coordsize="21600,21600">
            <v:path/>
            <v:fill on="f" focussize="0,0"/>
            <v:stroke on="f"/>
            <v:imagedata r:id="rId93" o:title=""/>
            <o:lock v:ext="edit" aspectratio="t"/>
            <w10:wrap type="none"/>
            <w10:anchorlock/>
          </v:shape>
          <w:control r:id="rId92" w:name="CheckBox181" w:shapeid="_x0000_i1064"/>
        </w:object>
      </w:r>
      <w:r>
        <w:rPr>
          <w:rFonts w:ascii="宋体" w:hAnsi="宋体"/>
          <w:bCs/>
          <w:color w:val="auto"/>
          <w:sz w:val="20"/>
          <w:szCs w:val="20"/>
        </w:rPr>
        <w:t>30、钢筋清单工程量均按理论重量计算（不计算搭接长度）。钢筋清单项目综合单价应包含其理论重量与实际重量的偏差（包含设计未注明搭接时的钢筋搭接长度及钢筋直径偏差等）、搭接长度、施工损耗、连接费用（绑扎、电渣压力焊、闪光对焊、焊接、各类型套筒接头、冷挤压接头、机械连接等）。</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5" o:spt="201" type="#_x0000_t201" style="height:18pt;width:12.75pt;" o:ole="t" filled="f" o:preferrelative="t" stroked="f" coordsize="21600,21600">
            <v:path/>
            <v:fill on="f" focussize="0,0"/>
            <v:stroke on="f"/>
            <v:imagedata r:id="rId93" o:title=""/>
            <o:lock v:ext="edit" aspectratio="t"/>
            <w10:wrap type="none"/>
            <w10:anchorlock/>
          </v:shape>
          <w:control r:id="rId94" w:name="CheckBox182" w:shapeid="_x0000_i1065"/>
        </w:object>
      </w:r>
      <w:r>
        <w:rPr>
          <w:rFonts w:ascii="宋体" w:hAnsi="宋体"/>
          <w:bCs/>
          <w:color w:val="auto"/>
          <w:sz w:val="20"/>
          <w:szCs w:val="20"/>
        </w:rPr>
        <w:t>31、工程量清单中，混凝土按商品混凝土考虑，投标报价时应考虑泵送（市政道路工程除外），结算时单价不因实际施工方式、商品混凝土运距、泵送距离、施工机械等因素变化而调整。若出现按招标文件规定因砼价格涨落而允许调整的情况，具体参照合同专用条款11.1进行调价。</w:t>
      </w:r>
    </w:p>
    <w:p>
      <w:pPr>
        <w:adjustRightInd w:val="0"/>
        <w:snapToGrid w:val="0"/>
        <w:spacing w:line="560" w:lineRule="exact"/>
        <w:ind w:firstLine="400" w:firstLineChars="200"/>
        <w:jc w:val="left"/>
        <w:rPr>
          <w:rFonts w:ascii="宋体" w:hAnsi="宋体"/>
          <w:bCs/>
          <w:color w:val="auto"/>
          <w:sz w:val="20"/>
          <w:szCs w:val="20"/>
        </w:rPr>
      </w:pPr>
      <w:bookmarkStart w:id="16" w:name="_1626156267"/>
      <w:bookmarkEnd w:id="16"/>
      <w:r>
        <w:rPr>
          <w:rFonts w:ascii="宋体" w:hAnsi="宋体"/>
          <w:bCs/>
          <w:color w:val="auto"/>
          <w:sz w:val="20"/>
          <w:szCs w:val="20"/>
        </w:rPr>
        <w:object>
          <v:shape id="_x0000_i1066" o:spt="201" type="#_x0000_t201" style="height:18pt;width:12.75pt;" o:ole="t" filled="f" o:preferrelative="t" stroked="f" coordsize="21600,21600">
            <v:path/>
            <v:fill on="f" focussize="0,0"/>
            <v:stroke on="f"/>
            <v:imagedata r:id="rId96" o:title=""/>
            <o:lock v:ext="edit" aspectratio="t"/>
            <w10:wrap type="none"/>
            <w10:anchorlock/>
          </v:shape>
          <w:control r:id="rId95" w:name="CheckBox183" w:shapeid="_x0000_i1066"/>
        </w:object>
      </w:r>
      <w:r>
        <w:rPr>
          <w:rFonts w:ascii="宋体" w:hAnsi="宋体"/>
          <w:bCs/>
          <w:color w:val="auto"/>
          <w:sz w:val="20"/>
          <w:szCs w:val="20"/>
        </w:rPr>
        <w:t>32、本工程变压器采用招标人战略合作伙伴所提供的设备，计价文件中只计其安装费和保管费。工程量清单项目中变压器安装费应包括但不限于变压器项目现场卸货，运输及安装，基础型钢制作、安装、接地、补漆，配合电气试验等工作内容，投标人投标报价时综合单价应充分考虑上述费用。结算时，安装费按综合单价包干，不因变压器数量及价格的变化而调整综合单价。</w:t>
      </w:r>
    </w:p>
    <w:p>
      <w:pPr>
        <w:adjustRightInd w:val="0"/>
        <w:snapToGrid w:val="0"/>
        <w:spacing w:line="560" w:lineRule="exact"/>
        <w:ind w:firstLine="400" w:firstLineChars="200"/>
        <w:jc w:val="left"/>
        <w:rPr>
          <w:rFonts w:ascii="宋体" w:hAnsi="宋体"/>
          <w:bCs/>
          <w:color w:val="auto"/>
          <w:sz w:val="20"/>
          <w:szCs w:val="20"/>
        </w:rPr>
      </w:pPr>
      <w:r>
        <w:rPr>
          <w:rFonts w:hint="eastAsia" w:ascii="宋体" w:hAnsi="宋体"/>
          <w:bCs/>
          <w:color w:val="auto"/>
          <w:sz w:val="20"/>
          <w:szCs w:val="20"/>
        </w:rPr>
        <w:t>保管费以发包人提供的变压器设备暂定价格为基础，取费费率为</w:t>
      </w:r>
      <w:r>
        <w:rPr>
          <w:rFonts w:ascii="宋体" w:hAnsi="宋体"/>
          <w:bCs/>
          <w:color w:val="auto"/>
          <w:sz w:val="20"/>
          <w:szCs w:val="20"/>
        </w:rPr>
        <w:t>0.5%-1.5%，投标人投标报价时在“总承包服务费”中按一项报价，结算时按项包干，不因变压器数量及价格的变化而调整。变压器由招标人的战略合作伙伴负责供货，变压器设备商只负责送货到项目实施地车上交货，在项目实施过程中，变压器到货后承包人应做好收货、吊装卸货、搬运和保管工作，变压器如遗失或损坏，责任由承包人承担，投标人在投标报价时应综合考虑对发包人供应的材料（甲供设备）进行收货、吊装卸货、搬运和保管服务及现场管理所需的费用。</w:t>
      </w:r>
    </w:p>
    <w:p>
      <w:pPr>
        <w:adjustRightInd w:val="0"/>
        <w:snapToGrid w:val="0"/>
        <w:spacing w:line="560" w:lineRule="exact"/>
        <w:ind w:firstLine="400" w:firstLineChars="200"/>
        <w:jc w:val="left"/>
        <w:rPr>
          <w:rFonts w:hint="eastAsia" w:ascii="宋体" w:hAnsi="宋体"/>
          <w:bCs/>
          <w:color w:val="auto"/>
          <w:sz w:val="20"/>
          <w:szCs w:val="20"/>
        </w:rPr>
      </w:pPr>
      <w:r>
        <w:rPr>
          <w:rFonts w:hint="eastAsia" w:ascii="宋体" w:hAnsi="宋体"/>
          <w:bCs/>
          <w:color w:val="auto"/>
          <w:sz w:val="20"/>
          <w:szCs w:val="20"/>
        </w:rPr>
        <w:t>33、瓷砖供货量：</w:t>
      </w:r>
    </w:p>
    <w:p>
      <w:pPr>
        <w:adjustRightInd w:val="0"/>
        <w:snapToGrid w:val="0"/>
        <w:spacing w:before="240" w:beforeLines="100" w:line="360" w:lineRule="auto"/>
        <w:ind w:firstLine="400" w:firstLineChars="200"/>
        <w:jc w:val="left"/>
        <w:rPr>
          <w:rFonts w:hint="eastAsia" w:ascii="宋体" w:hAnsi="宋体"/>
          <w:bCs/>
          <w:color w:val="auto"/>
          <w:sz w:val="20"/>
          <w:szCs w:val="20"/>
        </w:rPr>
      </w:pPr>
      <w:bookmarkStart w:id="17" w:name="_1626159019"/>
      <w:bookmarkEnd w:id="17"/>
      <w:r>
        <w:rPr>
          <w:rFonts w:ascii="宋体" w:hAnsi="宋体"/>
          <w:bCs/>
          <w:color w:val="auto"/>
          <w:sz w:val="20"/>
          <w:szCs w:val="20"/>
        </w:rPr>
        <w:object>
          <v:shape id="_x0000_i1067" o:spt="201" type="#_x0000_t201" style="height:18pt;width:12.75pt;" o:ole="t" filled="f" o:preferrelative="t" stroked="f" coordsize="21600,21600">
            <v:path/>
            <v:fill on="f" focussize="0,0"/>
            <v:stroke on="f"/>
            <v:imagedata r:id="rId98" o:title=""/>
            <o:lock v:ext="edit" aspectratio="t"/>
            <w10:wrap type="none"/>
            <w10:anchorlock/>
          </v:shape>
          <w:control r:id="rId97" w:name="CheckBox1831" w:shapeid="_x0000_i1067"/>
        </w:object>
      </w:r>
      <w:r>
        <w:rPr>
          <w:rFonts w:ascii="宋体" w:hAnsi="宋体"/>
          <w:bCs/>
          <w:color w:val="auto"/>
          <w:sz w:val="20"/>
          <w:szCs w:val="20"/>
        </w:rPr>
        <w:t>33</w:t>
      </w:r>
      <w:r>
        <w:rPr>
          <w:rFonts w:hint="eastAsia" w:ascii="宋体" w:hAnsi="宋体"/>
          <w:bCs/>
          <w:color w:val="auto"/>
          <w:sz w:val="20"/>
          <w:szCs w:val="20"/>
        </w:rPr>
        <w:t>.</w:t>
      </w:r>
      <w:r>
        <w:rPr>
          <w:rFonts w:ascii="宋体" w:hAnsi="宋体"/>
          <w:bCs/>
          <w:color w:val="auto"/>
          <w:sz w:val="20"/>
          <w:szCs w:val="20"/>
        </w:rPr>
        <w:t>1</w:t>
      </w:r>
      <w:r>
        <w:rPr>
          <w:rFonts w:hint="eastAsia" w:ascii="宋体" w:hAnsi="宋体"/>
          <w:bCs/>
          <w:color w:val="auto"/>
          <w:sz w:val="20"/>
          <w:szCs w:val="20"/>
        </w:rPr>
        <w:t>瓷砖供货量按照《深圳市建筑装饰工程消耗量标准》计算的量为准（含消耗量损耗率)。若现场施工过程中瓷砖实际使用量超过按定额标准计算的供货量，则由投标人自行承担，投标人在投标报价时应予充分考虑。投标人须承诺，超过既定量部分的瓷砖，优先向招标方的瓷砖甲供材单位采购，并满足招标方瓷砖采购的材料标准。</w:t>
      </w:r>
    </w:p>
    <w:p>
      <w:pPr>
        <w:adjustRightInd w:val="0"/>
        <w:snapToGrid w:val="0"/>
        <w:spacing w:before="240" w:beforeLines="100" w:line="360" w:lineRule="auto"/>
        <w:ind w:firstLine="400" w:firstLineChars="200"/>
        <w:jc w:val="left"/>
        <w:rPr>
          <w:rFonts w:ascii="宋体" w:hAnsi="宋体"/>
          <w:bCs/>
          <w:color w:val="auto"/>
          <w:sz w:val="20"/>
          <w:szCs w:val="20"/>
        </w:rPr>
      </w:pPr>
      <w:r>
        <w:rPr>
          <w:rFonts w:hint="eastAsia" w:ascii="宋体" w:hAnsi="宋体"/>
          <w:bCs/>
          <w:color w:val="auto"/>
          <w:sz w:val="20"/>
          <w:szCs w:val="20"/>
        </w:rPr>
        <w:t>风险提示：投标人对于瓷砖实际使用量与定额标准计算量的差额有充分的预判，投标报价时应予以考虑。</w:t>
      </w:r>
    </w:p>
    <w:p>
      <w:pPr>
        <w:adjustRightInd w:val="0"/>
        <w:snapToGrid w:val="0"/>
        <w:spacing w:before="240" w:beforeLines="100" w:line="360" w:lineRule="auto"/>
        <w:ind w:firstLine="400" w:firstLineChars="200"/>
        <w:jc w:val="left"/>
        <w:rPr>
          <w:rFonts w:ascii="宋体" w:hAnsi="宋体"/>
          <w:bCs/>
          <w:color w:val="auto"/>
          <w:sz w:val="20"/>
          <w:szCs w:val="20"/>
        </w:rPr>
      </w:pPr>
      <w:r>
        <w:rPr>
          <w:rFonts w:ascii="宋体" w:hAnsi="宋体"/>
          <w:bCs/>
          <w:color w:val="auto"/>
          <w:sz w:val="20"/>
          <w:szCs w:val="20"/>
        </w:rPr>
        <w:object>
          <v:shape id="_x0000_i1068" o:spt="201" type="#_x0000_t201" style="height:18pt;width:12.75pt;" o:ole="t" filled="f" o:preferrelative="t" stroked="f" coordsize="21600,21600">
            <v:path/>
            <v:fill on="f" focussize="0,0"/>
            <v:stroke on="f"/>
            <v:imagedata r:id="rId98" o:title=""/>
            <o:lock v:ext="edit" aspectratio="t"/>
            <w10:wrap type="none"/>
            <w10:anchorlock/>
          </v:shape>
          <w:control r:id="rId99" w:name="CheckBox18311" w:shapeid="_x0000_i1068"/>
        </w:object>
      </w:r>
      <w:r>
        <w:rPr>
          <w:rFonts w:ascii="宋体" w:hAnsi="宋体"/>
          <w:bCs/>
          <w:color w:val="auto"/>
          <w:sz w:val="20"/>
          <w:szCs w:val="20"/>
        </w:rPr>
        <w:t>33.2</w:t>
      </w:r>
      <w:r>
        <w:rPr>
          <w:rFonts w:hint="eastAsia" w:ascii="宋体" w:hAnsi="宋体"/>
          <w:bCs/>
          <w:color w:val="auto"/>
          <w:sz w:val="20"/>
          <w:szCs w:val="20"/>
        </w:rPr>
        <w:t>瓷砖供货量按照工程实际瓷砖排版图计算的损耗计算的量为准。在瓷砖铺贴进场前，由投标人出具排版图，并出具自行计算的排版损耗率。此损耗率由招标方项目组、设计院、投标人、监理单位等多家单位共同签字确认，若无法达成一致的，可在项目现场制作样板段再共同确认。现场施工过程中瓷砖实际使用量超过计算量的，由投标人自行承担。</w:t>
      </w:r>
    </w:p>
    <w:p>
      <w:pPr>
        <w:adjustRightInd w:val="0"/>
        <w:snapToGrid w:val="0"/>
        <w:spacing w:before="240" w:beforeLines="100" w:line="360" w:lineRule="auto"/>
        <w:ind w:firstLine="400" w:firstLineChars="200"/>
        <w:jc w:val="left"/>
        <w:rPr>
          <w:rFonts w:hint="eastAsia" w:ascii="宋体" w:hAnsi="宋体"/>
          <w:i/>
          <w:color w:val="auto"/>
          <w:sz w:val="20"/>
          <w:szCs w:val="20"/>
          <w:bdr w:val="single" w:color="auto" w:sz="4" w:space="0"/>
        </w:rPr>
      </w:pPr>
      <w:r>
        <w:rPr>
          <w:rFonts w:hint="eastAsia" w:ascii="宋体" w:hAnsi="宋体"/>
          <w:i/>
          <w:color w:val="auto"/>
          <w:sz w:val="20"/>
          <w:szCs w:val="20"/>
          <w:bdr w:val="single" w:color="auto" w:sz="4" w:space="0"/>
        </w:rPr>
        <w:t>备注：对于常规项目按照33.1执行；对于特殊项目可按照33.2执行，由直属单位办公会进行审议，严格把关。</w:t>
      </w:r>
    </w:p>
    <w:p>
      <w:pPr>
        <w:adjustRightInd w:val="0"/>
        <w:snapToGrid w:val="0"/>
        <w:spacing w:before="240" w:beforeLines="100" w:line="360" w:lineRule="auto"/>
        <w:ind w:firstLine="400" w:firstLineChars="200"/>
        <w:jc w:val="left"/>
        <w:rPr>
          <w:rFonts w:hint="eastAsia" w:ascii="宋体" w:hAnsi="宋体"/>
          <w:bCs/>
          <w:color w:val="auto"/>
          <w:sz w:val="20"/>
          <w:szCs w:val="20"/>
        </w:rPr>
      </w:pPr>
      <w:r>
        <w:rPr>
          <w:rFonts w:hint="eastAsia" w:ascii="宋体" w:hAnsi="宋体"/>
          <w:bCs/>
          <w:color w:val="auto"/>
          <w:sz w:val="20"/>
          <w:szCs w:val="20"/>
        </w:rPr>
        <w:t>投标人须承诺，超过既定量部分的瓷砖，优先向招标人的瓷砖甲供材单位采购，并满足招标方瓷砖采购的材料标准。属投标人超额订购或使用的材料设备用量按材料战略合作价在结算时扣除。</w:t>
      </w:r>
    </w:p>
    <w:p>
      <w:pPr>
        <w:adjustRightInd w:val="0"/>
        <w:snapToGrid w:val="0"/>
        <w:spacing w:before="240" w:beforeLines="100" w:line="360" w:lineRule="auto"/>
        <w:ind w:firstLine="400" w:firstLineChars="200"/>
        <w:jc w:val="left"/>
        <w:rPr>
          <w:rFonts w:hint="eastAsia" w:ascii="宋体" w:hAnsi="宋体"/>
          <w:bCs/>
          <w:color w:val="auto"/>
          <w:sz w:val="20"/>
          <w:szCs w:val="20"/>
        </w:rPr>
      </w:pPr>
      <w:r>
        <w:rPr>
          <w:rFonts w:hint="eastAsia" w:ascii="宋体" w:hAnsi="宋体"/>
          <w:bCs/>
          <w:color w:val="auto"/>
          <w:sz w:val="20"/>
          <w:szCs w:val="20"/>
        </w:rPr>
        <w:t>本工程瓷砖采用招标人预选供应商所提供的材料，计价文件中只计其安装费和保管费。安装费按照施工图及现行的《建设工程工程量清单计价规范》计算的工程量，乘以相应的综合单价计取。结算时，安装费按综合单价包干，不因瓷砖用量及价格的变化而调整。保管费以发包人供应的材料暂定价格为基础，取费费率为1.5%，投标人投标报价时在“总承包服务费中”按一项进行报价，结算时按项包干，不因瓷砖用量及价格的变化而调整。</w:t>
      </w:r>
    </w:p>
    <w:p>
      <w:pPr>
        <w:adjustRightInd w:val="0"/>
        <w:snapToGrid w:val="0"/>
        <w:spacing w:before="240" w:beforeLines="100" w:line="360" w:lineRule="auto"/>
        <w:ind w:firstLine="400" w:firstLineChars="200"/>
        <w:jc w:val="left"/>
        <w:rPr>
          <w:rFonts w:hint="eastAsia" w:ascii="宋体" w:hAnsi="宋体"/>
          <w:bCs/>
          <w:color w:val="auto"/>
          <w:sz w:val="20"/>
          <w:szCs w:val="20"/>
        </w:rPr>
      </w:pPr>
      <w:r>
        <w:rPr>
          <w:rFonts w:hint="eastAsia" w:ascii="宋体" w:hAnsi="宋体"/>
          <w:bCs/>
          <w:color w:val="auto"/>
          <w:sz w:val="20"/>
          <w:szCs w:val="20"/>
        </w:rPr>
        <w:t>在项目实施过程中，瓷砖到货后承包人应做好收货和保管工作，瓷砖如遗失或损坏，责任由承包人承担，投标人在投标报价时应综合考虑对发包人供应的材料（甲供材料）进行保管服务及现场管理所需的费用。</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313" w:beforeLines="100" w:after="157" w:afterLines="50" w:line="360" w:lineRule="auto"/>
        <w:ind w:firstLine="400" w:firstLineChars="200"/>
        <w:jc w:val="left"/>
        <w:textAlignment w:val="auto"/>
        <w:rPr>
          <w:rFonts w:ascii="宋体" w:hAnsi="宋体"/>
          <w:bCs/>
          <w:color w:val="auto"/>
          <w:sz w:val="20"/>
          <w:szCs w:val="20"/>
        </w:rPr>
      </w:pPr>
      <w:r>
        <w:rPr>
          <w:rFonts w:ascii="宋体" w:hAnsi="宋体"/>
          <w:bCs/>
          <w:color w:val="auto"/>
          <w:sz w:val="20"/>
          <w:szCs w:val="20"/>
        </w:rPr>
        <w:t>其他：[说明：项目组可根据项目管理的实际情况，增加其他的报价规定]。</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34.1、总包管理服务费</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总包管理服务费是施工总承包单位对发包人发包的专业工程实施统筹管理而发生的费用，包括对专业工程的进度安排，施工现场管理协调，竣工资料汇总整理等，由发包人支付给施工总承包单位，承包人无需计取此项费用。</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34.2、临时设施使用费（总分包配合费）</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承包人使用总承包单位现场设施所需支付的费用，包括脚手架、垂直运输设备等使用费及总承包单位和专业工程承包人约定的其他费用，由承包人支付给总承包单位。招标人建议的费率为0-3%，计费基础为招标人指定承包项目合同金额扣减设备费、暂列金额、奖金。具体费用由双方协商确定，总承包单位不得恶意抬价。</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招标人编制的专业工程招标控制价中已包含脚手架、垂直运输设备等费用，承包人如使用总承包单位的脚手架、垂直运输设备等设施时，如需向总承包单位缴纳临时设施使用费（具体金额与总承包单位协商）时，该费用由承包人负责，不得向发包人另行索要。投标人投标时需考虑此部分费用，结算时，不因本工程结算金额的变化而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34.3、承包人范围内施工完成后，需做好成品保护。如因承包人原因导致其他承包人完成的工作损坏，该部分的修复费用由承包人承担。</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34.4、</w:t>
      </w:r>
      <w:r>
        <w:rPr>
          <w:rFonts w:hint="eastAsia" w:ascii="宋体" w:hAnsi="宋体" w:eastAsiaTheme="minorEastAsia" w:cstheme="minorBidi"/>
          <w:bCs/>
          <w:color w:val="auto"/>
          <w:kern w:val="2"/>
          <w:sz w:val="20"/>
          <w:szCs w:val="20"/>
          <w:lang w:val="en-US" w:eastAsia="zh-CN" w:bidi="ar-SA"/>
        </w:rPr>
        <w:t>分部分项工程量清单中项目特征描述应结合设计文件（图纸）、工程技术要求、现行规范标准和招标文件其他规定一并理解，且以较严格的规定为准，这些要求和规定不重复写入工程量清单内，投标人投标报价时应全面满足上述规定。</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34.5、本工程招标图纸可能有部分节点未能完善，需要投标人在深化设计过程中予以考虑。投标人必须充分考虑到节点完善后可能引起的施工费用增加，在投标报价时在综合单价中综合考虑，结算时不予调整。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34.6、本工程承包范围内及本工程与其他专业工程承包单位衔接处所有的防腐、防锈、防水、防火、收口收边等由本工程承包人负责，并负责承包范围内其他专业工程承包单位所需的孔洞开设、塞缝、封堵（含层间封堵）、收边收口等工作，所需费用由投标人在综合单价中综合考虑，结算时不予调整，也不得向发包人另行索要费用。</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34.7、投标人负责承包范围内所有材料和工程的任何部分进行的复验、见证送检、竣工验收及基于本工程需要的所有检测、试验费用（包括但不限于消防验收、幕墙四性检测、淋水试验、铝合金窗三性检测等）。投标人须根据本工程相关技术要求合理报价，该部分费用包含在措施费“检测、检验、试验费”中，结算时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34.8、投标人投标时应考虑超高施工增加费，该部分费用需包含在综合单价内，不再单独列项，结算不予调整。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34.9、措施费:措施项目费按中标合价包干，结算时不予调整。措施项目报价应包括招标文件及合同条件明示和隐含的风险费用。风险范围包括但不限于：</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highlight w:val="none"/>
          <w:lang w:val="en-US" w:eastAsia="zh-CN" w:bidi="ar-SA"/>
        </w:rPr>
      </w:pPr>
      <w:r>
        <w:rPr>
          <w:rFonts w:hint="eastAsia" w:eastAsiaTheme="minorEastAsia" w:cstheme="minorBidi"/>
          <w:bCs/>
          <w:color w:val="auto"/>
          <w:kern w:val="2"/>
          <w:sz w:val="20"/>
          <w:szCs w:val="20"/>
          <w:highlight w:val="none"/>
          <w:lang w:val="en-US" w:eastAsia="zh-CN" w:bidi="ar-SA"/>
        </w:rPr>
        <w:t>（1）本工程存在幕墙工程施工阶段拆除垂直运输机械的情况，若施工总承包单位的垂直运输设备已拆除，而正式电梯又尚未投入运行，则由承包人自行解决垂直运输问题，所涉费用由投标人在措施费“垂直运输机械费”项下报价，费用包干，结算时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宋体"/>
          <w:color w:val="auto"/>
          <w:sz w:val="20"/>
          <w:szCs w:val="20"/>
          <w:highlight w:val="none"/>
        </w:rPr>
      </w:pPr>
      <w:r>
        <w:rPr>
          <w:rFonts w:hint="eastAsia" w:eastAsiaTheme="minorEastAsia" w:cstheme="minorBidi"/>
          <w:bCs/>
          <w:color w:val="auto"/>
          <w:kern w:val="2"/>
          <w:sz w:val="20"/>
          <w:szCs w:val="20"/>
          <w:lang w:val="en-US" w:eastAsia="zh-CN" w:bidi="ar-SA"/>
        </w:rPr>
        <w:t>（2）</w:t>
      </w:r>
      <w:r>
        <w:rPr>
          <w:rFonts w:hint="eastAsia" w:ascii="宋体" w:hAnsi="宋体" w:eastAsia="宋体"/>
          <w:color w:val="auto"/>
          <w:sz w:val="20"/>
          <w:szCs w:val="20"/>
          <w:highlight w:val="none"/>
        </w:rPr>
        <w:t>雨季、台风、高温等季节性施工的措施费。</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宋体"/>
          <w:color w:val="auto"/>
          <w:sz w:val="20"/>
          <w:szCs w:val="20"/>
          <w:highlight w:val="none"/>
        </w:rPr>
      </w:pPr>
      <w:r>
        <w:rPr>
          <w:rFonts w:hint="eastAsia" w:ascii="宋体" w:hAnsi="宋体" w:eastAsia="宋体"/>
          <w:color w:val="auto"/>
          <w:sz w:val="20"/>
          <w:szCs w:val="20"/>
          <w:highlight w:val="none"/>
        </w:rPr>
        <w:t>（</w:t>
      </w:r>
      <w:r>
        <w:rPr>
          <w:rFonts w:hint="eastAsia"/>
          <w:color w:val="auto"/>
          <w:sz w:val="20"/>
          <w:szCs w:val="20"/>
          <w:highlight w:val="none"/>
          <w:lang w:val="en-US" w:eastAsia="zh-CN"/>
        </w:rPr>
        <w:t>3</w:t>
      </w:r>
      <w:r>
        <w:rPr>
          <w:rFonts w:hint="eastAsia" w:ascii="宋体" w:hAnsi="宋体" w:eastAsia="宋体"/>
          <w:color w:val="auto"/>
          <w:sz w:val="20"/>
          <w:szCs w:val="20"/>
          <w:highlight w:val="none"/>
        </w:rPr>
        <w:t>）施工降效，投标人在投标报价时应做好现场踏勘，充分考虑项目采购、运输、施工等所引起的施工降效。降效包括但不限于：由于施工场地狭小引起的施工降效导致的费用增加；周边交通条件较为复杂引起的交通降效风险；与各分包人之间的交叉作业或配合而引起的窝工、停工损失，以及施工作业面移交等原因导致不均衡施工对劳动力需求的变化从而出现赶工或窝工降效风险。</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（4）</w:t>
      </w:r>
      <w:r>
        <w:rPr>
          <w:rFonts w:hint="eastAsia" w:ascii="宋体" w:hAnsi="宋体" w:eastAsiaTheme="minorEastAsia" w:cstheme="minorBidi"/>
          <w:bCs/>
          <w:color w:val="auto"/>
          <w:kern w:val="2"/>
          <w:sz w:val="20"/>
          <w:szCs w:val="20"/>
          <w:lang w:val="en-US" w:eastAsia="zh-CN" w:bidi="ar-SA"/>
        </w:rPr>
        <w:t>本项目用地紧张，现场无法搭设承包人临时设施和提供材料加工堆放场地，</w:t>
      </w:r>
      <w:r>
        <w:rPr>
          <w:rFonts w:hint="eastAsia" w:ascii="宋体" w:hAnsi="宋体" w:eastAsia="宋体"/>
          <w:color w:val="auto"/>
          <w:sz w:val="20"/>
          <w:szCs w:val="20"/>
          <w:highlight w:val="none"/>
          <w:lang w:val="en-GB"/>
        </w:rPr>
        <w:t>部分材料设备有可能需要二次搬运，</w:t>
      </w:r>
      <w:r>
        <w:rPr>
          <w:rFonts w:hint="eastAsia" w:ascii="宋体" w:hAnsi="宋体" w:eastAsiaTheme="minorEastAsia" w:cstheme="minorBidi"/>
          <w:bCs/>
          <w:color w:val="auto"/>
          <w:kern w:val="2"/>
          <w:sz w:val="20"/>
          <w:szCs w:val="20"/>
          <w:lang w:val="en-US" w:eastAsia="zh-CN" w:bidi="ar-SA"/>
        </w:rPr>
        <w:t>需承包人自行解决，异地租赁费用在措施费中计取，投标人应在考察现场后进行合理报价，结算</w:t>
      </w:r>
      <w:r>
        <w:rPr>
          <w:rFonts w:hint="eastAsia" w:eastAsiaTheme="minorEastAsia" w:cstheme="minorBidi"/>
          <w:bCs/>
          <w:color w:val="auto"/>
          <w:kern w:val="2"/>
          <w:sz w:val="20"/>
          <w:szCs w:val="20"/>
          <w:lang w:val="en-US" w:eastAsia="zh-CN" w:bidi="ar-SA"/>
        </w:rPr>
        <w:t>时</w:t>
      </w:r>
      <w:r>
        <w:rPr>
          <w:rFonts w:hint="eastAsia" w:ascii="宋体" w:hAnsi="宋体" w:eastAsiaTheme="minorEastAsia" w:cstheme="minorBidi"/>
          <w:bCs/>
          <w:color w:val="auto"/>
          <w:kern w:val="2"/>
          <w:sz w:val="20"/>
          <w:szCs w:val="20"/>
          <w:lang w:val="en-US" w:eastAsia="zh-CN" w:bidi="ar-SA"/>
        </w:rPr>
        <w:t>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5）项目临近东侧为教学楼、西侧临近居民小区，施工过程中的噪音、扬尘、震动、防护等将对师生造成不良影响，施工过程中不得影响学校的正常教学与生活秩序。投标人须严格遵照学校的作息时间，以及节假日、各类考试、重大活动等特定时间安排，在规定的时间合理安排施工进度和组织安全文明施工。以上有关产生的施工降效费，承包人需充分考虑此项风险，在措施费中报价，结算时不予调整。</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6）当前处于“新冠”疫情时期，请各投标人按深圳市已出台的相关文件申报防范“新冠”疫情所发生的费用，措施费中予以综合考虑，结算不予调整。若深圳市政府出台新规定（如有）与已出台的文件相关费用项重叠，招标人将不再调整措施费，请投标人报价时综合考虑相关风险。</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（7）</w:t>
      </w:r>
      <w:r>
        <w:rPr>
          <w:rFonts w:hint="eastAsia" w:ascii="宋体" w:hAnsi="宋体" w:eastAsiaTheme="minorEastAsia" w:cstheme="minorBidi"/>
          <w:bCs/>
          <w:color w:val="auto"/>
          <w:kern w:val="2"/>
          <w:sz w:val="20"/>
          <w:szCs w:val="20"/>
          <w:lang w:val="en-US" w:eastAsia="zh-CN" w:bidi="ar-SA"/>
        </w:rPr>
        <w:t>本项目需严格按照《深圳市工程建设行业产业工人职业训练管理办法》深建规[2021]7号通知的要求，推行产业工人职业培训的规定。产业工人职业训练专项经费在安全文明施工措施费中单列，为不可竞争性费用，投标人须按照《投标报价书》中的金额进行填报。施工过程中应严格按照管理办法执行。</w:t>
      </w: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r>
        <w:rPr>
          <w:rFonts w:hint="eastAsia" w:eastAsiaTheme="minorEastAsia" w:cstheme="minorBidi"/>
          <w:bCs/>
          <w:color w:val="auto"/>
          <w:kern w:val="2"/>
          <w:sz w:val="20"/>
          <w:szCs w:val="20"/>
          <w:lang w:val="en-US" w:eastAsia="zh-CN" w:bidi="ar-SA"/>
        </w:rPr>
        <w:t>（8）</w:t>
      </w:r>
      <w:r>
        <w:rPr>
          <w:rFonts w:hint="eastAsia" w:ascii="宋体" w:hAnsi="宋体" w:eastAsiaTheme="minorEastAsia" w:cstheme="minorBidi"/>
          <w:bCs/>
          <w:color w:val="auto"/>
          <w:kern w:val="2"/>
          <w:sz w:val="20"/>
          <w:szCs w:val="20"/>
          <w:lang w:val="en-US" w:eastAsia="zh-CN" w:bidi="ar-SA"/>
        </w:rPr>
        <w:t>资料费：包括但不限于承包人向发包人提交经确认的深化设计图纸、其他技术资料（包括电子文件）、招标文件及合同的制作印刷费用，请投标人在措施费报价中综合考虑。</w:t>
      </w:r>
    </w:p>
    <w:p>
      <w:pPr>
        <w:pStyle w:val="2"/>
        <w:keepNext w:val="0"/>
        <w:keepLines w:val="0"/>
        <w:pageBreakBefore w:val="0"/>
        <w:widowControl w:val="0"/>
        <w:kinsoku/>
        <w:wordWrap/>
        <w:overflowPunct/>
        <w:topLinePunct w:val="0"/>
        <w:autoSpaceDE/>
        <w:autoSpaceDN/>
        <w:bidi w:val="0"/>
        <w:spacing w:before="313" w:beforeLines="100" w:line="360" w:lineRule="auto"/>
        <w:ind w:firstLine="400" w:firstLineChars="200"/>
        <w:textAlignment w:val="auto"/>
        <w:rPr>
          <w:rFonts w:hint="eastAsia" w:ascii="宋体" w:hAnsi="宋体" w:eastAsiaTheme="minorEastAsia" w:cstheme="minorBidi"/>
          <w:bCs/>
          <w:color w:val="auto"/>
          <w:kern w:val="2"/>
          <w:sz w:val="20"/>
          <w:szCs w:val="2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textAlignment w:val="auto"/>
        <w:rPr>
          <w:rFonts w:hint="eastAsia" w:eastAsiaTheme="minorEastAsia" w:cstheme="minorBidi"/>
          <w:bCs/>
          <w:color w:val="auto"/>
          <w:kern w:val="2"/>
          <w:sz w:val="20"/>
          <w:szCs w:val="2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313" w:beforeLines="100" w:line="360" w:lineRule="auto"/>
        <w:ind w:firstLine="400" w:firstLineChars="200"/>
        <w:textAlignment w:val="auto"/>
        <w:rPr>
          <w:rFonts w:hint="eastAsia" w:eastAsiaTheme="minorEastAsia" w:cstheme="minorBidi"/>
          <w:bCs/>
          <w:color w:val="auto"/>
          <w:kern w:val="2"/>
          <w:sz w:val="20"/>
          <w:szCs w:val="20"/>
          <w:lang w:val="en-US" w:eastAsia="zh-CN" w:bidi="ar-SA"/>
        </w:rPr>
      </w:pPr>
    </w:p>
    <w:p>
      <w:pPr>
        <w:adjustRightInd w:val="0"/>
        <w:snapToGrid w:val="0"/>
        <w:spacing w:line="360" w:lineRule="auto"/>
        <w:jc w:val="center"/>
        <w:rPr>
          <w:b/>
          <w:bCs/>
          <w:color w:val="auto"/>
          <w:sz w:val="31"/>
          <w:szCs w:val="31"/>
        </w:rPr>
      </w:pPr>
      <w:r>
        <w:rPr>
          <w:rFonts w:ascii="宋体" w:hAnsi="宋体"/>
          <w:bCs/>
          <w:color w:val="auto"/>
          <w:sz w:val="20"/>
          <w:szCs w:val="20"/>
        </w:rPr>
        <w:br w:type="page"/>
      </w:r>
      <w:r>
        <w:rPr>
          <w:rFonts w:hint="eastAsia"/>
          <w:b/>
          <w:bCs/>
          <w:color w:val="auto"/>
          <w:sz w:val="31"/>
          <w:szCs w:val="31"/>
        </w:rPr>
        <w:t>措施项目清单计价表</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93"/>
        <w:gridCol w:w="3763"/>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0" w:type="dxa"/>
            <w:noWrap w:val="0"/>
            <w:vAlign w:val="center"/>
          </w:tcPr>
          <w:p>
            <w:pPr>
              <w:adjustRightInd w:val="0"/>
              <w:snapToGrid w:val="0"/>
              <w:jc w:val="center"/>
              <w:rPr>
                <w:b/>
                <w:bCs/>
                <w:color w:val="auto"/>
                <w:sz w:val="20"/>
                <w:szCs w:val="20"/>
              </w:rPr>
            </w:pPr>
            <w:r>
              <w:rPr>
                <w:rFonts w:hint="eastAsia"/>
                <w:b/>
                <w:bCs/>
                <w:color w:val="auto"/>
                <w:sz w:val="20"/>
                <w:szCs w:val="20"/>
              </w:rPr>
              <w:t>选用</w:t>
            </w:r>
          </w:p>
        </w:tc>
        <w:tc>
          <w:tcPr>
            <w:tcW w:w="593" w:type="dxa"/>
            <w:noWrap w:val="0"/>
            <w:vAlign w:val="center"/>
          </w:tcPr>
          <w:p>
            <w:pPr>
              <w:adjustRightInd w:val="0"/>
              <w:snapToGrid w:val="0"/>
              <w:jc w:val="center"/>
              <w:rPr>
                <w:b/>
                <w:bCs/>
                <w:color w:val="auto"/>
                <w:sz w:val="20"/>
                <w:szCs w:val="20"/>
              </w:rPr>
            </w:pPr>
            <w:r>
              <w:rPr>
                <w:rFonts w:hint="eastAsia"/>
                <w:b/>
                <w:bCs/>
                <w:color w:val="auto"/>
                <w:sz w:val="20"/>
                <w:szCs w:val="20"/>
              </w:rPr>
              <w:t>序号</w:t>
            </w:r>
          </w:p>
        </w:tc>
        <w:tc>
          <w:tcPr>
            <w:tcW w:w="3763" w:type="dxa"/>
            <w:noWrap w:val="0"/>
            <w:vAlign w:val="center"/>
          </w:tcPr>
          <w:p>
            <w:pPr>
              <w:adjustRightInd w:val="0"/>
              <w:snapToGrid w:val="0"/>
              <w:jc w:val="center"/>
              <w:rPr>
                <w:b/>
                <w:bCs/>
                <w:color w:val="auto"/>
                <w:sz w:val="20"/>
                <w:szCs w:val="20"/>
              </w:rPr>
            </w:pPr>
            <w:r>
              <w:rPr>
                <w:rFonts w:hint="eastAsia"/>
                <w:b/>
                <w:bCs/>
                <w:color w:val="auto"/>
                <w:sz w:val="20"/>
                <w:szCs w:val="20"/>
              </w:rPr>
              <w:t>项目名称</w:t>
            </w:r>
          </w:p>
        </w:tc>
        <w:tc>
          <w:tcPr>
            <w:tcW w:w="4441" w:type="dxa"/>
            <w:noWrap w:val="0"/>
            <w:vAlign w:val="center"/>
          </w:tcPr>
          <w:p>
            <w:pPr>
              <w:adjustRightInd w:val="0"/>
              <w:snapToGrid w:val="0"/>
              <w:jc w:val="center"/>
              <w:rPr>
                <w:b/>
                <w:bCs/>
                <w:color w:val="auto"/>
                <w:sz w:val="20"/>
                <w:szCs w:val="20"/>
              </w:rPr>
            </w:pPr>
            <w:r>
              <w:rPr>
                <w:rFonts w:hint="eastAsia"/>
                <w:b/>
                <w:bCs/>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object>
                <v:shape id="_x0000_i1069" o:spt="201" type="#_x0000_t201" style="height:18pt;width:12.75pt;" o:ole="t" filled="f" o:preferrelative="t" stroked="f" coordsize="21600,21600">
                  <v:path/>
                  <v:fill on="f" focussize="0,0"/>
                  <v:stroke on="f"/>
                  <v:imagedata r:id="rId101" o:title=""/>
                  <o:lock v:ext="edit" aspectratio="t"/>
                  <w10:wrap type="none"/>
                  <w10:anchorlock/>
                </v:shape>
                <w:control r:id="rId100" w:name="CheckBox184" w:shapeid="_x0000_i1069"/>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安全文明施工措施费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含按政府主管部门有关现场管理要求所必须发生的费用（如安装视频监控系统、</w:t>
            </w:r>
            <w:r>
              <w:rPr>
                <w:rFonts w:ascii="宋体" w:hAnsi="宋体"/>
                <w:bCs/>
                <w:color w:val="auto"/>
                <w:sz w:val="20"/>
                <w:szCs w:val="20"/>
              </w:rPr>
              <w:t>运输车辆自动喷淋系统</w:t>
            </w:r>
            <w:r>
              <w:rPr>
                <w:rFonts w:hint="eastAsia" w:ascii="宋体" w:hAnsi="宋体"/>
                <w:bCs/>
                <w:color w:val="auto"/>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90" w:type="dxa"/>
            <w:noWrap w:val="0"/>
            <w:vAlign w:val="center"/>
          </w:tcPr>
          <w:p>
            <w:pPr>
              <w:jc w:val="left"/>
              <w:rPr>
                <w:color w:val="auto"/>
              </w:rPr>
            </w:pPr>
            <w:r>
              <w:rPr>
                <w:rFonts w:ascii="宋体" w:hAnsi="宋体"/>
                <w:bCs/>
                <w:color w:val="auto"/>
                <w:sz w:val="20"/>
                <w:szCs w:val="20"/>
              </w:rPr>
              <w:object>
                <v:shape id="_x0000_i1070" o:spt="201" type="#_x0000_t201" style="height:18pt;width:12.75pt;" o:ole="t" filled="f" o:preferrelative="t" stroked="f" coordsize="21600,21600">
                  <v:path/>
                  <v:fill on="f" focussize="0,0"/>
                  <v:stroke on="f"/>
                  <v:imagedata r:id="rId103" o:title=""/>
                  <o:lock v:ext="edit" aspectratio="t"/>
                  <w10:wrap type="none"/>
                  <w10:anchorlock/>
                </v:shape>
                <w:control r:id="rId102" w:name="CheckBox184" w:shapeid="_x0000_i1070"/>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1.1</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临时设施费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color w:val="auto"/>
                <w:sz w:val="20"/>
                <w:szCs w:val="20"/>
              </w:rPr>
              <w:t>大门、围墙（围档）以及洗车槽等临时设施的要求详见合同专用条款附件“深圳市建筑工务署形象手册”。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1" o:spt="201" type="#_x0000_t201" style="height:18pt;width:12.75pt;" o:ole="t" filled="f" o:preferrelative="t" stroked="f" coordsize="21600,21600">
                  <v:path/>
                  <v:fill on="f" focussize="0,0"/>
                  <v:stroke on="f"/>
                  <v:imagedata r:id="rId105" o:title=""/>
                  <o:lock v:ext="edit" aspectratio="t"/>
                  <w10:wrap type="none"/>
                  <w10:anchorlock/>
                </v:shape>
                <w:control r:id="rId104" w:name="CheckBox184" w:shapeid="_x0000_i1071"/>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1.2</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安全施工费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2" o:spt="201" type="#_x0000_t201" style="height:18pt;width:12.75pt;" o:ole="t" filled="f" o:preferrelative="t" stroked="f" coordsize="21600,21600">
                  <v:path/>
                  <v:fill on="f" focussize="0,0"/>
                  <v:stroke on="f"/>
                  <v:imagedata r:id="rId107" o:title=""/>
                  <o:lock v:ext="edit" aspectratio="t"/>
                  <w10:wrap type="none"/>
                  <w10:anchorlock/>
                </v:shape>
                <w:control r:id="rId106" w:name="CheckBox184" w:shapeid="_x0000_i1072"/>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1.3</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文明施工费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3" o:spt="201" type="#_x0000_t201" style="height:18pt;width:12.75pt;" o:ole="t" filled="f" o:preferrelative="t" stroked="f" coordsize="21600,21600">
                  <v:path/>
                  <v:fill on="f" focussize="0,0"/>
                  <v:stroke on="f"/>
                  <v:imagedata r:id="rId109" o:title=""/>
                  <o:lock v:ext="edit" aspectratio="t"/>
                  <w10:wrap type="none"/>
                  <w10:anchorlock/>
                </v:shape>
                <w:control r:id="rId108" w:name="CheckBox184" w:shapeid="_x0000_i1073"/>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1.4</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环境保护费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rFonts w:ascii="仿宋" w:hAnsi="仿宋" w:eastAsia="仿宋" w:cstheme="minorBidi"/>
                <w:color w:val="auto"/>
                <w:kern w:val="2"/>
                <w:sz w:val="24"/>
                <w:szCs w:val="24"/>
                <w:lang w:val="en-US" w:eastAsia="zh-CN" w:bidi="ar-SA"/>
              </w:rPr>
            </w:pPr>
            <w:r>
              <w:rPr>
                <w:rFonts w:ascii="宋体" w:hAnsi="宋体"/>
                <w:bCs/>
                <w:color w:val="auto"/>
                <w:sz w:val="20"/>
                <w:szCs w:val="20"/>
              </w:rPr>
              <w:object>
                <v:shape id="_x0000_i1074" o:spt="201" type="#_x0000_t201" style="height:18pt;width:12.75pt;" o:ole="t" filled="f" o:preferrelative="t" stroked="f" coordsize="21600,21600">
                  <v:path/>
                  <v:fill on="f" focussize="0,0"/>
                  <v:stroke on="f"/>
                  <v:imagedata r:id="rId111" o:title=""/>
                  <o:lock v:ext="edit" aspectratio="t"/>
                  <w10:wrap type="none"/>
                  <w10:anchorlock/>
                </v:shape>
                <w:control r:id="rId110" w:name="CheckBox184" w:shapeid="_x0000_i1074"/>
              </w:object>
            </w:r>
          </w:p>
        </w:tc>
        <w:tc>
          <w:tcPr>
            <w:tcW w:w="593" w:type="dxa"/>
            <w:noWrap w:val="0"/>
            <w:vAlign w:val="center"/>
          </w:tcPr>
          <w:p>
            <w:pPr>
              <w:snapToGrid w:val="0"/>
              <w:jc w:val="left"/>
              <w:rPr>
                <w:rFonts w:hint="default" w:ascii="仿宋" w:hAnsi="仿宋" w:eastAsia="仿宋" w:cstheme="minorBidi"/>
                <w:bCs/>
                <w:color w:val="auto"/>
                <w:kern w:val="2"/>
                <w:sz w:val="24"/>
                <w:szCs w:val="24"/>
                <w:lang w:val="en-US" w:eastAsia="zh-CN" w:bidi="ar-SA"/>
              </w:rPr>
            </w:pPr>
            <w:r>
              <w:rPr>
                <w:rFonts w:hint="eastAsia" w:ascii="宋体" w:hAnsi="宋体"/>
                <w:bCs/>
                <w:color w:val="auto"/>
                <w:sz w:val="20"/>
                <w:szCs w:val="20"/>
                <w:lang w:val="en-US" w:eastAsia="zh-CN"/>
              </w:rPr>
              <w:t>1.5</w:t>
            </w:r>
          </w:p>
        </w:tc>
        <w:tc>
          <w:tcPr>
            <w:tcW w:w="3763" w:type="dxa"/>
            <w:noWrap w:val="0"/>
            <w:vAlign w:val="center"/>
          </w:tcPr>
          <w:p>
            <w:pPr>
              <w:snapToGrid w:val="0"/>
              <w:jc w:val="left"/>
              <w:rPr>
                <w:rFonts w:hint="eastAsia" w:ascii="仿宋" w:hAnsi="仿宋" w:eastAsia="仿宋" w:cstheme="minorBidi"/>
                <w:bCs/>
                <w:color w:val="auto"/>
                <w:kern w:val="2"/>
                <w:sz w:val="24"/>
                <w:szCs w:val="24"/>
                <w:lang w:val="en-US" w:eastAsia="zh-CN" w:bidi="ar-SA"/>
              </w:rPr>
            </w:pPr>
            <w:r>
              <w:rPr>
                <w:rFonts w:hint="eastAsia" w:ascii="宋体" w:hAnsi="宋体"/>
                <w:bCs/>
                <w:color w:val="auto"/>
                <w:sz w:val="20"/>
                <w:szCs w:val="20"/>
              </w:rPr>
              <w:t>产业工人专项费用</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5" o:spt="201" type="#_x0000_t201" style="height:18pt;width:12.75pt;" o:ole="t" filled="f" o:preferrelative="t" stroked="f" coordsize="21600,21600">
                  <v:path/>
                  <v:fill on="f" focussize="0,0"/>
                  <v:stroke on="f"/>
                  <v:imagedata r:id="rId113" o:title=""/>
                  <o:lock v:ext="edit" aspectratio="t"/>
                  <w10:wrap type="none"/>
                  <w10:anchorlock/>
                </v:shape>
                <w:control r:id="rId112" w:name="CheckBox184" w:shapeid="_x0000_i1075"/>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2</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履约担保手续费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6" o:spt="201" type="#_x0000_t201" style="height:18pt;width:12.75pt;" o:ole="t" filled="f" o:preferrelative="t" stroked="f" coordsize="21600,21600">
                  <v:path/>
                  <v:fill on="f" focussize="0,0"/>
                  <v:stroke on="f"/>
                  <v:imagedata r:id="rId115" o:title=""/>
                  <o:lock v:ext="edit" aspectratio="t"/>
                  <w10:wrap type="none"/>
                  <w10:anchorlock/>
                </v:shape>
                <w:control r:id="rId114" w:name="CheckBox184" w:shapeid="_x0000_i1076"/>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3</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夜间施工费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7" o:spt="201" type="#_x0000_t201" style="height:18pt;width:12.75pt;" o:ole="t" filled="f" o:preferrelative="t" stroked="f" coordsize="21600,21600">
                  <v:path/>
                  <v:fill on="f" focussize="0,0"/>
                  <v:stroke on="f"/>
                  <v:imagedata r:id="rId117" o:title=""/>
                  <o:lock v:ext="edit" aspectratio="t"/>
                  <w10:wrap type="none"/>
                  <w10:anchorlock/>
                </v:shape>
                <w:control r:id="rId116" w:name="CheckBox184" w:shapeid="_x0000_i1077"/>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4</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赶工措施费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8" o:spt="201" type="#_x0000_t201" style="height:18pt;width:12.75pt;" o:ole="t" filled="f" o:preferrelative="t" stroked="f" coordsize="21600,21600">
                  <v:path/>
                  <v:fill on="f" focussize="0,0"/>
                  <v:stroke on="f"/>
                  <v:imagedata r:id="rId119" o:title=""/>
                  <o:lock v:ext="edit" aspectratio="t"/>
                  <w10:wrap type="none"/>
                  <w10:anchorlock/>
                </v:shape>
                <w:control r:id="rId118" w:name="CheckBox184" w:shapeid="_x0000_i1078"/>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5</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冬雨季施工费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79" o:spt="201" type="#_x0000_t201" style="height:18pt;width:12.75pt;" o:ole="t" filled="f" o:preferrelative="t" stroked="f" coordsize="21600,21600">
                  <v:path/>
                  <v:fill on="f" focussize="0,0"/>
                  <v:stroke on="f"/>
                  <v:imagedata r:id="rId121" o:title=""/>
                  <o:lock v:ext="edit" aspectratio="t"/>
                  <w10:wrap type="none"/>
                  <w10:anchorlock/>
                </v:shape>
                <w:control r:id="rId120" w:name="CheckBox184" w:shapeid="_x0000_i1079"/>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6</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已完工程及设备保护费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0" o:spt="201" type="#_x0000_t201" style="height:18pt;width:12.75pt;" o:ole="t" filled="f" o:preferrelative="t" stroked="f" coordsize="21600,21600">
                  <v:path/>
                  <v:fill on="f" focussize="0,0"/>
                  <v:stroke on="f"/>
                  <v:imagedata r:id="rId123" o:title=""/>
                  <o:lock v:ext="edit" aspectratio="t"/>
                  <w10:wrap type="none"/>
                  <w10:anchorlock/>
                </v:shape>
                <w:control r:id="rId122" w:name="CheckBox184" w:shapeid="_x0000_i1080"/>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7</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地上地下设施及建筑物的临时保护费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1" o:spt="201" type="#_x0000_t201" style="height:18pt;width:12.75pt;" o:ole="t" filled="f" o:preferrelative="t" stroked="f" coordsize="21600,21600">
                  <v:path/>
                  <v:fill on="f" focussize="0,0"/>
                  <v:stroke on="f"/>
                  <v:imagedata r:id="rId125" o:title=""/>
                  <o:lock v:ext="edit" aspectratio="t"/>
                  <w10:wrap type="none"/>
                  <w10:anchorlock/>
                </v:shape>
                <w:control r:id="rId124" w:name="CheckBox195" w:shapeid="_x0000_i1081"/>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8</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混凝土、钢筋混凝土模板及支架费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注：如存在“高大模板支撑系统”，需另行列项计取。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2" o:spt="201" type="#_x0000_t201" style="height:18pt;width:12.75pt;" o:ole="t" filled="f" o:preferrelative="t" stroked="f" coordsize="21600,21600">
                  <v:path/>
                  <v:fill on="f" focussize="0,0"/>
                  <v:stroke on="f"/>
                  <v:imagedata r:id="rId127" o:title=""/>
                  <o:lock v:ext="edit" aspectratio="t"/>
                  <w10:wrap type="none"/>
                  <w10:anchorlock/>
                </v:shape>
                <w:control r:id="rId126" w:name="CheckBox184" w:shapeid="_x0000_i1082"/>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9</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二次搬运费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3" o:spt="201" type="#_x0000_t201" style="height:18pt;width:12.75pt;" o:ole="t" filled="f" o:preferrelative="t" stroked="f" coordsize="21600,21600">
                  <v:path/>
                  <v:fill on="f" focussize="0,0"/>
                  <v:stroke on="f"/>
                  <v:imagedata r:id="rId129" o:title=""/>
                  <o:lock v:ext="edit" aspectratio="t"/>
                  <w10:wrap type="none"/>
                  <w10:anchorlock/>
                </v:shape>
                <w:control r:id="rId128" w:name="CheckBox184" w:shapeid="_x0000_i1083"/>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10</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脚手架费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根据工程实际有特殊要求时请加以说明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4" o:spt="201" type="#_x0000_t201" style="height:18pt;width:12.75pt;" o:ole="t" filled="f" o:preferrelative="t" stroked="f" coordsize="21600,21600">
                  <v:path/>
                  <v:fill on="f" focussize="0,0"/>
                  <v:stroke on="f"/>
                  <v:imagedata r:id="rId131" o:title=""/>
                  <o:lock v:ext="edit" aspectratio="t"/>
                  <w10:wrap type="none"/>
                  <w10:anchorlock/>
                </v:shape>
                <w:control r:id="rId130" w:name="CheckBox184" w:shapeid="_x0000_i1084"/>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11</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垂直运输机械费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5" o:spt="201" type="#_x0000_t201" style="height:18pt;width:12.75pt;" o:ole="t" filled="f" o:preferrelative="t" stroked="f" coordsize="21600,21600">
                  <v:path/>
                  <v:fill on="f" focussize="0,0"/>
                  <v:stroke on="f"/>
                  <v:imagedata r:id="rId133" o:title=""/>
                  <o:lock v:ext="edit" aspectratio="t"/>
                  <w10:wrap type="none"/>
                  <w10:anchorlock/>
                </v:shape>
                <w:control r:id="rId132" w:name="CheckBox184" w:shapeid="_x0000_i1085"/>
              </w:object>
            </w:r>
          </w:p>
        </w:tc>
        <w:tc>
          <w:tcPr>
            <w:tcW w:w="593" w:type="dxa"/>
            <w:noWrap w:val="0"/>
            <w:vAlign w:val="center"/>
          </w:tcPr>
          <w:p>
            <w:pPr>
              <w:adjustRightInd w:val="0"/>
              <w:snapToGrid w:val="0"/>
              <w:jc w:val="left"/>
              <w:rPr>
                <w:rFonts w:ascii="宋体" w:hAnsi="宋体"/>
                <w:bCs/>
                <w:color w:val="auto"/>
                <w:sz w:val="20"/>
                <w:szCs w:val="20"/>
              </w:rPr>
            </w:pPr>
            <w:r>
              <w:rPr>
                <w:rFonts w:ascii="宋体" w:hAnsi="宋体"/>
                <w:bCs/>
                <w:color w:val="auto"/>
                <w:sz w:val="20"/>
                <w:szCs w:val="20"/>
              </w:rPr>
              <w:t>12</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大型机械设备进出场及安拆费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6" o:spt="201" type="#_x0000_t201" style="height:18pt;width:12.75pt;" o:ole="t" filled="f" o:preferrelative="t" stroked="f" coordsize="21600,21600">
                  <v:path/>
                  <v:fill on="f" focussize="0,0"/>
                  <v:stroke on="f"/>
                  <v:imagedata r:id="rId135" o:title=""/>
                  <o:lock v:ext="edit" aspectratio="t"/>
                  <w10:wrap type="none"/>
                  <w10:anchorlock/>
                </v:shape>
                <w:control r:id="rId134" w:name="CheckBox184" w:shapeid="_x0000_i1086"/>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13</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施工排水降水费</w:t>
            </w:r>
          </w:p>
          <w:p>
            <w:pPr>
              <w:adjustRightInd w:val="0"/>
              <w:snapToGrid w:val="0"/>
              <w:jc w:val="left"/>
              <w:rPr>
                <w:rFonts w:ascii="宋体" w:hAnsi="宋体"/>
                <w:bCs/>
                <w:color w:val="auto"/>
                <w:sz w:val="20"/>
                <w:szCs w:val="20"/>
              </w:rPr>
            </w:pP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本工程施工期间地表及地下水有组织的排放、降水费用（回灌费用），尤其是地下室结构、主体结构工程施工期间，应确保满足低于设计抗浮水位要求并满足地下室防水工程需要。地下室底板局部可能会受到地质勘探钻孔微承压水上冒的影响，应采取措施进行处理，施工排水、降水应确保周边建（构）筑物的安全。综合考虑施工期间除不可抗力原因外的气候条件造成的现场工程量的增加（如大雨造成的抽水台班等）及其他风险（如招标人提供的地质报告等相关资料可能存在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7" o:spt="201" type="#_x0000_t201" style="height:18pt;width:12.75pt;" o:ole="t" filled="f" o:preferrelative="t" stroked="f" coordsize="21600,21600">
                  <v:path/>
                  <v:fill on="f" focussize="0,0"/>
                  <v:stroke on="f"/>
                  <v:imagedata r:id="rId137" o:title=""/>
                  <o:lock v:ext="edit" aspectratio="t"/>
                  <w10:wrap type="none"/>
                  <w10:anchorlock/>
                </v:shape>
                <w:control r:id="rId136" w:name="CheckBox184" w:shapeid="_x0000_i1087"/>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14</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异地租赁费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若施工现场用地不能满足施工而需要异地租赁而引起的相关费用增加，包括场地租赁费（含用地手续的费用）、交通费，材料外场加工运输费等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8" o:spt="201" type="#_x0000_t201" style="height:18pt;width:12.75pt;" o:ole="t" filled="f" o:preferrelative="t" stroked="f" coordsize="21600,21600">
                  <v:path/>
                  <v:fill on="f" focussize="0,0"/>
                  <v:stroke on="f"/>
                  <v:imagedata r:id="rId139" o:title=""/>
                  <o:lock v:ext="edit" aspectratio="t"/>
                  <w10:wrap type="none"/>
                  <w10:anchorlock/>
                </v:shape>
                <w:control r:id="rId138" w:name="CheckBox184" w:shapeid="_x0000_i1088"/>
              </w:object>
            </w:r>
          </w:p>
        </w:tc>
        <w:tc>
          <w:tcPr>
            <w:tcW w:w="593" w:type="dxa"/>
            <w:noWrap w:val="0"/>
            <w:vAlign w:val="center"/>
          </w:tcPr>
          <w:p>
            <w:pPr>
              <w:spacing w:line="360" w:lineRule="auto"/>
              <w:jc w:val="left"/>
              <w:rPr>
                <w:rFonts w:ascii="宋体" w:hAnsi="宋体"/>
                <w:bCs/>
                <w:color w:val="auto"/>
                <w:sz w:val="20"/>
                <w:szCs w:val="20"/>
                <w:highlight w:val="none"/>
              </w:rPr>
            </w:pPr>
            <w:r>
              <w:rPr>
                <w:rFonts w:ascii="宋体" w:hAnsi="宋体"/>
                <w:bCs/>
                <w:color w:val="auto"/>
                <w:sz w:val="20"/>
                <w:szCs w:val="20"/>
                <w:highlight w:val="none"/>
              </w:rPr>
              <w:t>15</w:t>
            </w:r>
          </w:p>
        </w:tc>
        <w:tc>
          <w:tcPr>
            <w:tcW w:w="3763" w:type="dxa"/>
            <w:noWrap w:val="0"/>
            <w:vAlign w:val="center"/>
          </w:tcPr>
          <w:p>
            <w:pPr>
              <w:adjustRightInd w:val="0"/>
              <w:snapToGrid w:val="0"/>
              <w:jc w:val="left"/>
              <w:rPr>
                <w:rFonts w:ascii="宋体" w:hAnsi="宋体"/>
                <w:bCs/>
                <w:color w:val="auto"/>
                <w:sz w:val="20"/>
                <w:szCs w:val="20"/>
                <w:highlight w:val="none"/>
              </w:rPr>
            </w:pPr>
            <w:r>
              <w:rPr>
                <w:rFonts w:hint="eastAsia" w:ascii="宋体" w:hAnsi="宋体"/>
                <w:bCs/>
                <w:color w:val="auto"/>
                <w:sz w:val="20"/>
                <w:szCs w:val="20"/>
                <w:highlight w:val="none"/>
              </w:rPr>
              <w:t>拆除及垃圾外运费</w:t>
            </w:r>
          </w:p>
        </w:tc>
        <w:tc>
          <w:tcPr>
            <w:tcW w:w="4441" w:type="dxa"/>
            <w:noWrap w:val="0"/>
            <w:vAlign w:val="center"/>
          </w:tcPr>
          <w:p>
            <w:pPr>
              <w:adjustRightInd w:val="0"/>
              <w:snapToGrid w:val="0"/>
              <w:jc w:val="left"/>
              <w:rPr>
                <w:rFonts w:ascii="宋体" w:hAnsi="宋体"/>
                <w:bCs/>
                <w:color w:val="auto"/>
                <w:sz w:val="20"/>
                <w:szCs w:val="20"/>
                <w:highlight w:val="none"/>
              </w:rPr>
            </w:pPr>
            <w:r>
              <w:rPr>
                <w:rFonts w:hint="eastAsia" w:ascii="宋体" w:hAnsi="宋体"/>
                <w:bCs/>
                <w:color w:val="auto"/>
                <w:sz w:val="20"/>
                <w:szCs w:val="20"/>
                <w:highlight w:val="none"/>
              </w:rPr>
              <w:t>包括（但不限于）：本工程土建、安装工程施工中可能遇到基坑支护结构、孤石、地铁导墙、其他障碍（杂）物等必要的打凿费用；所有建筑垃圾的场内外清运费、装</w:t>
            </w:r>
            <w:r>
              <w:rPr>
                <w:rFonts w:hint="eastAsia" w:ascii="宋体" w:hAnsi="宋体"/>
                <w:color w:val="auto"/>
                <w:sz w:val="20"/>
                <w:szCs w:val="20"/>
                <w:highlight w:val="none"/>
              </w:rPr>
              <w:t>卸</w:t>
            </w:r>
            <w:r>
              <w:rPr>
                <w:rFonts w:hint="eastAsia" w:ascii="宋体" w:hAnsi="宋体"/>
                <w:bCs/>
                <w:color w:val="auto"/>
                <w:sz w:val="20"/>
                <w:szCs w:val="20"/>
                <w:highlight w:val="none"/>
              </w:rPr>
              <w:t>费、环保、弃置费、运输车辆管理费等一切相关费用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89" o:spt="201" type="#_x0000_t201" style="height:18pt;width:12.75pt;" o:ole="t" filled="f" o:preferrelative="t" stroked="f" coordsize="21600,21600">
                  <v:path/>
                  <v:fill on="f" focussize="0,0"/>
                  <v:stroke on="f"/>
                  <v:imagedata r:id="rId141" o:title=""/>
                  <o:lock v:ext="edit" aspectratio="t"/>
                  <w10:wrap type="none"/>
                  <w10:anchorlock/>
                </v:shape>
                <w:control r:id="rId140" w:name="CheckBox1103" w:shapeid="_x0000_i1089"/>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16</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边境作业措施费：禁区内施工作业、办证、协调、边境施工安全管理等费用</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0" o:spt="201" type="#_x0000_t201" style="height:18pt;width:12.75pt;" o:ole="t" filled="f" o:preferrelative="t" stroked="f" coordsize="21600,21600">
                  <v:path/>
                  <v:fill on="f" focussize="0,0"/>
                  <v:stroke on="f"/>
                  <v:imagedata r:id="rId143" o:title=""/>
                  <o:lock v:ext="edit" aspectratio="t"/>
                  <w10:wrap type="none"/>
                  <w10:anchorlock/>
                </v:shape>
                <w:control r:id="rId142" w:name="CheckBox1104" w:shapeid="_x0000_i1090"/>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17</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对地下管线、其他相邻建（构）物等的保护费</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1" o:spt="201" type="#_x0000_t201" style="height:18pt;width:12.75pt;" o:ole="t" filled="f" o:preferrelative="t" stroked="f" coordsize="21600,21600">
                  <v:path/>
                  <v:fill on="f" focussize="0,0"/>
                  <v:stroke on="f"/>
                  <v:imagedata r:id="rId145" o:title=""/>
                  <o:lock v:ext="edit" aspectratio="t"/>
                  <w10:wrap type="none"/>
                  <w10:anchorlock/>
                </v:shape>
                <w:control r:id="rId144" w:name="CheckBox1105" w:shapeid="_x0000_i1091"/>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18</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钢筋混凝土辅材费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现浇钢筋砼中所有固定位置的支撑钢材、双层钢筋用的“铁马”、地下室外墙模板（或其他部位）的紧固螺杆（不取出）、预埋管线表面铺钢筋网片等产生的费用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2" o:spt="201" type="#_x0000_t201" style="height:18pt;width:12.75pt;" o:ole="t" filled="f" o:preferrelative="t" stroked="f" coordsize="21600,21600">
                  <v:path/>
                  <v:fill on="f" focussize="0,0"/>
                  <v:stroke on="f"/>
                  <v:imagedata r:id="rId147" o:title=""/>
                  <o:lock v:ext="edit" aspectratio="t"/>
                  <w10:wrap type="none"/>
                  <w10:anchorlock/>
                </v:shape>
                <w:control r:id="rId146" w:name="CheckBox184" w:shapeid="_x0000_i1092"/>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19</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施工期间河堤防洪、防汛时发生的费用</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如使用的沙袋、砌墙等，以及有关主管部门规定的防洪防汛应急措施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3" o:spt="201" type="#_x0000_t201" style="height:18pt;width:12.75pt;" o:ole="t" filled="f" o:preferrelative="t" stroked="f" coordsize="21600,21600">
                  <v:path/>
                  <v:fill on="f" focussize="0,0"/>
                  <v:stroke on="f"/>
                  <v:imagedata r:id="rId149" o:title=""/>
                  <o:lock v:ext="edit" aspectratio="t"/>
                  <w10:wrap type="none"/>
                  <w10:anchorlock/>
                </v:shape>
                <w:control r:id="rId148" w:name="CheckBox184" w:shapeid="_x0000_i1093"/>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20</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与周边工程配合衔接处理费用</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本工程施工期间与周边所有建设项目的建筑、安装工程，可能发生的协调、配合等费用；与周边工程的衔接处理所发生的措施费用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4" o:spt="201" type="#_x0000_t201" style="height:18pt;width:12.75pt;" o:ole="t" filled="f" o:preferrelative="t" stroked="f" coordsize="21600,21600">
                  <v:path/>
                  <v:fill on="f" focussize="0,0"/>
                  <v:stroke on="f"/>
                  <v:imagedata r:id="rId151" o:title=""/>
                  <o:lock v:ext="edit" aspectratio="t"/>
                  <w10:wrap type="none"/>
                  <w10:anchorlock/>
                </v:shape>
                <w:control r:id="rId150" w:name="CheckBox184" w:shapeid="_x0000_i1094"/>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21</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资料费：包括（但不限于）承包人向发包人提交经确认的深化设计图纸和其他技术资料份（包括电子文件）</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5" o:spt="201" type="#_x0000_t201" style="height:18pt;width:12.75pt;" o:ole="t" filled="f" o:preferrelative="t" stroked="f" coordsize="21600,21600">
                  <v:path/>
                  <v:fill on="f" focussize="0,0"/>
                  <v:stroke on="f"/>
                  <v:imagedata r:id="rId153" o:title=""/>
                  <o:lock v:ext="edit" aspectratio="t"/>
                  <w10:wrap type="none"/>
                  <w10:anchorlock/>
                </v:shape>
                <w:control r:id="rId152" w:name="CheckBox184" w:shapeid="_x0000_i1095"/>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22</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本工程所需样板（间）制作所产生的费用（按合同通用条件及专用条件中规定由承包人制作的材料及操作工艺样板的一切费用，包括样板制作所需的材料、人工、机械等全部费用，同时还包括样板返工及拆除费用，结算时费用不作调整）</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6" o:spt="201" type="#_x0000_t201" style="height:18pt;width:12.75pt;" o:ole="t" filled="f" o:preferrelative="t" stroked="f" coordsize="21600,21600">
                  <v:path/>
                  <v:fill on="f" focussize="0,0"/>
                  <v:stroke on="f"/>
                  <v:imagedata r:id="rId155" o:title=""/>
                  <o:lock v:ext="edit" aspectratio="t"/>
                  <w10:wrap type="none"/>
                  <w10:anchorlock/>
                </v:shape>
                <w:control r:id="rId154" w:name="CheckBox184" w:shapeid="_x0000_i1096"/>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23</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根据招标人要求提供各种材料样板相关费用</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7" o:spt="201" type="#_x0000_t201" style="height:18pt;width:12.75pt;" o:ole="t" filled="f" o:preferrelative="t" stroked="f" coordsize="21600,21600">
                  <v:path/>
                  <v:fill on="f" focussize="0,0"/>
                  <v:stroke on="f"/>
                  <v:imagedata r:id="rId157" o:title=""/>
                  <o:lock v:ext="edit" aspectratio="t"/>
                  <w10:wrap type="none"/>
                  <w10:anchorlock/>
                </v:shape>
                <w:control r:id="rId156" w:name="CheckBox184" w:shapeid="_x0000_i1097"/>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24</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color w:val="auto"/>
                <w:sz w:val="20"/>
                <w:szCs w:val="20"/>
              </w:rPr>
              <w:t>承包范围内的深化设计造成的费用增加</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包含综合管线绘制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8" o:spt="201" type="#_x0000_t201" style="height:18pt;width:12.75pt;" o:ole="t" filled="f" o:preferrelative="t" stroked="f" coordsize="21600,21600">
                  <v:path/>
                  <v:fill on="f" focussize="0,0"/>
                  <v:stroke on="f"/>
                  <v:imagedata r:id="rId159" o:title=""/>
                  <o:lock v:ext="edit" aspectratio="t"/>
                  <w10:wrap type="none"/>
                  <w10:anchorlock/>
                </v:shape>
                <w:control r:id="rId158" w:name="CheckBox1112" w:shapeid="_x0000_i1098"/>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25</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color w:val="auto"/>
                <w:sz w:val="20"/>
                <w:szCs w:val="20"/>
              </w:rPr>
              <w:t>新设备（或入网）检测、测试、试验、调试直至通过验收送电</w:t>
            </w:r>
            <w:r>
              <w:rPr>
                <w:rFonts w:ascii="宋体" w:hAnsi="宋体"/>
                <w:color w:val="auto"/>
                <w:sz w:val="20"/>
                <w:szCs w:val="20"/>
              </w:rPr>
              <w:t>(包括供用电手续的办理直至正式送电)等相关费用</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099" o:spt="201" type="#_x0000_t201" style="height:18pt;width:12.75pt;" o:ole="t" filled="f" o:preferrelative="t" stroked="f" coordsize="21600,21600">
                  <v:path/>
                  <v:fill on="f" focussize="0,0"/>
                  <v:stroke on="f"/>
                  <v:imagedata r:id="rId161" o:title=""/>
                  <o:lock v:ext="edit" aspectratio="t"/>
                  <w10:wrap type="none"/>
                  <w10:anchorlock/>
                </v:shape>
                <w:control r:id="rId160" w:name="CheckBox184" w:shapeid="_x0000_i1099"/>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26</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施工期间、项目收尾阶段临时设施需拆除，并需要另外租用场地使用，由此发生的费用。</w:t>
            </w:r>
          </w:p>
        </w:tc>
        <w:tc>
          <w:tcPr>
            <w:tcW w:w="4441" w:type="dxa"/>
            <w:noWrap w:val="0"/>
            <w:vAlign w:val="center"/>
          </w:tcPr>
          <w:p>
            <w:pPr>
              <w:adjustRightInd w:val="0"/>
              <w:snapToGrid w:val="0"/>
              <w:jc w:val="left"/>
              <w:rPr>
                <w:rFonts w:ascii="宋体" w:hAnsi="宋体"/>
                <w:bCs/>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100" o:spt="201" type="#_x0000_t201" style="height:18pt;width:12.75pt;" o:ole="t" filled="f" o:preferrelative="t" stroked="f" coordsize="21600,21600">
                  <v:path/>
                  <v:fill on="f" focussize="0,0"/>
                  <v:stroke on="f"/>
                  <v:imagedata r:id="rId163" o:title=""/>
                  <o:lock v:ext="edit" aspectratio="t"/>
                  <w10:wrap type="none"/>
                  <w10:anchorlock/>
                </v:shape>
                <w:control r:id="rId162" w:name="CheckBox1114" w:shapeid="_x0000_i1100"/>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27</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招标人办公区后勤保障工作相关费用（备注：发包人和承包人办公区分别独立设置时选用）</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投标人应按招标文件要求提供招标人临时办公用房及办公区清洁卫生、保安、办公室花卉租赁服务，并在投标报价时充分考虑完全满足招标文件要求所需费用。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left"/>
              <w:rPr>
                <w:color w:val="auto"/>
              </w:rPr>
            </w:pPr>
            <w:r>
              <w:rPr>
                <w:rFonts w:ascii="宋体" w:hAnsi="宋体"/>
                <w:bCs/>
                <w:color w:val="auto"/>
                <w:sz w:val="20"/>
                <w:szCs w:val="20"/>
              </w:rPr>
              <w:object>
                <v:shape id="_x0000_i1101" o:spt="201" type="#_x0000_t201" style="height:18pt;width:12.75pt;" o:ole="t" filled="f" o:preferrelative="t" stroked="f" coordsize="21600,21600">
                  <v:path/>
                  <v:fill on="f" focussize="0,0"/>
                  <v:stroke on="f"/>
                  <v:imagedata r:id="rId165" o:title=""/>
                  <o:lock v:ext="edit" aspectratio="t"/>
                  <w10:wrap type="none"/>
                  <w10:anchorlock/>
                </v:shape>
                <w:control r:id="rId164" w:name="CheckBox1115" w:shapeid="_x0000_i1101"/>
              </w:object>
            </w:r>
          </w:p>
        </w:tc>
        <w:tc>
          <w:tcPr>
            <w:tcW w:w="593" w:type="dxa"/>
            <w:noWrap w:val="0"/>
            <w:vAlign w:val="center"/>
          </w:tcPr>
          <w:p>
            <w:pPr>
              <w:spacing w:line="360" w:lineRule="auto"/>
              <w:jc w:val="left"/>
              <w:rPr>
                <w:rFonts w:ascii="宋体" w:hAnsi="宋体"/>
                <w:bCs/>
                <w:color w:val="auto"/>
                <w:sz w:val="20"/>
                <w:szCs w:val="20"/>
              </w:rPr>
            </w:pPr>
            <w:r>
              <w:rPr>
                <w:rFonts w:ascii="宋体" w:hAnsi="宋体"/>
                <w:bCs/>
                <w:color w:val="auto"/>
                <w:sz w:val="20"/>
                <w:szCs w:val="20"/>
              </w:rPr>
              <w:t>28</w:t>
            </w:r>
          </w:p>
        </w:tc>
        <w:tc>
          <w:tcPr>
            <w:tcW w:w="3763"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联合调试费</w:t>
            </w:r>
          </w:p>
        </w:tc>
        <w:tc>
          <w:tcPr>
            <w:tcW w:w="4441" w:type="dxa"/>
            <w:noWrap w:val="0"/>
            <w:vAlign w:val="center"/>
          </w:tcPr>
          <w:p>
            <w:pPr>
              <w:adjustRightInd w:val="0"/>
              <w:snapToGrid w:val="0"/>
              <w:jc w:val="left"/>
              <w:rPr>
                <w:rFonts w:ascii="宋体" w:hAnsi="宋体"/>
                <w:bCs/>
                <w:color w:val="auto"/>
                <w:sz w:val="20"/>
                <w:szCs w:val="20"/>
              </w:rPr>
            </w:pPr>
            <w:r>
              <w:rPr>
                <w:rFonts w:hint="eastAsia" w:ascii="宋体" w:hAnsi="宋体"/>
                <w:bCs/>
                <w:color w:val="auto"/>
                <w:sz w:val="20"/>
                <w:szCs w:val="20"/>
              </w:rPr>
              <w:t>见附件二“</w:t>
            </w:r>
            <w:r>
              <w:rPr>
                <w:rFonts w:ascii="宋体" w:hAnsi="宋体"/>
                <w:bCs/>
                <w:color w:val="auto"/>
                <w:sz w:val="20"/>
                <w:szCs w:val="20"/>
              </w:rPr>
              <w:t>19.1、19.2”条款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center"/>
              <w:rPr>
                <w:color w:val="auto"/>
              </w:rPr>
            </w:pPr>
            <w:r>
              <w:rPr>
                <w:rFonts w:ascii="宋体" w:hAnsi="宋体"/>
                <w:bCs/>
                <w:color w:val="auto"/>
                <w:sz w:val="20"/>
                <w:szCs w:val="20"/>
              </w:rPr>
              <w:object>
                <v:shape id="_x0000_i1102" o:spt="201" type="#_x0000_t201" style="height:18pt;width:12.75pt;" o:ole="t" filled="f" o:preferrelative="t" stroked="f" coordsize="21600,21600">
                  <v:path/>
                  <v:fill on="f" focussize="0,0"/>
                  <v:stroke on="f"/>
                  <v:imagedata r:id="rId167" o:title=""/>
                  <o:lock v:ext="edit" aspectratio="t"/>
                  <w10:wrap type="none"/>
                  <w10:anchorlock/>
                </v:shape>
                <w:control r:id="rId166" w:name="CheckBox184" w:shapeid="_x0000_i1102"/>
              </w:object>
            </w:r>
          </w:p>
        </w:tc>
        <w:tc>
          <w:tcPr>
            <w:tcW w:w="593" w:type="dxa"/>
            <w:noWrap w:val="0"/>
            <w:vAlign w:val="center"/>
          </w:tcPr>
          <w:p>
            <w:pPr>
              <w:spacing w:line="360" w:lineRule="auto"/>
              <w:rPr>
                <w:rFonts w:ascii="宋体" w:hAnsi="宋体"/>
                <w:color w:val="auto"/>
                <w:sz w:val="20"/>
                <w:szCs w:val="20"/>
              </w:rPr>
            </w:pPr>
            <w:r>
              <w:rPr>
                <w:rFonts w:ascii="宋体" w:hAnsi="宋体"/>
                <w:color w:val="auto"/>
                <w:sz w:val="20"/>
                <w:szCs w:val="20"/>
              </w:rPr>
              <w:t>29</w:t>
            </w:r>
          </w:p>
        </w:tc>
        <w:tc>
          <w:tcPr>
            <w:tcW w:w="3763" w:type="dxa"/>
            <w:noWrap w:val="0"/>
            <w:vAlign w:val="center"/>
          </w:tcPr>
          <w:p>
            <w:pPr>
              <w:jc w:val="left"/>
              <w:textAlignment w:val="center"/>
              <w:rPr>
                <w:rFonts w:ascii="宋体" w:hAnsi="宋体"/>
                <w:color w:val="auto"/>
                <w:sz w:val="20"/>
                <w:szCs w:val="20"/>
              </w:rPr>
            </w:pPr>
            <w:r>
              <w:rPr>
                <w:rFonts w:hint="eastAsia" w:ascii="宋体" w:hAnsi="宋体"/>
                <w:color w:val="auto"/>
                <w:sz w:val="20"/>
                <w:szCs w:val="20"/>
              </w:rPr>
              <w:t>检测、检验、试验等费用</w:t>
            </w:r>
          </w:p>
        </w:tc>
        <w:tc>
          <w:tcPr>
            <w:tcW w:w="4441" w:type="dxa"/>
            <w:noWrap w:val="0"/>
            <w:vAlign w:val="center"/>
          </w:tcPr>
          <w:p>
            <w:pPr>
              <w:adjustRightInd w:val="0"/>
              <w:snapToGrid w:val="0"/>
              <w:jc w:val="left"/>
              <w:textAlignment w:val="center"/>
              <w:rPr>
                <w:rFonts w:ascii="宋体" w:hAnsi="宋体"/>
                <w:color w:val="auto"/>
                <w:sz w:val="20"/>
                <w:szCs w:val="20"/>
              </w:rPr>
            </w:pPr>
            <w:r>
              <w:rPr>
                <w:rFonts w:hint="eastAsia" w:ascii="宋体" w:hAnsi="宋体"/>
                <w:color w:val="auto"/>
                <w:sz w:val="20"/>
                <w:szCs w:val="20"/>
              </w:rPr>
              <w:t>投标人应负责在生产场地和施工现场对材料和工程的任何部分进行的复验、见证送检及竣工验收需要的所有检测、试验费用（包括消防验收、幕墙四性检测、淋水试验、铝合金窗三性检测、室内环境污染检测、防雷检测、节能验收必须的检测等、环保验收必须的检测）。</w:t>
            </w:r>
          </w:p>
          <w:p>
            <w:pPr>
              <w:adjustRightInd w:val="0"/>
              <w:snapToGrid w:val="0"/>
              <w:jc w:val="left"/>
              <w:rPr>
                <w:rFonts w:ascii="宋体" w:hAnsi="宋体"/>
                <w:color w:val="auto"/>
                <w:sz w:val="20"/>
                <w:szCs w:val="20"/>
              </w:rPr>
            </w:pPr>
            <w:r>
              <w:rPr>
                <w:rFonts w:hint="eastAsia" w:ascii="宋体" w:hAnsi="宋体"/>
                <w:color w:val="auto"/>
                <w:sz w:val="20"/>
                <w:szCs w:val="20"/>
              </w:rPr>
              <w:t>（基坑监测、桩基检测、钢结构第三方检测费、土壤氡浓度检测、桥梁检测由发包人另行委托）。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center"/>
              <w:rPr>
                <w:rFonts w:hAnsi="宋体"/>
                <w:color w:val="auto"/>
                <w:sz w:val="23"/>
                <w:szCs w:val="23"/>
              </w:rPr>
            </w:pPr>
            <w:r>
              <w:rPr>
                <w:rFonts w:ascii="宋体" w:hAnsi="宋体"/>
                <w:bCs/>
                <w:color w:val="auto"/>
                <w:sz w:val="20"/>
                <w:szCs w:val="20"/>
              </w:rPr>
              <w:object>
                <v:shape id="_x0000_i1103" o:spt="201" type="#_x0000_t201" style="height:18pt;width:12.75pt;" o:ole="t" filled="f" o:preferrelative="t" stroked="f" coordsize="21600,21600">
                  <v:path/>
                  <v:fill on="f" focussize="0,0"/>
                  <v:stroke on="f"/>
                  <v:imagedata r:id="rId169" o:title=""/>
                  <o:lock v:ext="edit" aspectratio="t"/>
                  <w10:wrap type="none"/>
                  <w10:anchorlock/>
                </v:shape>
                <w:control r:id="rId168" w:name="CheckBox1117" w:shapeid="_x0000_i1103"/>
              </w:object>
            </w:r>
          </w:p>
        </w:tc>
        <w:tc>
          <w:tcPr>
            <w:tcW w:w="593" w:type="dxa"/>
            <w:noWrap w:val="0"/>
            <w:vAlign w:val="center"/>
          </w:tcPr>
          <w:p>
            <w:pPr>
              <w:spacing w:line="360" w:lineRule="auto"/>
              <w:rPr>
                <w:rFonts w:ascii="宋体" w:hAnsi="宋体"/>
                <w:color w:val="auto"/>
                <w:sz w:val="20"/>
                <w:szCs w:val="20"/>
              </w:rPr>
            </w:pPr>
            <w:r>
              <w:rPr>
                <w:rFonts w:ascii="宋体" w:hAnsi="宋体"/>
                <w:color w:val="auto"/>
                <w:sz w:val="20"/>
                <w:szCs w:val="20"/>
              </w:rPr>
              <w:t>30</w:t>
            </w:r>
          </w:p>
        </w:tc>
        <w:tc>
          <w:tcPr>
            <w:tcW w:w="3763" w:type="dxa"/>
            <w:noWrap w:val="0"/>
            <w:vAlign w:val="center"/>
          </w:tcPr>
          <w:p>
            <w:pPr>
              <w:jc w:val="left"/>
              <w:textAlignment w:val="center"/>
              <w:rPr>
                <w:rFonts w:ascii="宋体" w:hAnsi="宋体"/>
                <w:color w:val="auto"/>
                <w:sz w:val="20"/>
                <w:szCs w:val="20"/>
              </w:rPr>
            </w:pPr>
            <w:r>
              <w:rPr>
                <w:rFonts w:hint="eastAsia" w:ascii="宋体" w:hAnsi="宋体"/>
                <w:color w:val="auto"/>
                <w:sz w:val="20"/>
                <w:szCs w:val="20"/>
              </w:rPr>
              <w:t>安全体验馆建设费用</w:t>
            </w:r>
          </w:p>
          <w:p>
            <w:pPr>
              <w:jc w:val="left"/>
              <w:textAlignment w:val="center"/>
              <w:rPr>
                <w:rFonts w:ascii="宋体" w:hAnsi="宋体"/>
                <w:color w:val="auto"/>
                <w:sz w:val="20"/>
                <w:szCs w:val="20"/>
              </w:rPr>
            </w:pPr>
            <w:r>
              <w:rPr>
                <w:rFonts w:ascii="宋体" w:hAnsi="宋体"/>
                <w:color w:val="auto"/>
                <w:sz w:val="20"/>
                <w:szCs w:val="20"/>
              </w:rPr>
              <w:t>(备注:招标部分的金额为人民币5亿元及以上的总承包工程可勾选；如项目分标段委托的，由招标人指定标段建设)</w:t>
            </w:r>
          </w:p>
        </w:tc>
        <w:tc>
          <w:tcPr>
            <w:tcW w:w="4441" w:type="dxa"/>
            <w:noWrap w:val="0"/>
            <w:vAlign w:val="center"/>
          </w:tcPr>
          <w:p>
            <w:pPr>
              <w:adjustRightInd w:val="0"/>
              <w:snapToGrid w:val="0"/>
              <w:jc w:val="left"/>
              <w:textAlignment w:val="center"/>
              <w:rPr>
                <w:rFonts w:ascii="宋体" w:hAnsi="宋体"/>
                <w:color w:val="auto"/>
                <w:sz w:val="20"/>
                <w:szCs w:val="20"/>
              </w:rPr>
            </w:pPr>
            <w:r>
              <w:rPr>
                <w:rFonts w:hint="eastAsia" w:ascii="宋体" w:hAnsi="宋体"/>
                <w:color w:val="auto"/>
                <w:sz w:val="20"/>
                <w:szCs w:val="20"/>
              </w:rPr>
              <w:t>投标人应按招标文件合同专用条件“6.1.8</w:t>
            </w:r>
            <w:r>
              <w:rPr>
                <w:rFonts w:ascii="宋体" w:hAnsi="宋体"/>
                <w:color w:val="auto"/>
                <w:sz w:val="20"/>
                <w:szCs w:val="20"/>
              </w:rPr>
              <w:t>”(如已勾选)的要求建设安全体验馆，并在投标报价时充分考虑完全满足招标文件要求所需的费用。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noWrap w:val="0"/>
            <w:vAlign w:val="center"/>
          </w:tcPr>
          <w:p>
            <w:pPr>
              <w:jc w:val="center"/>
              <w:rPr>
                <w:rFonts w:hAnsi="宋体"/>
                <w:color w:val="auto"/>
                <w:sz w:val="23"/>
                <w:szCs w:val="23"/>
              </w:rPr>
            </w:pPr>
            <w:r>
              <w:rPr>
                <w:rFonts w:ascii="宋体" w:hAnsi="宋体"/>
                <w:bCs/>
                <w:color w:val="auto"/>
                <w:sz w:val="20"/>
                <w:szCs w:val="20"/>
              </w:rPr>
              <w:object>
                <v:shape id="_x0000_i1104" o:spt="201" type="#_x0000_t201" style="height:18pt;width:12.75pt;" o:ole="t" filled="f" o:preferrelative="t" stroked="f" coordsize="21600,21600">
                  <v:path/>
                  <v:fill on="f" focussize="0,0"/>
                  <v:stroke on="f"/>
                  <v:imagedata r:id="rId171" o:title=""/>
                  <o:lock v:ext="edit" aspectratio="t"/>
                  <w10:wrap type="none"/>
                  <w10:anchorlock/>
                </v:shape>
                <w:control r:id="rId170" w:name="CheckBox1118" w:shapeid="_x0000_i1104"/>
              </w:object>
            </w:r>
          </w:p>
        </w:tc>
        <w:tc>
          <w:tcPr>
            <w:tcW w:w="593" w:type="dxa"/>
            <w:noWrap w:val="0"/>
            <w:vAlign w:val="center"/>
          </w:tcPr>
          <w:p>
            <w:pPr>
              <w:spacing w:line="360" w:lineRule="auto"/>
              <w:rPr>
                <w:rFonts w:ascii="宋体" w:hAnsi="宋体"/>
                <w:color w:val="auto"/>
                <w:sz w:val="20"/>
                <w:szCs w:val="20"/>
              </w:rPr>
            </w:pPr>
            <w:r>
              <w:rPr>
                <w:rFonts w:ascii="宋体" w:hAnsi="宋体"/>
                <w:bCs/>
                <w:color w:val="auto"/>
                <w:sz w:val="20"/>
                <w:szCs w:val="20"/>
              </w:rPr>
              <w:t>31</w:t>
            </w:r>
          </w:p>
        </w:tc>
        <w:tc>
          <w:tcPr>
            <w:tcW w:w="3763" w:type="dxa"/>
            <w:noWrap w:val="0"/>
            <w:vAlign w:val="center"/>
          </w:tcPr>
          <w:p>
            <w:pPr>
              <w:jc w:val="left"/>
              <w:textAlignment w:val="center"/>
              <w:rPr>
                <w:rFonts w:hint="eastAsia" w:ascii="宋体" w:hAnsi="宋体"/>
                <w:color w:val="auto"/>
                <w:sz w:val="20"/>
                <w:szCs w:val="20"/>
              </w:rPr>
            </w:pPr>
            <w:r>
              <w:rPr>
                <w:rFonts w:hint="eastAsia" w:ascii="宋体" w:hAnsi="宋体"/>
                <w:bCs/>
                <w:color w:val="auto"/>
                <w:sz w:val="20"/>
                <w:szCs w:val="20"/>
              </w:rPr>
              <w:t>其他</w:t>
            </w:r>
          </w:p>
        </w:tc>
        <w:tc>
          <w:tcPr>
            <w:tcW w:w="4441" w:type="dxa"/>
            <w:noWrap w:val="0"/>
            <w:vAlign w:val="center"/>
          </w:tcPr>
          <w:p>
            <w:pPr>
              <w:jc w:val="left"/>
              <w:rPr>
                <w:rFonts w:hint="eastAsia" w:ascii="宋体" w:hAnsi="宋体"/>
                <w:color w:val="auto"/>
                <w:sz w:val="20"/>
                <w:szCs w:val="20"/>
              </w:rPr>
            </w:pPr>
          </w:p>
        </w:tc>
      </w:tr>
    </w:tbl>
    <w:p>
      <w:pPr>
        <w:adjustRightInd w:val="0"/>
        <w:snapToGrid w:val="0"/>
        <w:ind w:left="420"/>
        <w:jc w:val="left"/>
        <w:rPr>
          <w:bCs/>
          <w:color w:val="auto"/>
          <w:sz w:val="20"/>
          <w:szCs w:val="20"/>
        </w:rPr>
      </w:pPr>
      <w:r>
        <w:rPr>
          <w:rFonts w:hint="eastAsia"/>
          <w:bCs/>
          <w:color w:val="auto"/>
          <w:sz w:val="20"/>
          <w:szCs w:val="20"/>
        </w:rPr>
        <w:t>注：以上条款根据工程实际情况可选用；另有其他项目的，可增列项目或列入“其他”栏中。</w:t>
      </w:r>
    </w:p>
    <w:p>
      <w:pPr>
        <w:adjustRightInd w:val="0"/>
        <w:snapToGrid w:val="0"/>
        <w:jc w:val="left"/>
        <w:rPr>
          <w:rFonts w:ascii="宋体" w:hAnsi="宋体"/>
          <w:color w:val="auto"/>
          <w:sz w:val="20"/>
          <w:szCs w:val="20"/>
        </w:rPr>
        <w:sectPr>
          <w:footerReference r:id="rId3" w:type="default"/>
          <w:pgSz w:w="11907" w:h="16840"/>
          <w:pgMar w:top="1418" w:right="1418" w:bottom="1418" w:left="1418" w:header="851" w:footer="992" w:gutter="0"/>
          <w:pgNumType w:start="1"/>
          <w:cols w:space="720" w:num="1"/>
          <w:docGrid w:linePitch="312" w:charSpace="0"/>
        </w:sectPr>
      </w:pPr>
      <w:r>
        <w:rPr>
          <w:i/>
          <w:iCs/>
          <w:color w:val="auto"/>
          <w:sz w:val="20"/>
          <w:szCs w:val="20"/>
          <w:bdr w:val="single" w:color="auto" w:sz="4" w:space="0"/>
        </w:rPr>
        <w:t xml:space="preserve"> [</w:t>
      </w:r>
      <w:r>
        <w:rPr>
          <w:rFonts w:hint="eastAsia"/>
          <w:i/>
          <w:iCs/>
          <w:color w:val="auto"/>
          <w:sz w:val="20"/>
          <w:szCs w:val="20"/>
          <w:bdr w:val="single" w:color="auto" w:sz="4" w:space="0"/>
        </w:rPr>
        <w:t>备注：措施项目为编制招标文件时重点分析内容，项目组应根据项目实际情况调整措施费的项目内容，本表可放入第四卷的工程量</w:t>
      </w:r>
    </w:p>
    <w:p>
      <w:pPr>
        <w:rPr>
          <w:rFonts w:ascii="仿宋" w:hAnsi="仿宋" w:eastAsia="仿宋"/>
          <w:color w:val="auto"/>
          <w:sz w:val="31"/>
          <w:szCs w:val="31"/>
        </w:rPr>
      </w:pPr>
    </w:p>
    <w:p>
      <w:pPr>
        <w:widowControl/>
        <w:jc w:val="left"/>
        <w:rPr>
          <w:rFonts w:ascii="仿宋" w:hAnsi="仿宋" w:eastAsia="仿宋"/>
          <w:color w:val="auto"/>
          <w:sz w:val="31"/>
          <w:szCs w:val="31"/>
        </w:rPr>
      </w:pPr>
      <w:r>
        <w:rPr>
          <w:rFonts w:ascii="仿宋" w:hAnsi="仿宋" w:eastAsia="仿宋"/>
          <w:color w:val="auto"/>
          <w:sz w:val="31"/>
          <w:szCs w:val="31"/>
        </w:rPr>
        <w:t>附件3：</w:t>
      </w:r>
    </w:p>
    <w:p>
      <w:pPr>
        <w:jc w:val="center"/>
        <w:rPr>
          <w:color w:val="auto"/>
        </w:rPr>
      </w:pPr>
      <w:r>
        <w:rPr>
          <w:rFonts w:ascii="仿宋" w:hAnsi="仿宋" w:eastAsia="仿宋"/>
          <w:b/>
          <w:color w:val="auto"/>
          <w:sz w:val="32"/>
          <w:szCs w:val="32"/>
        </w:rPr>
        <w:t>投标报价书</w:t>
      </w:r>
    </w:p>
    <w:tbl>
      <w:tblPr>
        <w:tblStyle w:val="40"/>
        <w:tblW w:w="9671" w:type="dxa"/>
        <w:jc w:val="center"/>
        <w:tblLayout w:type="autofit"/>
        <w:tblCellMar>
          <w:top w:w="0" w:type="dxa"/>
          <w:left w:w="108" w:type="dxa"/>
          <w:bottom w:w="0" w:type="dxa"/>
          <w:right w:w="108" w:type="dxa"/>
        </w:tblCellMar>
      </w:tblPr>
      <w:tblGrid>
        <w:gridCol w:w="576"/>
        <w:gridCol w:w="6201"/>
        <w:gridCol w:w="1483"/>
        <w:gridCol w:w="1411"/>
      </w:tblGrid>
      <w:tr>
        <w:tblPrEx>
          <w:tblCellMar>
            <w:top w:w="0" w:type="dxa"/>
            <w:left w:w="108" w:type="dxa"/>
            <w:bottom w:w="0" w:type="dxa"/>
            <w:right w:w="108" w:type="dxa"/>
          </w:tblCellMar>
        </w:tblPrEx>
        <w:trPr>
          <w:trHeight w:val="935"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color w:val="auto"/>
                <w:sz w:val="24"/>
                <w:szCs w:val="24"/>
              </w:rPr>
            </w:pPr>
            <w:r>
              <w:rPr>
                <w:rFonts w:ascii="仿宋" w:hAnsi="仿宋" w:eastAsia="仿宋"/>
                <w:b/>
                <w:color w:val="auto"/>
                <w:sz w:val="24"/>
                <w:szCs w:val="24"/>
              </w:rPr>
              <w:t>编号</w:t>
            </w:r>
          </w:p>
        </w:tc>
        <w:tc>
          <w:tcPr>
            <w:tcW w:w="6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color w:val="auto"/>
                <w:sz w:val="24"/>
                <w:szCs w:val="24"/>
              </w:rPr>
            </w:pPr>
            <w:r>
              <w:rPr>
                <w:rFonts w:ascii="仿宋" w:hAnsi="仿宋" w:eastAsia="仿宋"/>
                <w:b/>
                <w:color w:val="auto"/>
                <w:sz w:val="24"/>
                <w:szCs w:val="24"/>
              </w:rPr>
              <w:t>工程名称</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color w:val="auto"/>
                <w:sz w:val="24"/>
                <w:szCs w:val="24"/>
              </w:rPr>
            </w:pPr>
            <w:r>
              <w:rPr>
                <w:rFonts w:ascii="仿宋" w:hAnsi="仿宋" w:eastAsia="仿宋"/>
                <w:b/>
                <w:color w:val="auto"/>
                <w:sz w:val="24"/>
                <w:szCs w:val="24"/>
              </w:rPr>
              <w:t>上限价（元）</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b/>
                <w:color w:val="auto"/>
                <w:sz w:val="24"/>
                <w:szCs w:val="24"/>
              </w:rPr>
            </w:pPr>
            <w:r>
              <w:rPr>
                <w:rFonts w:ascii="仿宋" w:hAnsi="仿宋" w:eastAsia="仿宋"/>
                <w:b/>
                <w:color w:val="auto"/>
                <w:sz w:val="24"/>
                <w:szCs w:val="24"/>
              </w:rPr>
              <w:t>报价（元）</w:t>
            </w:r>
          </w:p>
        </w:tc>
      </w:tr>
      <w:tr>
        <w:tblPrEx>
          <w:tblCellMar>
            <w:top w:w="0" w:type="dxa"/>
            <w:left w:w="108" w:type="dxa"/>
            <w:bottom w:w="0" w:type="dxa"/>
            <w:right w:w="108" w:type="dxa"/>
          </w:tblCellMar>
        </w:tblPrEx>
        <w:trPr>
          <w:trHeight w:val="6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1</w:t>
            </w:r>
          </w:p>
        </w:tc>
        <w:tc>
          <w:tcPr>
            <w:tcW w:w="6202"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360" w:lineRule="auto"/>
              <w:ind w:firstLine="240"/>
              <w:jc w:val="left"/>
              <w:rPr>
                <w:color w:val="auto"/>
              </w:rPr>
            </w:pPr>
            <w:r>
              <w:rPr>
                <w:rFonts w:ascii="仿宋" w:hAnsi="仿宋" w:eastAsia="仿宋" w:cs="仿宋"/>
                <w:bCs/>
                <w:color w:val="auto"/>
                <w:kern w:val="0"/>
                <w:sz w:val="24"/>
                <w:szCs w:val="24"/>
              </w:rPr>
              <w:t>哈尔滨工业大学深圳校区扩建工程项目高层次人才科研楼</w:t>
            </w:r>
            <w:r>
              <w:rPr>
                <w:rFonts w:ascii="仿宋" w:hAnsi="仿宋" w:eastAsia="仿宋" w:cs="仿宋"/>
                <w:bCs/>
                <w:color w:val="auto"/>
                <w:kern w:val="0"/>
                <w:sz w:val="24"/>
                <w:szCs w:val="24"/>
                <w:lang w:val="en-US" w:eastAsia="zh-CN"/>
              </w:rPr>
              <w:t>幕墙</w:t>
            </w:r>
            <w:r>
              <w:rPr>
                <w:rFonts w:ascii="仿宋" w:hAnsi="仿宋" w:eastAsia="仿宋" w:cs="仿宋"/>
                <w:bCs/>
                <w:color w:val="auto"/>
                <w:kern w:val="0"/>
                <w:sz w:val="24"/>
                <w:szCs w:val="24"/>
              </w:rPr>
              <w:t>工程</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68"/>
              </w:tabs>
              <w:jc w:val="center"/>
              <w:rPr>
                <w:rFonts w:ascii="仿宋" w:hAnsi="仿宋" w:eastAsia="仿宋"/>
                <w:color w:val="auto"/>
                <w:sz w:val="24"/>
                <w:szCs w:val="24"/>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623" w:hRule="atLeast"/>
          <w:jc w:val="center"/>
        </w:trPr>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1.1</w:t>
            </w:r>
          </w:p>
        </w:tc>
        <w:tc>
          <w:tcPr>
            <w:tcW w:w="6202"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360" w:lineRule="auto"/>
              <w:jc w:val="center"/>
              <w:rPr>
                <w:rFonts w:ascii="仿宋" w:hAnsi="仿宋" w:eastAsia="仿宋"/>
                <w:color w:val="auto"/>
                <w:kern w:val="0"/>
                <w:sz w:val="24"/>
                <w:szCs w:val="24"/>
              </w:rPr>
            </w:pPr>
            <w:r>
              <w:rPr>
                <w:rFonts w:ascii="仿宋" w:hAnsi="仿宋" w:eastAsia="仿宋"/>
                <w:color w:val="auto"/>
                <w:kern w:val="0"/>
                <w:sz w:val="24"/>
                <w:szCs w:val="24"/>
              </w:rPr>
              <w:t>不可竞争费（暂列金额+安全文明施工措施费）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highlight w:val="whit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587" w:hRule="atLeast"/>
          <w:jc w:val="center"/>
        </w:trPr>
        <w:tc>
          <w:tcPr>
            <w:tcW w:w="5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r>
              <w:rPr>
                <w:rFonts w:ascii="仿宋" w:hAnsi="仿宋" w:eastAsia="仿宋"/>
                <w:color w:val="auto"/>
                <w:sz w:val="24"/>
                <w:szCs w:val="24"/>
              </w:rPr>
              <w:t>其中</w:t>
            </w:r>
          </w:p>
        </w:tc>
        <w:tc>
          <w:tcPr>
            <w:tcW w:w="6202"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360" w:lineRule="auto"/>
              <w:jc w:val="center"/>
              <w:rPr>
                <w:rFonts w:ascii="仿宋" w:hAnsi="仿宋" w:eastAsia="仿宋"/>
                <w:color w:val="auto"/>
                <w:kern w:val="0"/>
                <w:sz w:val="24"/>
                <w:szCs w:val="24"/>
              </w:rPr>
            </w:pPr>
            <w:r>
              <w:rPr>
                <w:rFonts w:ascii="仿宋" w:hAnsi="仿宋" w:eastAsia="仿宋"/>
                <w:color w:val="auto"/>
                <w:kern w:val="0"/>
                <w:sz w:val="24"/>
                <w:szCs w:val="24"/>
              </w:rPr>
              <w:t>暂列金额</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highlight w:val="whit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537" w:hRule="atLeast"/>
          <w:jc w:val="center"/>
        </w:trPr>
        <w:tc>
          <w:tcPr>
            <w:tcW w:w="5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p>
        </w:tc>
        <w:tc>
          <w:tcPr>
            <w:tcW w:w="6202" w:type="dxa"/>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360" w:lineRule="auto"/>
              <w:jc w:val="center"/>
              <w:rPr>
                <w:rFonts w:ascii="仿宋" w:hAnsi="仿宋" w:eastAsia="仿宋"/>
                <w:color w:val="auto"/>
                <w:kern w:val="0"/>
                <w:sz w:val="24"/>
                <w:szCs w:val="24"/>
              </w:rPr>
            </w:pPr>
            <w:r>
              <w:rPr>
                <w:rFonts w:ascii="仿宋" w:hAnsi="仿宋" w:eastAsia="仿宋"/>
                <w:color w:val="auto"/>
                <w:kern w:val="0"/>
                <w:sz w:val="24"/>
                <w:szCs w:val="24"/>
              </w:rPr>
              <w:t>安全文明施工措施费</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highlight w:val="whit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olor w:val="auto"/>
                <w:sz w:val="24"/>
                <w:szCs w:val="24"/>
              </w:rPr>
            </w:pPr>
          </w:p>
        </w:tc>
      </w:tr>
      <w:tr>
        <w:tblPrEx>
          <w:tblCellMar>
            <w:top w:w="0" w:type="dxa"/>
            <w:left w:w="108" w:type="dxa"/>
            <w:bottom w:w="0" w:type="dxa"/>
            <w:right w:w="108" w:type="dxa"/>
          </w:tblCellMar>
        </w:tblPrEx>
        <w:trPr>
          <w:trHeight w:val="2767" w:hRule="atLeast"/>
          <w:jc w:val="center"/>
        </w:trPr>
        <w:tc>
          <w:tcPr>
            <w:tcW w:w="9670" w:type="dxa"/>
            <w:gridSpan w:val="4"/>
            <w:tcBorders>
              <w:top w:val="single" w:color="000000" w:sz="4" w:space="0"/>
              <w:left w:val="single" w:color="000000" w:sz="4" w:space="0"/>
              <w:bottom w:val="single" w:color="000000" w:sz="4" w:space="0"/>
              <w:right w:val="single" w:color="000000" w:sz="4" w:space="0"/>
            </w:tcBorders>
            <w:shd w:val="clear" w:color="auto" w:fill="auto"/>
          </w:tcPr>
          <w:p>
            <w:pPr>
              <w:snapToGrid w:val="0"/>
              <w:spacing w:line="360" w:lineRule="auto"/>
              <w:rPr>
                <w:rFonts w:ascii="仿宋" w:hAnsi="仿宋" w:eastAsia="仿宋"/>
                <w:b/>
                <w:color w:val="auto"/>
                <w:sz w:val="24"/>
                <w:szCs w:val="24"/>
              </w:rPr>
            </w:pPr>
            <w:r>
              <w:rPr>
                <w:rFonts w:ascii="仿宋" w:hAnsi="仿宋" w:eastAsia="仿宋"/>
                <w:b/>
                <w:color w:val="auto"/>
                <w:sz w:val="24"/>
                <w:szCs w:val="24"/>
              </w:rPr>
              <w:t>本次服务具体要求：</w:t>
            </w:r>
          </w:p>
          <w:p>
            <w:pPr>
              <w:pStyle w:val="155"/>
              <w:numPr>
                <w:ilvl w:val="0"/>
                <w:numId w:val="4"/>
              </w:numPr>
              <w:snapToGrid w:val="0"/>
              <w:spacing w:line="360" w:lineRule="auto"/>
              <w:ind w:firstLine="482"/>
              <w:jc w:val="left"/>
              <w:rPr>
                <w:color w:val="auto"/>
              </w:rPr>
            </w:pPr>
            <w:r>
              <w:rPr>
                <w:rFonts w:ascii="仿宋" w:hAnsi="仿宋" w:eastAsia="仿宋"/>
                <w:b/>
                <w:bCs/>
                <w:color w:val="auto"/>
                <w:sz w:val="24"/>
                <w:szCs w:val="24"/>
                <w:shd w:val="clear" w:fill="FFFFFF"/>
              </w:rPr>
              <w:t>工期要求</w:t>
            </w:r>
            <w:r>
              <w:rPr>
                <w:rFonts w:ascii="仿宋" w:hAnsi="仿宋" w:eastAsia="仿宋"/>
                <w:color w:val="auto"/>
                <w:sz w:val="24"/>
                <w:szCs w:val="24"/>
                <w:shd w:val="clear" w:fill="FFFFFF"/>
              </w:rPr>
              <w:t>：本工程</w:t>
            </w:r>
            <w:r>
              <w:rPr>
                <w:rFonts w:ascii="仿宋" w:hAnsi="仿宋" w:eastAsia="仿宋"/>
                <w:color w:val="auto"/>
                <w:sz w:val="24"/>
                <w:szCs w:val="24"/>
                <w:shd w:val="clear" w:fill="FFFFFF"/>
                <w:lang w:val="en-US" w:eastAsia="zh-CN"/>
              </w:rPr>
              <w:t>总工期为80日历天，</w:t>
            </w:r>
            <w:r>
              <w:rPr>
                <w:rFonts w:ascii="宋体" w:hAnsi="宋体" w:eastAsia="仿宋" w:cs="宋体"/>
                <w:bCs/>
                <w:color w:val="auto"/>
                <w:sz w:val="24"/>
                <w:szCs w:val="21"/>
                <w:highlight w:val="white"/>
                <w:lang w:val="en-US" w:eastAsia="zh-CN"/>
              </w:rPr>
              <w:t>如因承包人原因</w:t>
            </w:r>
            <w:r>
              <w:rPr>
                <w:rFonts w:ascii="仿宋" w:hAnsi="仿宋" w:eastAsia="仿宋"/>
                <w:bCs/>
                <w:color w:val="auto"/>
                <w:sz w:val="24"/>
                <w:szCs w:val="24"/>
                <w:highlight w:val="white"/>
                <w:lang w:val="en-US" w:eastAsia="zh-CN"/>
              </w:rPr>
              <w:t>未能按期完成，拖期违约罚款0.5万元/日历天，总罚金不超过合同额的5%。</w:t>
            </w:r>
          </w:p>
          <w:p>
            <w:pPr>
              <w:pStyle w:val="155"/>
              <w:snapToGrid w:val="0"/>
              <w:spacing w:line="360" w:lineRule="auto"/>
              <w:ind w:firstLine="480"/>
              <w:rPr>
                <w:color w:val="auto"/>
              </w:rPr>
            </w:pPr>
            <w:r>
              <w:rPr>
                <w:rFonts w:ascii="仿宋" w:hAnsi="仿宋" w:eastAsia="仿宋"/>
                <w:color w:val="auto"/>
                <w:sz w:val="24"/>
                <w:szCs w:val="24"/>
              </w:rPr>
              <w:t>2、</w:t>
            </w:r>
            <w:r>
              <w:rPr>
                <w:rFonts w:ascii="仿宋" w:hAnsi="仿宋" w:eastAsia="仿宋"/>
                <w:b/>
                <w:bCs/>
                <w:color w:val="auto"/>
                <w:sz w:val="24"/>
                <w:szCs w:val="24"/>
              </w:rPr>
              <w:t>具体工作内容包括但不限于</w:t>
            </w:r>
            <w:r>
              <w:rPr>
                <w:rFonts w:ascii="仿宋" w:hAnsi="仿宋" w:eastAsia="仿宋"/>
                <w:color w:val="auto"/>
                <w:sz w:val="24"/>
                <w:szCs w:val="24"/>
              </w:rPr>
              <w:t>：负责完成</w:t>
            </w:r>
            <w:r>
              <w:rPr>
                <w:rFonts w:ascii="仿宋" w:hAnsi="仿宋" w:eastAsia="仿宋" w:cs="仿宋"/>
                <w:bCs/>
                <w:color w:val="auto"/>
                <w:sz w:val="24"/>
                <w:szCs w:val="24"/>
              </w:rPr>
              <w:t>本工程图纸深化设计以及</w:t>
            </w:r>
            <w:r>
              <w:rPr>
                <w:rFonts w:ascii="仿宋" w:hAnsi="仿宋" w:eastAsia="仿宋" w:cs="仿宋"/>
                <w:bCs/>
                <w:color w:val="auto"/>
                <w:sz w:val="24"/>
                <w:szCs w:val="24"/>
                <w:lang w:val="en-US" w:eastAsia="zh-CN"/>
              </w:rPr>
              <w:t>外立面装饰铝板线条及一层、二层外立面</w:t>
            </w:r>
            <w:r>
              <w:rPr>
                <w:rFonts w:hint="eastAsia" w:ascii="仿宋" w:hAnsi="仿宋" w:eastAsia="仿宋" w:cs="仿宋"/>
                <w:bCs/>
                <w:color w:val="auto"/>
                <w:sz w:val="24"/>
                <w:lang w:val="en-US" w:eastAsia="zh-CN"/>
              </w:rPr>
              <w:t>陶土砖</w:t>
            </w:r>
            <w:r>
              <w:rPr>
                <w:rFonts w:ascii="仿宋" w:hAnsi="仿宋" w:eastAsia="仿宋" w:cs="仿宋"/>
                <w:bCs/>
                <w:color w:val="auto"/>
                <w:sz w:val="24"/>
                <w:szCs w:val="24"/>
                <w:lang w:val="en-US" w:eastAsia="zh-CN"/>
              </w:rPr>
              <w:t>幕墙施工</w:t>
            </w:r>
            <w:r>
              <w:rPr>
                <w:rFonts w:hint="eastAsia" w:ascii="仿宋" w:hAnsi="仿宋" w:eastAsia="仿宋" w:cs="仿宋"/>
                <w:bCs/>
                <w:color w:val="auto"/>
                <w:sz w:val="24"/>
                <w:szCs w:val="24"/>
                <w:lang w:val="en-US" w:eastAsia="zh-CN"/>
              </w:rPr>
              <w:t>（</w:t>
            </w:r>
            <w:r>
              <w:rPr>
                <w:rFonts w:hint="eastAsia" w:ascii="仿宋" w:hAnsi="仿宋" w:eastAsia="仿宋" w:cs="仿宋"/>
                <w:bCs/>
                <w:color w:val="auto"/>
                <w:sz w:val="24"/>
                <w:lang w:val="en-US" w:eastAsia="zh-CN"/>
              </w:rPr>
              <w:t>面积约2500平方米</w:t>
            </w:r>
            <w:r>
              <w:rPr>
                <w:rFonts w:hint="eastAsia" w:ascii="仿宋" w:hAnsi="仿宋" w:eastAsia="仿宋" w:cs="仿宋"/>
                <w:bCs/>
                <w:color w:val="auto"/>
                <w:sz w:val="24"/>
                <w:szCs w:val="24"/>
                <w:lang w:val="en-US" w:eastAsia="zh-CN"/>
              </w:rPr>
              <w:t>）</w:t>
            </w:r>
            <w:r>
              <w:rPr>
                <w:rFonts w:ascii="仿宋" w:hAnsi="仿宋" w:eastAsia="仿宋" w:cs="仿宋"/>
                <w:bCs/>
                <w:color w:val="auto"/>
                <w:sz w:val="24"/>
                <w:szCs w:val="24"/>
              </w:rPr>
              <w:t>及保修期服务等，达到竣工验收移交标准</w:t>
            </w:r>
            <w:r>
              <w:rPr>
                <w:rFonts w:ascii="仿宋" w:hAnsi="仿宋" w:eastAsia="仿宋"/>
                <w:color w:val="auto"/>
                <w:sz w:val="24"/>
                <w:szCs w:val="24"/>
              </w:rPr>
              <w:t>。</w:t>
            </w:r>
          </w:p>
          <w:p>
            <w:pPr>
              <w:pStyle w:val="155"/>
              <w:numPr>
                <w:ilvl w:val="0"/>
                <w:numId w:val="5"/>
              </w:numPr>
              <w:snapToGrid w:val="0"/>
              <w:spacing w:line="360" w:lineRule="auto"/>
              <w:ind w:firstLine="480"/>
              <w:jc w:val="left"/>
              <w:rPr>
                <w:color w:val="auto"/>
              </w:rPr>
            </w:pPr>
            <w:r>
              <w:rPr>
                <w:rFonts w:ascii="仿宋" w:hAnsi="仿宋" w:eastAsia="仿宋"/>
                <w:b/>
                <w:bCs/>
                <w:color w:val="auto"/>
                <w:sz w:val="24"/>
                <w:szCs w:val="24"/>
              </w:rPr>
              <w:t>质量要求</w:t>
            </w:r>
            <w:r>
              <w:rPr>
                <w:rFonts w:ascii="仿宋" w:hAnsi="仿宋" w:eastAsia="仿宋"/>
                <w:color w:val="auto"/>
                <w:sz w:val="24"/>
                <w:szCs w:val="24"/>
              </w:rPr>
              <w:t>：</w:t>
            </w:r>
            <w:r>
              <w:rPr>
                <w:rFonts w:ascii="仿宋" w:hAnsi="仿宋" w:eastAsia="仿宋"/>
                <w:bCs/>
                <w:color w:val="auto"/>
                <w:sz w:val="24"/>
                <w:szCs w:val="24"/>
              </w:rPr>
              <w:t>合格，同时满足招标人已公开发布的工务署“技术标准、图集、工艺指引”等标准</w:t>
            </w:r>
            <w:r>
              <w:rPr>
                <w:rFonts w:ascii="仿宋" w:hAnsi="仿宋" w:eastAsia="仿宋"/>
                <w:color w:val="auto"/>
                <w:sz w:val="24"/>
                <w:szCs w:val="24"/>
                <w:shd w:val="clear" w:fill="FFFFFF"/>
              </w:rPr>
              <w:t>。</w:t>
            </w:r>
          </w:p>
          <w:p>
            <w:pPr>
              <w:pStyle w:val="155"/>
              <w:numPr>
                <w:ilvl w:val="0"/>
                <w:numId w:val="5"/>
              </w:numPr>
              <w:snapToGrid w:val="0"/>
              <w:spacing w:line="360" w:lineRule="auto"/>
              <w:ind w:firstLine="482"/>
              <w:jc w:val="left"/>
              <w:rPr>
                <w:rFonts w:ascii="仿宋" w:hAnsi="仿宋" w:eastAsia="仿宋"/>
                <w:b/>
                <w:bCs/>
                <w:color w:val="auto"/>
                <w:sz w:val="24"/>
                <w:szCs w:val="24"/>
              </w:rPr>
            </w:pPr>
            <w:r>
              <w:rPr>
                <w:rFonts w:ascii="仿宋" w:hAnsi="仿宋" w:eastAsia="仿宋"/>
                <w:b/>
                <w:bCs/>
                <w:color w:val="auto"/>
                <w:sz w:val="24"/>
                <w:szCs w:val="24"/>
              </w:rPr>
              <w:t>说明</w:t>
            </w:r>
          </w:p>
          <w:p>
            <w:pPr>
              <w:pStyle w:val="155"/>
              <w:snapToGrid w:val="0"/>
              <w:spacing w:line="360" w:lineRule="auto"/>
              <w:ind w:firstLine="480"/>
              <w:rPr>
                <w:rFonts w:ascii="仿宋" w:hAnsi="仿宋" w:eastAsia="仿宋" w:cs="宋体"/>
                <w:color w:val="auto"/>
                <w:kern w:val="0"/>
                <w:sz w:val="24"/>
                <w:szCs w:val="24"/>
              </w:rPr>
            </w:pPr>
            <w:r>
              <w:rPr>
                <w:rFonts w:ascii="仿宋" w:hAnsi="仿宋" w:eastAsia="仿宋"/>
                <w:color w:val="auto"/>
                <w:sz w:val="24"/>
                <w:szCs w:val="24"/>
              </w:rPr>
              <w:t>（1）</w:t>
            </w:r>
            <w:r>
              <w:rPr>
                <w:rFonts w:ascii="仿宋" w:hAnsi="仿宋" w:eastAsia="仿宋" w:cs="仿宋"/>
                <w:color w:val="auto"/>
                <w:kern w:val="0"/>
                <w:sz w:val="24"/>
                <w:szCs w:val="24"/>
              </w:rPr>
              <w:t>根据《深圳市建筑工务署小型工程简易招标管理办法(2018)》及《深圳市2021—2022年政府集中采购目录及限额标准》（深财购〔2020〕</w:t>
            </w:r>
            <w:r>
              <w:rPr>
                <w:rFonts w:hint="eastAsia" w:ascii="仿宋" w:hAnsi="仿宋" w:eastAsia="仿宋" w:cs="仿宋"/>
                <w:color w:val="auto"/>
                <w:kern w:val="0"/>
                <w:sz w:val="24"/>
                <w:szCs w:val="24"/>
                <w:lang w:val="en-US" w:eastAsia="zh-CN"/>
              </w:rPr>
              <w:t>60</w:t>
            </w:r>
            <w:r>
              <w:rPr>
                <w:rFonts w:ascii="仿宋" w:hAnsi="仿宋" w:eastAsia="仿宋" w:cs="仿宋"/>
                <w:color w:val="auto"/>
                <w:kern w:val="0"/>
                <w:sz w:val="24"/>
                <w:szCs w:val="24"/>
              </w:rPr>
              <w:t>号）的有关规定，工程类项目为400万元（含）以下，可采用小型简易招标。</w:t>
            </w:r>
          </w:p>
          <w:p>
            <w:pPr>
              <w:pStyle w:val="155"/>
              <w:snapToGrid w:val="0"/>
              <w:spacing w:line="360" w:lineRule="auto"/>
              <w:ind w:firstLine="480"/>
              <w:rPr>
                <w:rFonts w:ascii="仿宋" w:hAnsi="仿宋" w:eastAsia="仿宋" w:cs="宋体"/>
                <w:color w:val="auto"/>
                <w:kern w:val="0"/>
                <w:sz w:val="24"/>
                <w:szCs w:val="24"/>
              </w:rPr>
            </w:pPr>
            <w:r>
              <w:rPr>
                <w:rFonts w:ascii="仿宋" w:hAnsi="仿宋" w:eastAsia="仿宋" w:cs="宋体"/>
                <w:color w:val="auto"/>
                <w:kern w:val="0"/>
                <w:sz w:val="24"/>
                <w:szCs w:val="24"/>
              </w:rPr>
              <w:t>本工程采用小型简易招标（工程类），结算金额</w:t>
            </w:r>
            <w:r>
              <w:rPr>
                <w:rFonts w:hint="eastAsia" w:ascii="仿宋" w:hAnsi="仿宋" w:eastAsia="仿宋" w:cs="宋体"/>
                <w:color w:val="auto"/>
                <w:kern w:val="0"/>
                <w:sz w:val="24"/>
                <w:szCs w:val="24"/>
                <w:lang w:val="en-US" w:eastAsia="zh-CN"/>
              </w:rPr>
              <w:t>小于</w:t>
            </w:r>
            <w:r>
              <w:rPr>
                <w:rFonts w:ascii="仿宋" w:hAnsi="仿宋" w:eastAsia="仿宋" w:cs="宋体"/>
                <w:color w:val="auto"/>
                <w:kern w:val="0"/>
                <w:sz w:val="24"/>
                <w:szCs w:val="24"/>
              </w:rPr>
              <w:t>400万元（含），投标人应当仔细阅读上述文件并承诺，严格执行招标公告、施工图纸及报价清单等文件的相关约定，充分考虑各种风险，合理竞价。</w:t>
            </w:r>
          </w:p>
          <w:p>
            <w:pPr>
              <w:pStyle w:val="155"/>
              <w:snapToGrid w:val="0"/>
              <w:spacing w:line="360" w:lineRule="auto"/>
              <w:ind w:firstLine="480"/>
              <w:rPr>
                <w:rFonts w:ascii="仿宋" w:hAnsi="仿宋" w:eastAsia="仿宋" w:cs="宋体"/>
                <w:color w:val="auto"/>
                <w:kern w:val="0"/>
                <w:sz w:val="24"/>
                <w:szCs w:val="24"/>
              </w:rPr>
            </w:pPr>
            <w:r>
              <w:rPr>
                <w:rFonts w:ascii="仿宋" w:hAnsi="仿宋" w:eastAsia="仿宋" w:cs="宋体"/>
                <w:color w:val="auto"/>
                <w:kern w:val="0"/>
                <w:sz w:val="24"/>
                <w:szCs w:val="24"/>
              </w:rPr>
              <w:t>5、有关无效标的情形:</w:t>
            </w:r>
          </w:p>
          <w:p>
            <w:pPr>
              <w:spacing w:line="360" w:lineRule="auto"/>
              <w:ind w:firstLine="480"/>
              <w:jc w:val="left"/>
              <w:rPr>
                <w:color w:val="auto"/>
              </w:rPr>
            </w:pPr>
            <w:r>
              <w:rPr>
                <w:rFonts w:ascii="仿宋" w:hAnsi="仿宋" w:eastAsia="仿宋"/>
                <w:color w:val="auto"/>
                <w:sz w:val="24"/>
              </w:rPr>
              <w:t>1）投标报价高于投标报价上限价的；</w:t>
            </w:r>
          </w:p>
          <w:p>
            <w:pPr>
              <w:spacing w:line="360" w:lineRule="auto"/>
              <w:ind w:firstLine="480"/>
              <w:jc w:val="left"/>
              <w:rPr>
                <w:color w:val="auto"/>
              </w:rPr>
            </w:pPr>
            <w:r>
              <w:rPr>
                <w:rFonts w:ascii="仿宋" w:hAnsi="仿宋" w:eastAsia="仿宋"/>
                <w:color w:val="auto"/>
                <w:sz w:val="24"/>
              </w:rPr>
              <w:t>2）投标报价中擅自修改投标报价书中规定不可竞争的暂列金额或安全文明施工措施费的；</w:t>
            </w:r>
          </w:p>
          <w:p>
            <w:pPr>
              <w:spacing w:line="360" w:lineRule="auto"/>
              <w:ind w:firstLine="480"/>
              <w:jc w:val="left"/>
              <w:rPr>
                <w:color w:val="auto"/>
              </w:rPr>
            </w:pPr>
            <w:r>
              <w:rPr>
                <w:rFonts w:ascii="仿宋" w:hAnsi="仿宋" w:eastAsia="仿宋"/>
                <w:color w:val="auto"/>
                <w:sz w:val="24"/>
              </w:rPr>
              <w:t>3）施工投标承诺函未按招标公告规定填写或更改非投标人填写内容的；</w:t>
            </w:r>
          </w:p>
          <w:p>
            <w:pPr>
              <w:snapToGrid w:val="0"/>
              <w:spacing w:line="360" w:lineRule="auto"/>
              <w:ind w:firstLine="480"/>
              <w:jc w:val="left"/>
              <w:rPr>
                <w:color w:val="auto"/>
              </w:rPr>
            </w:pPr>
            <w:r>
              <w:rPr>
                <w:rFonts w:ascii="仿宋" w:hAnsi="仿宋" w:eastAsia="仿宋" w:cs="宋体"/>
                <w:color w:val="auto"/>
                <w:kern w:val="0"/>
                <w:sz w:val="24"/>
                <w:szCs w:val="24"/>
              </w:rPr>
              <w:t>4）投标文件未按招标公告要求密封并加盖公章的。</w:t>
            </w:r>
          </w:p>
          <w:p>
            <w:pPr>
              <w:pStyle w:val="4"/>
              <w:keepNext w:val="0"/>
              <w:keepLines w:val="0"/>
              <w:snapToGrid w:val="0"/>
              <w:spacing w:before="0" w:after="0" w:line="360" w:lineRule="auto"/>
              <w:ind w:firstLine="482"/>
              <w:rPr>
                <w:color w:val="auto"/>
              </w:rPr>
            </w:pPr>
            <w:r>
              <w:rPr>
                <w:rFonts w:ascii="仿宋" w:hAnsi="仿宋" w:eastAsia="仿宋"/>
                <w:color w:val="auto"/>
                <w:sz w:val="24"/>
                <w:szCs w:val="24"/>
              </w:rPr>
              <w:t>6、标报价规定，详招标公告附件1《工程量清单投标报价规定》以及附件2《工程量清单投标报价规定》的修改及补充条款。</w:t>
            </w:r>
          </w:p>
          <w:p>
            <w:pPr>
              <w:pStyle w:val="4"/>
              <w:keepNext w:val="0"/>
              <w:keepLines w:val="0"/>
              <w:snapToGrid w:val="0"/>
              <w:spacing w:before="0" w:after="0" w:line="360" w:lineRule="auto"/>
              <w:ind w:firstLine="480"/>
              <w:rPr>
                <w:rFonts w:ascii="仿宋" w:hAnsi="仿宋" w:eastAsia="仿宋"/>
                <w:color w:val="auto"/>
                <w:sz w:val="24"/>
                <w:szCs w:val="24"/>
              </w:rPr>
            </w:pPr>
            <w:r>
              <w:rPr>
                <w:rFonts w:ascii="仿宋" w:hAnsi="仿宋" w:eastAsia="仿宋" w:cs="宋体"/>
                <w:b w:val="0"/>
                <w:bCs w:val="0"/>
                <w:color w:val="auto"/>
                <w:sz w:val="24"/>
                <w:szCs w:val="24"/>
                <w:lang w:val="en-US"/>
              </w:rPr>
              <w:t>7、发包人并不承诺为中标人提供现场临时办公用地。中标人临时驻地（包括办公、住宿用房、料场、材料加工场等）由中标人人自行解决。</w:t>
            </w:r>
          </w:p>
        </w:tc>
      </w:tr>
    </w:tbl>
    <w:p>
      <w:pPr>
        <w:spacing w:line="360" w:lineRule="auto"/>
        <w:jc w:val="left"/>
        <w:rPr>
          <w:rFonts w:ascii="仿宋" w:hAnsi="仿宋" w:eastAsia="仿宋" w:cs="仿宋"/>
          <w:color w:val="auto"/>
          <w:kern w:val="0"/>
          <w:sz w:val="24"/>
          <w:szCs w:val="24"/>
        </w:rPr>
      </w:pPr>
    </w:p>
    <w:p>
      <w:pPr>
        <w:spacing w:line="360" w:lineRule="auto"/>
        <w:jc w:val="left"/>
        <w:rPr>
          <w:rFonts w:ascii="仿宋" w:hAnsi="仿宋" w:eastAsia="仿宋" w:cs="仿宋"/>
          <w:color w:val="auto"/>
          <w:kern w:val="0"/>
          <w:sz w:val="24"/>
          <w:szCs w:val="24"/>
        </w:rPr>
      </w:pPr>
      <w:r>
        <w:rPr>
          <w:rFonts w:ascii="仿宋" w:hAnsi="仿宋" w:eastAsia="仿宋" w:cs="仿宋"/>
          <w:color w:val="auto"/>
          <w:kern w:val="0"/>
          <w:sz w:val="24"/>
          <w:szCs w:val="24"/>
        </w:rPr>
        <w:t>投标单位（署名并盖章）：                          联系电话：</w:t>
      </w:r>
      <w:r>
        <w:rPr>
          <w:rFonts w:ascii="仿宋" w:hAnsi="仿宋" w:eastAsia="仿宋" w:cs="仿宋"/>
          <w:color w:val="auto"/>
          <w:kern w:val="0"/>
          <w:sz w:val="24"/>
          <w:szCs w:val="24"/>
        </w:rPr>
        <w:br w:type="textWrapping"/>
      </w:r>
      <w:r>
        <w:rPr>
          <w:rFonts w:ascii="仿宋" w:hAnsi="仿宋" w:eastAsia="仿宋" w:cs="仿宋"/>
          <w:color w:val="auto"/>
          <w:kern w:val="0"/>
          <w:sz w:val="24"/>
          <w:szCs w:val="24"/>
        </w:rPr>
        <w:t>投标人法定代表签名：                              日期：</w:t>
      </w:r>
    </w:p>
    <w:p>
      <w:pPr>
        <w:rPr>
          <w:rFonts w:ascii="仿宋" w:hAnsi="仿宋" w:eastAsia="仿宋"/>
          <w:color w:val="auto"/>
          <w:sz w:val="31"/>
          <w:szCs w:val="31"/>
        </w:rPr>
      </w:pPr>
      <w:r>
        <w:rPr>
          <w:color w:val="auto"/>
        </w:rPr>
        <w:br w:type="page"/>
      </w:r>
    </w:p>
    <w:p>
      <w:pPr>
        <w:widowControl/>
        <w:jc w:val="left"/>
        <w:rPr>
          <w:rFonts w:ascii="仿宋" w:hAnsi="仿宋" w:eastAsia="仿宋"/>
          <w:color w:val="auto"/>
          <w:sz w:val="24"/>
          <w:szCs w:val="32"/>
        </w:rPr>
        <w:sectPr>
          <w:footerReference r:id="rId4" w:type="default"/>
          <w:pgSz w:w="11906" w:h="16838"/>
          <w:pgMar w:top="1417" w:right="998" w:bottom="1417" w:left="1276" w:header="0" w:footer="992" w:gutter="0"/>
          <w:pgNumType w:fmt="decimal"/>
          <w:cols w:space="720" w:num="1"/>
          <w:formProt w:val="0"/>
          <w:docGrid w:linePitch="312" w:charSpace="0"/>
        </w:sectPr>
      </w:pPr>
    </w:p>
    <w:p>
      <w:pPr>
        <w:jc w:val="left"/>
        <w:rPr>
          <w:color w:val="auto"/>
        </w:rPr>
      </w:pPr>
      <w:r>
        <w:rPr>
          <w:rFonts w:ascii="仿宋" w:hAnsi="仿宋" w:eastAsia="仿宋"/>
          <w:color w:val="auto"/>
          <w:sz w:val="31"/>
          <w:szCs w:val="31"/>
        </w:rPr>
        <w:t>附件4：</w:t>
      </w:r>
    </w:p>
    <w:p>
      <w:pPr>
        <w:ind w:firstLine="118"/>
        <w:jc w:val="center"/>
        <w:rPr>
          <w:rFonts w:ascii="仿宋" w:hAnsi="仿宋" w:eastAsia="仿宋"/>
          <w:b/>
          <w:color w:val="auto"/>
          <w:sz w:val="24"/>
          <w:szCs w:val="24"/>
        </w:rPr>
      </w:pPr>
      <w:r>
        <w:rPr>
          <w:rFonts w:ascii="仿宋" w:hAnsi="仿宋" w:eastAsia="仿宋"/>
          <w:b/>
          <w:color w:val="auto"/>
          <w:sz w:val="24"/>
          <w:szCs w:val="24"/>
        </w:rPr>
        <w:t>主要管理人员汇总表</w:t>
      </w:r>
    </w:p>
    <w:tbl>
      <w:tblPr>
        <w:tblStyle w:val="40"/>
        <w:tblW w:w="8160" w:type="dxa"/>
        <w:jc w:val="center"/>
        <w:tblLayout w:type="autofit"/>
        <w:tblCellMar>
          <w:top w:w="0" w:type="dxa"/>
          <w:left w:w="108" w:type="dxa"/>
          <w:bottom w:w="0" w:type="dxa"/>
          <w:right w:w="108" w:type="dxa"/>
        </w:tblCellMar>
      </w:tblPr>
      <w:tblGrid>
        <w:gridCol w:w="834"/>
        <w:gridCol w:w="789"/>
        <w:gridCol w:w="1271"/>
        <w:gridCol w:w="1293"/>
        <w:gridCol w:w="738"/>
        <w:gridCol w:w="1185"/>
        <w:gridCol w:w="1038"/>
        <w:gridCol w:w="1012"/>
      </w:tblGrid>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序号</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姓名</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拟在本项目任职</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证书名称、资格等级</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证书号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身份证号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手机号</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r>
              <w:rPr>
                <w:rFonts w:ascii="仿宋" w:hAnsi="仿宋" w:eastAsia="仿宋"/>
                <w:bCs/>
                <w:color w:val="auto"/>
                <w:szCs w:val="21"/>
              </w:rPr>
              <w:t>备注</w:t>
            </w: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bookmarkStart w:id="18" w:name="_Toc517529081"/>
            <w:bookmarkEnd w:id="18"/>
            <w:bookmarkStart w:id="19" w:name="_Toc517527988"/>
            <w:bookmarkEnd w:id="19"/>
            <w:bookmarkStart w:id="20" w:name="_Toc517531319"/>
            <w:bookmarkEnd w:id="20"/>
            <w:bookmarkStart w:id="21" w:name="_Toc517530043"/>
            <w:bookmarkEnd w:id="21"/>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r>
        <w:tblPrEx>
          <w:tblCellMar>
            <w:top w:w="0" w:type="dxa"/>
            <w:left w:w="108" w:type="dxa"/>
            <w:bottom w:w="0" w:type="dxa"/>
            <w:right w:w="108" w:type="dxa"/>
          </w:tblCellMar>
        </w:tblPrEx>
        <w:trPr>
          <w:trHeight w:val="497" w:hRule="atLeast"/>
          <w:jc w:val="center"/>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hanging="3"/>
              <w:jc w:val="center"/>
              <w:rPr>
                <w:rFonts w:ascii="仿宋" w:hAnsi="仿宋" w:eastAsia="仿宋"/>
                <w:bCs/>
                <w:color w:val="auto"/>
                <w:szCs w:val="21"/>
              </w:rPr>
            </w:pPr>
          </w:p>
        </w:tc>
      </w:tr>
    </w:tbl>
    <w:p>
      <w:pPr>
        <w:rPr>
          <w:rFonts w:ascii="仿宋" w:hAnsi="仿宋" w:eastAsia="仿宋"/>
          <w:color w:val="auto"/>
          <w:sz w:val="24"/>
          <w:szCs w:val="24"/>
        </w:rPr>
      </w:pPr>
    </w:p>
    <w:p>
      <w:pPr>
        <w:rPr>
          <w:rFonts w:ascii="仿宋" w:hAnsi="仿宋" w:eastAsia="仿宋"/>
          <w:color w:val="auto"/>
          <w:sz w:val="24"/>
          <w:szCs w:val="24"/>
        </w:rPr>
      </w:pPr>
      <w:r>
        <w:rPr>
          <w:rFonts w:ascii="仿宋" w:hAnsi="仿宋" w:eastAsia="仿宋"/>
          <w:color w:val="auto"/>
          <w:sz w:val="24"/>
          <w:szCs w:val="24"/>
        </w:rPr>
        <w:t>投标人法定代表签名：                 投标单位（署名并盖章）：</w:t>
      </w:r>
    </w:p>
    <w:p>
      <w:pPr>
        <w:spacing w:line="360" w:lineRule="exact"/>
        <w:ind w:firstLine="4680"/>
        <w:rPr>
          <w:rFonts w:ascii="仿宋" w:hAnsi="仿宋" w:eastAsia="仿宋"/>
          <w:color w:val="auto"/>
          <w:sz w:val="24"/>
          <w:szCs w:val="24"/>
        </w:rPr>
      </w:pPr>
      <w:r>
        <w:rPr>
          <w:rFonts w:ascii="仿宋" w:hAnsi="仿宋" w:eastAsia="仿宋"/>
          <w:color w:val="auto"/>
          <w:sz w:val="24"/>
          <w:szCs w:val="24"/>
        </w:rPr>
        <w:t>日期：</w:t>
      </w:r>
    </w:p>
    <w:p>
      <w:pPr>
        <w:rPr>
          <w:rFonts w:ascii="仿宋" w:hAnsi="仿宋" w:eastAsia="仿宋"/>
          <w:color w:val="auto"/>
          <w:sz w:val="24"/>
          <w:szCs w:val="24"/>
        </w:rPr>
      </w:pPr>
    </w:p>
    <w:p>
      <w:pPr>
        <w:widowControl/>
        <w:jc w:val="left"/>
        <w:rPr>
          <w:rFonts w:ascii="仿宋" w:hAnsi="仿宋" w:eastAsia="仿宋"/>
          <w:color w:val="auto"/>
          <w:sz w:val="24"/>
          <w:szCs w:val="24"/>
        </w:rPr>
      </w:pPr>
      <w:r>
        <w:rPr>
          <w:color w:val="auto"/>
        </w:rPr>
        <w:br w:type="page"/>
      </w:r>
    </w:p>
    <w:p>
      <w:pPr>
        <w:jc w:val="left"/>
        <w:rPr>
          <w:color w:val="auto"/>
        </w:rPr>
      </w:pPr>
      <w:r>
        <w:rPr>
          <w:rFonts w:ascii="仿宋" w:hAnsi="仿宋" w:eastAsia="仿宋"/>
          <w:color w:val="auto"/>
          <w:sz w:val="31"/>
          <w:szCs w:val="31"/>
        </w:rPr>
        <w:t>附件5：</w:t>
      </w:r>
    </w:p>
    <w:p>
      <w:pPr>
        <w:pStyle w:val="20"/>
        <w:spacing w:before="0" w:after="156" w:line="360" w:lineRule="auto"/>
        <w:jc w:val="center"/>
        <w:rPr>
          <w:rFonts w:ascii="仿宋" w:hAnsi="仿宋" w:eastAsia="仿宋"/>
          <w:color w:val="auto"/>
          <w:sz w:val="28"/>
          <w:szCs w:val="28"/>
        </w:rPr>
      </w:pPr>
      <w:r>
        <w:rPr>
          <w:rFonts w:ascii="仿宋" w:hAnsi="仿宋" w:eastAsia="仿宋"/>
          <w:color w:val="auto"/>
          <w:sz w:val="28"/>
          <w:szCs w:val="28"/>
        </w:rPr>
        <w:t>施工投标承诺函</w:t>
      </w:r>
    </w:p>
    <w:p>
      <w:pPr>
        <w:pStyle w:val="20"/>
        <w:snapToGrid w:val="0"/>
        <w:spacing w:line="300" w:lineRule="auto"/>
        <w:jc w:val="left"/>
        <w:rPr>
          <w:rFonts w:ascii="仿宋" w:hAnsi="仿宋" w:eastAsia="仿宋"/>
          <w:bCs/>
          <w:color w:val="auto"/>
          <w:u w:val="single"/>
        </w:rPr>
      </w:pPr>
      <w:r>
        <w:rPr>
          <w:rFonts w:ascii="仿宋" w:hAnsi="仿宋" w:eastAsia="仿宋"/>
          <w:bCs/>
          <w:color w:val="auto"/>
        </w:rPr>
        <w:t>致招标人</w:t>
      </w:r>
      <w:r>
        <w:rPr>
          <w:rFonts w:ascii="仿宋" w:hAnsi="仿宋" w:eastAsia="仿宋"/>
          <w:bCs/>
          <w:color w:val="auto"/>
          <w:u w:val="single"/>
        </w:rPr>
        <w:t xml:space="preserve">            </w:t>
      </w:r>
      <w:r>
        <w:rPr>
          <w:rFonts w:ascii="仿宋" w:hAnsi="仿宋" w:eastAsia="仿宋"/>
          <w:bCs/>
          <w:color w:val="auto"/>
        </w:rPr>
        <w:t>:</w:t>
      </w:r>
    </w:p>
    <w:p>
      <w:pPr>
        <w:pStyle w:val="20"/>
        <w:snapToGrid w:val="0"/>
        <w:spacing w:line="300" w:lineRule="auto"/>
        <w:ind w:firstLine="400"/>
        <w:jc w:val="left"/>
        <w:rPr>
          <w:color w:val="auto"/>
        </w:rPr>
      </w:pPr>
      <w:r>
        <w:rPr>
          <w:rFonts w:ascii="仿宋" w:hAnsi="仿宋" w:eastAsia="仿宋"/>
          <w:bCs/>
          <w:color w:val="auto"/>
        </w:rPr>
        <w:t>为了确保本工程招标投标工作顺利进行，同时保证优质高效、文明施工，我方将严格执行建设工程管理的法律法规，并完全接</w:t>
      </w:r>
      <w:r>
        <w:rPr>
          <w:rFonts w:ascii="仿宋" w:hAnsi="仿宋" w:eastAsia="仿宋" w:cstheme="minorBidi"/>
          <w:bCs/>
          <w:color w:val="auto"/>
          <w:kern w:val="0"/>
          <w:sz w:val="20"/>
          <w:szCs w:val="21"/>
          <w:u w:val="single"/>
          <w:lang w:val="en-US" w:eastAsia="zh-CN" w:bidi="ar-SA"/>
        </w:rPr>
        <w:t>受哈尔滨工业大学深圳校区扩建工程项目高层次人才科研楼幕墙工程</w:t>
      </w:r>
      <w:r>
        <w:rPr>
          <w:rFonts w:ascii="仿宋" w:hAnsi="仿宋" w:eastAsia="仿宋"/>
          <w:bCs/>
          <w:color w:val="auto"/>
        </w:rPr>
        <w:t>的招标文件所有内容，为此作出如下承诺：</w:t>
      </w:r>
    </w:p>
    <w:p>
      <w:pPr>
        <w:snapToGrid w:val="0"/>
        <w:spacing w:line="300" w:lineRule="auto"/>
        <w:ind w:firstLine="420"/>
        <w:jc w:val="left"/>
        <w:rPr>
          <w:rFonts w:ascii="仿宋" w:hAnsi="仿宋" w:eastAsia="仿宋"/>
          <w:b/>
          <w:bCs/>
          <w:color w:val="auto"/>
          <w:szCs w:val="21"/>
        </w:rPr>
      </w:pPr>
      <w:r>
        <w:rPr>
          <w:rFonts w:ascii="仿宋" w:hAnsi="仿宋" w:eastAsia="仿宋"/>
          <w:color w:val="auto"/>
          <w:szCs w:val="21"/>
        </w:rPr>
        <w:t>1、根据企业自身情况，理性报价，不以低于成本的报价竞标，并愿以</w:t>
      </w:r>
      <w:r>
        <w:rPr>
          <w:rFonts w:ascii="仿宋" w:hAnsi="仿宋" w:eastAsia="仿宋"/>
          <w:color w:val="auto"/>
          <w:szCs w:val="21"/>
          <w:u w:val="single"/>
        </w:rPr>
        <w:t xml:space="preserve">   </w:t>
      </w:r>
      <w:r>
        <w:rPr>
          <w:rFonts w:ascii="仿宋" w:hAnsi="仿宋" w:eastAsia="仿宋"/>
          <w:color w:val="auto"/>
          <w:szCs w:val="21"/>
        </w:rPr>
        <w:t>元投标总价按招标文件要求承包本工程的施工、竣工并修补其任何缺陷。否则，我方愿意承担</w:t>
      </w:r>
      <w:r>
        <w:rPr>
          <w:rFonts w:ascii="仿宋" w:hAnsi="仿宋" w:eastAsia="仿宋"/>
          <w:bCs/>
          <w:color w:val="auto"/>
          <w:szCs w:val="21"/>
        </w:rPr>
        <w:t>任何风险。</w:t>
      </w:r>
    </w:p>
    <w:p>
      <w:pPr>
        <w:pStyle w:val="20"/>
        <w:snapToGrid w:val="0"/>
        <w:spacing w:line="300" w:lineRule="auto"/>
        <w:ind w:firstLine="400"/>
        <w:jc w:val="left"/>
        <w:rPr>
          <w:rFonts w:ascii="仿宋" w:hAnsi="仿宋" w:eastAsia="仿宋"/>
          <w:bCs/>
          <w:color w:val="auto"/>
        </w:rPr>
      </w:pPr>
      <w:r>
        <w:rPr>
          <w:rFonts w:ascii="仿宋" w:hAnsi="仿宋" w:eastAsia="仿宋"/>
          <w:bCs/>
          <w:color w:val="auto"/>
        </w:rPr>
        <w:t>2、我方保证在</w:t>
      </w:r>
      <w:r>
        <w:rPr>
          <w:rFonts w:ascii="仿宋" w:hAnsi="仿宋" w:eastAsia="仿宋"/>
          <w:bCs/>
          <w:color w:val="auto"/>
          <w:u w:val="single"/>
        </w:rPr>
        <w:t xml:space="preserve">    </w:t>
      </w:r>
      <w:r>
        <w:rPr>
          <w:rFonts w:ascii="仿宋" w:hAnsi="仿宋" w:eastAsia="仿宋"/>
          <w:bCs/>
          <w:color w:val="auto"/>
        </w:rPr>
        <w:t>日内（或于</w:t>
      </w:r>
      <w:r>
        <w:rPr>
          <w:rFonts w:ascii="仿宋" w:hAnsi="仿宋" w:eastAsia="仿宋"/>
          <w:bCs/>
          <w:color w:val="auto"/>
          <w:u w:val="single"/>
        </w:rPr>
        <w:t xml:space="preserve"> </w:t>
      </w:r>
      <w:r>
        <w:rPr>
          <w:rFonts w:ascii="仿宋" w:hAnsi="仿宋" w:eastAsia="仿宋"/>
          <w:bCs/>
          <w:color w:val="auto"/>
        </w:rPr>
        <w:t>年</w:t>
      </w:r>
      <w:r>
        <w:rPr>
          <w:rFonts w:ascii="仿宋" w:hAnsi="仿宋" w:eastAsia="仿宋"/>
          <w:bCs/>
          <w:color w:val="auto"/>
          <w:u w:val="single"/>
        </w:rPr>
        <w:t xml:space="preserve"> </w:t>
      </w:r>
      <w:r>
        <w:rPr>
          <w:rFonts w:ascii="仿宋" w:hAnsi="仿宋" w:eastAsia="仿宋"/>
          <w:bCs/>
          <w:color w:val="auto"/>
        </w:rPr>
        <w:t>月</w:t>
      </w:r>
      <w:r>
        <w:rPr>
          <w:rFonts w:ascii="仿宋" w:hAnsi="仿宋" w:eastAsia="仿宋"/>
          <w:bCs/>
          <w:color w:val="auto"/>
          <w:u w:val="single"/>
        </w:rPr>
        <w:t xml:space="preserve"> </w:t>
      </w:r>
      <w:r>
        <w:rPr>
          <w:rFonts w:ascii="仿宋" w:hAnsi="仿宋" w:eastAsia="仿宋"/>
          <w:bCs/>
          <w:color w:val="auto"/>
        </w:rPr>
        <w:t>日前）完成工程竣工验收（非我方造成的工期延误除外）。</w:t>
      </w:r>
    </w:p>
    <w:p>
      <w:pPr>
        <w:snapToGrid w:val="0"/>
        <w:spacing w:line="300" w:lineRule="auto"/>
        <w:ind w:firstLine="420"/>
        <w:jc w:val="left"/>
        <w:rPr>
          <w:rFonts w:ascii="仿宋" w:hAnsi="仿宋" w:eastAsia="仿宋"/>
          <w:color w:val="auto"/>
          <w:szCs w:val="21"/>
        </w:rPr>
      </w:pPr>
      <w:r>
        <w:rPr>
          <w:rFonts w:ascii="仿宋" w:hAnsi="仿宋" w:eastAsia="仿宋"/>
          <w:bCs/>
          <w:color w:val="auto"/>
          <w:kern w:val="0"/>
          <w:szCs w:val="21"/>
        </w:rPr>
        <w:t>3</w:t>
      </w:r>
      <w:r>
        <w:rPr>
          <w:rFonts w:ascii="仿宋" w:hAnsi="仿宋" w:eastAsia="仿宋"/>
          <w:bCs/>
          <w:color w:val="auto"/>
          <w:szCs w:val="21"/>
        </w:rPr>
        <w:t>、</w:t>
      </w:r>
      <w:r>
        <w:rPr>
          <w:rFonts w:ascii="仿宋" w:hAnsi="仿宋" w:eastAsia="仿宋"/>
          <w:color w:val="auto"/>
          <w:szCs w:val="21"/>
        </w:rPr>
        <w:t>我方同意所递交的投标文件在投标人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snapToGrid w:val="0"/>
        <w:spacing w:line="300" w:lineRule="auto"/>
        <w:ind w:firstLine="420"/>
        <w:jc w:val="left"/>
        <w:rPr>
          <w:rFonts w:ascii="仿宋" w:hAnsi="仿宋" w:eastAsia="仿宋" w:cs="Arial"/>
          <w:bCs/>
          <w:color w:val="auto"/>
          <w:szCs w:val="21"/>
        </w:rPr>
      </w:pPr>
      <w:r>
        <w:rPr>
          <w:rFonts w:ascii="仿宋" w:hAnsi="仿宋" w:eastAsia="仿宋" w:cs="Arial"/>
          <w:bCs/>
          <w:color w:val="auto"/>
          <w:szCs w:val="21"/>
        </w:rPr>
        <w:t>4、一旦我方中标，将保证在收到中标通知书后</w:t>
      </w:r>
      <w:r>
        <w:rPr>
          <w:rFonts w:ascii="仿宋" w:hAnsi="仿宋" w:eastAsia="仿宋" w:cs="Arial"/>
          <w:bCs/>
          <w:color w:val="auto"/>
          <w:szCs w:val="21"/>
          <w:u w:val="single"/>
        </w:rPr>
        <w:t>30</w:t>
      </w:r>
      <w:r>
        <w:rPr>
          <w:rFonts w:ascii="仿宋" w:hAnsi="仿宋" w:eastAsia="仿宋" w:cs="Arial"/>
          <w:bCs/>
          <w:color w:val="auto"/>
          <w:szCs w:val="21"/>
        </w:rPr>
        <w:t>日内，与贵方按招标文件、中标通知书中的内容签订施工合同，否则，视为我方自愿放弃中标资格。</w:t>
      </w:r>
    </w:p>
    <w:p>
      <w:pPr>
        <w:snapToGrid w:val="0"/>
        <w:spacing w:line="300" w:lineRule="auto"/>
        <w:ind w:firstLine="420"/>
        <w:jc w:val="left"/>
        <w:rPr>
          <w:rFonts w:ascii="仿宋" w:hAnsi="仿宋" w:eastAsia="仿宋" w:cs="Arial"/>
          <w:bCs/>
          <w:color w:val="auto"/>
          <w:szCs w:val="21"/>
        </w:rPr>
      </w:pPr>
      <w:r>
        <w:rPr>
          <w:rFonts w:ascii="仿宋" w:hAnsi="仿宋" w:eastAsia="仿宋"/>
          <w:color w:val="auto"/>
          <w:szCs w:val="21"/>
        </w:rPr>
        <w:t>5、除非另外达成协议并生效，贵方的中标通知书和本投标文件将成为约束双方的合同文件的组成部分。</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6、按规定完成招标文件约定承包范围内的施工内容，质量达到招标文件要求的标准。</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7、建立完善的质量安全保证体系，配备与投标文件相一致且满足工程建设规模、技术要求、安全要求的项目管理机构和项目管理人员，并确保常驻现场。撤换上述人员前，必须征得贵方及建设行政主管部门批准同意。否则，招标人有权取消我公司的中标资格或单方面终止合同，由此造成的违约责任由我公司承担。</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8、全体施工作业人员通过“平安卡”培训，并办理工伤保险、意外伤害保险手续。</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9、如果本工程不要求编制技术标书的，我方保证在收到中标通知书后30日内，完成本工程实施的施工组织设计编制，并得到贵方的认可。</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10、对在工程实施过程中发生的工程变更，严格按照双方合同的有关规定计量和计价并保证接受贵方要求完成变更的工程内容。</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11、一旦我方中标，将保证工程实施过程中的清洁及现场垃圾清运等工作、工程收尾阶段的未完工作（含清洁及垃圾清运等）和缺陷修复、保修阶段的属于我方保修范围、内容的项目，在接到相关指令或通知之日起在指令或通知要求的时间内派人执行，否则我方同意发包人有权直接委托他人执行，相关费用从工程结算款、质量保修金内扣除或向我方索赔，并不对费用提出任何异议。</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12、保证在收到中标通知书后28 日内，递交经贵方认可的履约担保，否则，贵方可取消我方中标资格。</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13、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犯罪的，接受公安机关的查处。</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我方在本次投标中不会出现虚假恶意投诉或利用投诉进行不正当竞争，否则，我方愿意被建设行政主管部门及贵方列入招标投标投诉“黑名单”。</w:t>
      </w:r>
    </w:p>
    <w:p>
      <w:pPr>
        <w:snapToGrid w:val="0"/>
        <w:spacing w:line="300" w:lineRule="auto"/>
        <w:ind w:firstLine="420"/>
        <w:jc w:val="left"/>
        <w:rPr>
          <w:rFonts w:ascii="仿宋" w:hAnsi="仿宋" w:eastAsia="仿宋"/>
          <w:color w:val="auto"/>
          <w:szCs w:val="21"/>
        </w:rPr>
      </w:pPr>
      <w:r>
        <w:rPr>
          <w:rFonts w:ascii="仿宋" w:hAnsi="仿宋" w:eastAsia="仿宋"/>
          <w:color w:val="auto"/>
          <w:szCs w:val="21"/>
        </w:rPr>
        <w:t>14、我方承诺在收到贵方发出的中标通知书前任何时间内，若被工务署处以停标处理并且未过停标期限的，我方均自愿放弃中标资格。</w:t>
      </w:r>
    </w:p>
    <w:p>
      <w:pPr>
        <w:tabs>
          <w:tab w:val="left" w:pos="900"/>
        </w:tabs>
        <w:snapToGrid w:val="0"/>
        <w:spacing w:line="300" w:lineRule="auto"/>
        <w:ind w:left="29" w:firstLine="390"/>
        <w:jc w:val="left"/>
        <w:rPr>
          <w:rFonts w:ascii="仿宋" w:hAnsi="仿宋" w:eastAsia="仿宋" w:cs="Arial"/>
          <w:bCs/>
          <w:color w:val="auto"/>
          <w:szCs w:val="21"/>
        </w:rPr>
      </w:pPr>
      <w:r>
        <w:rPr>
          <w:rFonts w:ascii="仿宋" w:hAnsi="仿宋" w:eastAsia="仿宋" w:cs="Arial"/>
          <w:bCs/>
          <w:color w:val="auto"/>
          <w:szCs w:val="21"/>
        </w:rPr>
        <w:t>15、我方承诺，贵方在澄清过程中及签订合同后均有权对我方不平衡报价进行调整。</w:t>
      </w:r>
    </w:p>
    <w:p>
      <w:pPr>
        <w:tabs>
          <w:tab w:val="left" w:pos="900"/>
        </w:tabs>
        <w:snapToGrid w:val="0"/>
        <w:spacing w:line="300" w:lineRule="auto"/>
        <w:ind w:left="29" w:firstLine="390"/>
        <w:jc w:val="left"/>
        <w:rPr>
          <w:rFonts w:ascii="仿宋" w:hAnsi="仿宋" w:eastAsia="仿宋" w:cs="Arial"/>
          <w:bCs/>
          <w:color w:val="auto"/>
          <w:szCs w:val="21"/>
        </w:rPr>
      </w:pPr>
      <w:r>
        <w:rPr>
          <w:rFonts w:ascii="仿宋" w:hAnsi="仿宋" w:eastAsia="仿宋" w:cs="Arial"/>
          <w:bCs/>
          <w:color w:val="auto"/>
          <w:szCs w:val="21"/>
        </w:rPr>
        <w:t>16、如果违反本承诺书中任何条款，我方愿意接受：</w:t>
      </w:r>
    </w:p>
    <w:p>
      <w:pPr>
        <w:pStyle w:val="20"/>
        <w:snapToGrid w:val="0"/>
        <w:spacing w:line="300" w:lineRule="auto"/>
        <w:ind w:firstLine="400"/>
        <w:jc w:val="left"/>
        <w:rPr>
          <w:rFonts w:ascii="仿宋" w:hAnsi="仿宋" w:eastAsia="仿宋"/>
          <w:bCs/>
          <w:color w:val="auto"/>
        </w:rPr>
      </w:pPr>
      <w:r>
        <w:rPr>
          <w:rFonts w:ascii="仿宋" w:hAnsi="仿宋" w:eastAsia="仿宋"/>
          <w:bCs/>
          <w:color w:val="auto"/>
        </w:rPr>
        <w:t>（1）视作我方单方面违约，并按照合同规定向贵方支付违约金或解除合同；</w:t>
      </w:r>
    </w:p>
    <w:p>
      <w:pPr>
        <w:pStyle w:val="20"/>
        <w:snapToGrid w:val="0"/>
        <w:spacing w:line="300" w:lineRule="auto"/>
        <w:ind w:firstLine="400"/>
        <w:jc w:val="left"/>
        <w:rPr>
          <w:rFonts w:ascii="仿宋" w:hAnsi="仿宋" w:eastAsia="仿宋"/>
          <w:bCs/>
          <w:color w:val="auto"/>
        </w:rPr>
      </w:pPr>
      <w:r>
        <w:rPr>
          <w:rFonts w:ascii="仿宋" w:hAnsi="仿宋" w:eastAsia="仿宋"/>
          <w:bCs/>
          <w:color w:val="auto"/>
        </w:rPr>
        <w:t>（2）履约评价评定为合格及以下；</w:t>
      </w:r>
    </w:p>
    <w:p>
      <w:pPr>
        <w:pStyle w:val="20"/>
        <w:snapToGrid w:val="0"/>
        <w:spacing w:line="300" w:lineRule="auto"/>
        <w:ind w:firstLine="400"/>
        <w:jc w:val="left"/>
        <w:rPr>
          <w:rFonts w:ascii="仿宋" w:hAnsi="仿宋" w:eastAsia="仿宋"/>
          <w:bCs/>
          <w:color w:val="auto"/>
        </w:rPr>
      </w:pPr>
      <w:r>
        <w:rPr>
          <w:rFonts w:ascii="仿宋" w:hAnsi="仿宋" w:eastAsia="仿宋"/>
          <w:bCs/>
          <w:color w:val="auto"/>
        </w:rPr>
        <w:t>（3）本工程招标人今后可拒绝我方参与投标；</w:t>
      </w:r>
    </w:p>
    <w:p>
      <w:pPr>
        <w:pStyle w:val="20"/>
        <w:snapToGrid w:val="0"/>
        <w:spacing w:line="300" w:lineRule="auto"/>
        <w:ind w:firstLine="400"/>
        <w:jc w:val="left"/>
        <w:rPr>
          <w:rFonts w:ascii="仿宋" w:hAnsi="仿宋" w:eastAsia="仿宋"/>
          <w:bCs/>
          <w:color w:val="auto"/>
        </w:rPr>
      </w:pPr>
      <w:r>
        <w:rPr>
          <w:rFonts w:ascii="仿宋" w:hAnsi="仿宋" w:eastAsia="仿宋"/>
          <w:bCs/>
          <w:color w:val="auto"/>
        </w:rPr>
        <w:t>（4）建设行政主管部门或相关主管部门的不良行为记录、行政处罚。</w:t>
      </w:r>
    </w:p>
    <w:p>
      <w:pPr>
        <w:pStyle w:val="20"/>
        <w:snapToGrid w:val="0"/>
        <w:spacing w:line="300" w:lineRule="auto"/>
        <w:jc w:val="left"/>
        <w:rPr>
          <w:rFonts w:ascii="仿宋" w:hAnsi="仿宋" w:eastAsia="仿宋"/>
          <w:bCs/>
          <w:color w:val="auto"/>
        </w:rPr>
      </w:pPr>
    </w:p>
    <w:p>
      <w:pPr>
        <w:pStyle w:val="20"/>
        <w:snapToGrid w:val="0"/>
        <w:spacing w:line="300" w:lineRule="auto"/>
        <w:jc w:val="left"/>
        <w:rPr>
          <w:rFonts w:ascii="仿宋" w:hAnsi="仿宋" w:eastAsia="仿宋"/>
          <w:bCs/>
          <w:color w:val="auto"/>
        </w:rPr>
      </w:pPr>
      <w:r>
        <w:rPr>
          <w:rFonts w:ascii="仿宋" w:hAnsi="仿宋" w:eastAsia="仿宋"/>
          <w:bCs/>
          <w:color w:val="auto"/>
        </w:rPr>
        <w:t>附：投标人不响应招标文件及投标人的保留条款（如有）</w:t>
      </w:r>
    </w:p>
    <w:p>
      <w:pPr>
        <w:pStyle w:val="20"/>
        <w:snapToGrid w:val="0"/>
        <w:spacing w:line="300" w:lineRule="auto"/>
        <w:jc w:val="left"/>
        <w:rPr>
          <w:rFonts w:ascii="仿宋" w:hAnsi="仿宋" w:eastAsia="仿宋"/>
          <w:bCs/>
          <w:color w:val="auto"/>
        </w:rPr>
      </w:pPr>
    </w:p>
    <w:p>
      <w:pPr>
        <w:pStyle w:val="20"/>
        <w:snapToGrid w:val="0"/>
        <w:spacing w:line="300" w:lineRule="auto"/>
        <w:jc w:val="left"/>
        <w:rPr>
          <w:rFonts w:ascii="仿宋" w:hAnsi="仿宋" w:eastAsia="仿宋"/>
          <w:bCs/>
          <w:color w:val="auto"/>
        </w:rPr>
      </w:pPr>
    </w:p>
    <w:p>
      <w:pPr>
        <w:snapToGrid w:val="0"/>
        <w:spacing w:line="300" w:lineRule="auto"/>
        <w:ind w:firstLine="420"/>
        <w:jc w:val="left"/>
        <w:rPr>
          <w:rFonts w:ascii="仿宋" w:hAnsi="仿宋" w:eastAsia="仿宋"/>
          <w:color w:val="auto"/>
          <w:szCs w:val="21"/>
          <w:u w:val="single"/>
        </w:rPr>
      </w:pPr>
      <w:r>
        <w:rPr>
          <w:rFonts w:ascii="仿宋" w:hAnsi="仿宋" w:eastAsia="仿宋"/>
          <w:color w:val="auto"/>
          <w:szCs w:val="21"/>
        </w:rPr>
        <w:t>投标人：</w:t>
      </w:r>
    </w:p>
    <w:p>
      <w:pPr>
        <w:snapToGrid w:val="0"/>
        <w:spacing w:line="300" w:lineRule="auto"/>
        <w:ind w:firstLine="420"/>
        <w:jc w:val="left"/>
        <w:rPr>
          <w:rFonts w:ascii="仿宋" w:hAnsi="仿宋" w:eastAsia="仿宋"/>
          <w:bCs/>
          <w:color w:val="auto"/>
          <w:szCs w:val="21"/>
          <w:u w:val="single"/>
        </w:rPr>
      </w:pPr>
      <w:r>
        <w:rPr>
          <w:rFonts w:ascii="仿宋" w:hAnsi="仿宋" w:eastAsia="仿宋"/>
          <w:color w:val="auto"/>
          <w:szCs w:val="21"/>
        </w:rPr>
        <w:t>法定代表人：</w:t>
      </w:r>
    </w:p>
    <w:p>
      <w:pPr>
        <w:snapToGrid w:val="0"/>
        <w:spacing w:line="300" w:lineRule="auto"/>
        <w:ind w:firstLine="420"/>
        <w:jc w:val="left"/>
        <w:rPr>
          <w:rFonts w:ascii="仿宋" w:hAnsi="仿宋" w:eastAsia="仿宋"/>
          <w:color w:val="auto"/>
          <w:szCs w:val="21"/>
          <w:u w:val="single"/>
        </w:rPr>
      </w:pPr>
      <w:r>
        <w:rPr>
          <w:rFonts w:ascii="仿宋" w:hAnsi="仿宋" w:eastAsia="仿宋"/>
          <w:color w:val="auto"/>
          <w:szCs w:val="21"/>
        </w:rPr>
        <w:t>单位地址：</w:t>
      </w:r>
    </w:p>
    <w:p>
      <w:pPr>
        <w:snapToGrid w:val="0"/>
        <w:spacing w:line="300" w:lineRule="auto"/>
        <w:ind w:firstLine="420"/>
        <w:jc w:val="left"/>
        <w:rPr>
          <w:rFonts w:ascii="仿宋" w:hAnsi="仿宋" w:eastAsia="仿宋"/>
          <w:bCs/>
          <w:color w:val="auto"/>
          <w:szCs w:val="21"/>
          <w:u w:val="single"/>
        </w:rPr>
      </w:pPr>
      <w:r>
        <w:rPr>
          <w:rFonts w:ascii="仿宋" w:hAnsi="仿宋" w:eastAsia="仿宋"/>
          <w:color w:val="auto"/>
          <w:szCs w:val="21"/>
        </w:rPr>
        <w:t>邮政编码：          电话：          传真：</w:t>
      </w:r>
    </w:p>
    <w:p>
      <w:pPr>
        <w:snapToGrid w:val="0"/>
        <w:spacing w:line="300" w:lineRule="auto"/>
        <w:ind w:firstLine="420"/>
        <w:jc w:val="left"/>
        <w:rPr>
          <w:rFonts w:ascii="仿宋" w:hAnsi="仿宋" w:eastAsia="仿宋"/>
          <w:color w:val="auto"/>
          <w:szCs w:val="21"/>
        </w:rPr>
      </w:pPr>
    </w:p>
    <w:p>
      <w:pPr>
        <w:pStyle w:val="20"/>
        <w:snapToGrid w:val="0"/>
        <w:spacing w:line="300" w:lineRule="auto"/>
        <w:jc w:val="right"/>
        <w:rPr>
          <w:rFonts w:ascii="仿宋" w:hAnsi="仿宋" w:eastAsia="仿宋"/>
          <w:bCs/>
          <w:color w:val="auto"/>
        </w:rPr>
      </w:pPr>
      <w:r>
        <w:rPr>
          <w:rFonts w:ascii="仿宋" w:hAnsi="仿宋" w:eastAsia="仿宋"/>
          <w:bCs/>
          <w:color w:val="auto"/>
        </w:rPr>
        <w:t>年     月     日</w:t>
      </w:r>
    </w:p>
    <w:p>
      <w:pPr>
        <w:pStyle w:val="20"/>
        <w:jc w:val="right"/>
        <w:rPr>
          <w:rFonts w:ascii="仿宋" w:hAnsi="仿宋" w:eastAsia="仿宋"/>
          <w:bCs/>
          <w:color w:val="auto"/>
        </w:rPr>
      </w:pPr>
    </w:p>
    <w:p>
      <w:pPr>
        <w:pStyle w:val="20"/>
        <w:jc w:val="right"/>
        <w:rPr>
          <w:rFonts w:ascii="仿宋" w:hAnsi="仿宋" w:eastAsia="仿宋"/>
          <w:bCs/>
          <w:color w:val="auto"/>
        </w:rPr>
      </w:pPr>
    </w:p>
    <w:p>
      <w:pPr>
        <w:widowControl/>
        <w:jc w:val="left"/>
        <w:rPr>
          <w:rFonts w:ascii="仿宋" w:hAnsi="仿宋" w:eastAsia="仿宋"/>
          <w:b/>
          <w:color w:val="auto"/>
          <w:szCs w:val="21"/>
        </w:rPr>
      </w:pPr>
      <w:r>
        <w:rPr>
          <w:color w:val="auto"/>
        </w:rPr>
        <w:br w:type="page"/>
      </w:r>
    </w:p>
    <w:p>
      <w:pPr>
        <w:jc w:val="left"/>
        <w:rPr>
          <w:color w:val="auto"/>
        </w:rPr>
      </w:pPr>
      <w:r>
        <w:rPr>
          <w:rFonts w:ascii="仿宋" w:hAnsi="仿宋" w:eastAsia="仿宋"/>
          <w:color w:val="auto"/>
          <w:sz w:val="31"/>
          <w:szCs w:val="31"/>
        </w:rPr>
        <w:t>附件6：</w:t>
      </w:r>
      <w:r>
        <w:rPr>
          <w:rFonts w:ascii="仿宋" w:hAnsi="仿宋" w:eastAsia="仿宋"/>
          <w:b/>
          <w:color w:val="auto"/>
          <w:sz w:val="24"/>
        </w:rPr>
        <w:t>法定代表人证明书及授权委托书参考格式</w:t>
      </w:r>
    </w:p>
    <w:p>
      <w:pPr>
        <w:spacing w:line="360" w:lineRule="auto"/>
        <w:jc w:val="center"/>
        <w:rPr>
          <w:rFonts w:ascii="仿宋" w:hAnsi="仿宋" w:eastAsia="仿宋"/>
          <w:b/>
          <w:bCs/>
          <w:color w:val="auto"/>
          <w:sz w:val="24"/>
        </w:rPr>
      </w:pPr>
      <w:r>
        <w:rPr>
          <w:rFonts w:ascii="仿宋" w:hAnsi="仿宋" w:eastAsia="仿宋"/>
          <w:b/>
          <w:bCs/>
          <w:color w:val="auto"/>
          <w:sz w:val="36"/>
          <w:szCs w:val="36"/>
        </w:rPr>
        <w:t>法定代表人证明书及法定代表人授权委托书</w:t>
      </w:r>
    </w:p>
    <w:p>
      <w:pPr>
        <w:spacing w:line="360" w:lineRule="auto"/>
        <w:ind w:firstLine="723"/>
        <w:jc w:val="center"/>
        <w:rPr>
          <w:rFonts w:ascii="仿宋" w:hAnsi="仿宋" w:eastAsia="仿宋"/>
          <w:b/>
          <w:bCs/>
          <w:color w:val="auto"/>
          <w:sz w:val="36"/>
          <w:szCs w:val="36"/>
        </w:rPr>
      </w:pPr>
      <w:r>
        <w:rPr>
          <w:rFonts w:ascii="仿宋" w:hAnsi="仿宋" w:eastAsia="仿宋"/>
          <w:b/>
          <w:bCs/>
          <w:color w:val="auto"/>
          <w:sz w:val="36"/>
          <w:szCs w:val="36"/>
        </w:rPr>
        <w:t>法定代表人证明书</w:t>
      </w:r>
    </w:p>
    <w:p>
      <w:pPr>
        <w:spacing w:line="360" w:lineRule="auto"/>
        <w:ind w:firstLine="480"/>
        <w:rPr>
          <w:rFonts w:ascii="仿宋" w:hAnsi="仿宋" w:eastAsia="仿宋"/>
          <w:color w:val="auto"/>
          <w:sz w:val="24"/>
          <w:lang w:val="en-GB" w:eastAsia="zh-TW"/>
        </w:rPr>
      </w:pPr>
      <w:r>
        <w:rPr>
          <w:rFonts w:ascii="仿宋" w:hAnsi="仿宋" w:eastAsia="仿宋"/>
          <w:color w:val="auto"/>
          <w:sz w:val="24"/>
          <w:lang w:val="en-GB" w:eastAsia="zh-TW"/>
        </w:rPr>
        <w:t>单位名称：</w:t>
      </w:r>
    </w:p>
    <w:p>
      <w:pPr>
        <w:spacing w:line="360" w:lineRule="auto"/>
        <w:ind w:firstLine="480"/>
        <w:rPr>
          <w:rFonts w:ascii="仿宋" w:hAnsi="仿宋" w:eastAsia="仿宋"/>
          <w:color w:val="auto"/>
          <w:sz w:val="24"/>
          <w:lang w:val="en-GB" w:eastAsia="zh-TW"/>
        </w:rPr>
      </w:pPr>
      <w:r>
        <w:rPr>
          <w:rFonts w:ascii="仿宋" w:hAnsi="仿宋" w:eastAsia="仿宋"/>
          <w:color w:val="auto"/>
          <w:sz w:val="24"/>
          <w:lang w:val="en-GB" w:eastAsia="zh-TW"/>
        </w:rPr>
        <w:t>地址：</w:t>
      </w:r>
    </w:p>
    <w:p>
      <w:pPr>
        <w:spacing w:line="360" w:lineRule="auto"/>
        <w:ind w:firstLine="480"/>
        <w:rPr>
          <w:rFonts w:ascii="仿宋" w:hAnsi="仿宋" w:eastAsia="仿宋"/>
          <w:color w:val="auto"/>
          <w:sz w:val="24"/>
          <w:lang w:val="en-GB" w:eastAsia="zh-TW"/>
        </w:rPr>
      </w:pPr>
      <w:r>
        <w:rPr>
          <w:rFonts w:ascii="仿宋" w:hAnsi="仿宋" w:eastAsia="仿宋"/>
          <w:color w:val="auto"/>
          <w:sz w:val="24"/>
          <w:lang w:val="en-GB" w:eastAsia="zh-TW"/>
        </w:rPr>
        <w:t>姓名：     性别：      年龄：        职务：</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系                          的法定代表人。</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lang w:val="en-GB"/>
        </w:rPr>
      </w:pPr>
      <w:r>
        <w:rPr>
          <w:rFonts w:ascii="仿宋" w:hAnsi="仿宋" w:eastAsia="仿宋"/>
          <w:color w:val="auto"/>
          <w:sz w:val="24"/>
          <w:lang w:val="en-GB"/>
        </w:rPr>
        <w:t>特此证明。</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lang w:val="en-GB"/>
        </w:rPr>
      </w:pPr>
      <w:r>
        <w:rPr>
          <w:rFonts w:ascii="仿宋" w:hAnsi="仿宋" w:eastAsia="仿宋"/>
          <w:color w:val="auto"/>
          <w:sz w:val="24"/>
          <w:lang w:val="en-GB"/>
        </w:rPr>
        <w:t>投标单位（盖章）：</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日期：年 月 日</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lang w:val="en-GB"/>
        </w:rPr>
      </w:pPr>
      <w:r>
        <w:rPr>
          <w:rFonts w:ascii="仿宋" w:hAnsi="仿宋" w:eastAsia="仿宋"/>
          <w:color w:val="auto"/>
          <w:sz w:val="24"/>
          <w:lang w:val="en-GB"/>
        </w:rPr>
        <w:t>附：法定代表人身份证扫描件</w:t>
      </w:r>
    </w:p>
    <w:tbl>
      <w:tblPr>
        <w:tblStyle w:val="40"/>
        <w:tblW w:w="4876" w:type="dxa"/>
        <w:jc w:val="center"/>
        <w:tblLayout w:type="autofit"/>
        <w:tblCellMar>
          <w:top w:w="0" w:type="dxa"/>
          <w:left w:w="108" w:type="dxa"/>
          <w:bottom w:w="0" w:type="dxa"/>
          <w:right w:w="108" w:type="dxa"/>
        </w:tblCellMar>
      </w:tblPr>
      <w:tblGrid>
        <w:gridCol w:w="4876"/>
      </w:tblGrid>
      <w:tr>
        <w:tblPrEx>
          <w:tblCellMar>
            <w:top w:w="0" w:type="dxa"/>
            <w:left w:w="108" w:type="dxa"/>
            <w:bottom w:w="0" w:type="dxa"/>
            <w:right w:w="108" w:type="dxa"/>
          </w:tblCellMar>
        </w:tblPrEx>
        <w:trPr>
          <w:trHeight w:val="3062" w:hRule="exact"/>
          <w:jc w:val="center"/>
        </w:trPr>
        <w:tc>
          <w:tcPr>
            <w:tcW w:w="4876" w:type="dxa"/>
            <w:tcBorders>
              <w:top w:val="single" w:color="000000" w:sz="12" w:space="0"/>
              <w:left w:val="single" w:color="000000" w:sz="12" w:space="0"/>
              <w:bottom w:val="single" w:color="000000" w:sz="6" w:space="0"/>
              <w:right w:val="single" w:color="000000" w:sz="6" w:space="0"/>
            </w:tcBorders>
            <w:shd w:val="clear" w:color="auto" w:fill="auto"/>
            <w:vAlign w:val="center"/>
          </w:tcPr>
          <w:p>
            <w:pPr>
              <w:spacing w:line="360" w:lineRule="auto"/>
              <w:ind w:firstLine="480"/>
              <w:rPr>
                <w:rFonts w:ascii="仿宋" w:hAnsi="仿宋" w:eastAsia="仿宋"/>
                <w:color w:val="auto"/>
                <w:sz w:val="24"/>
                <w:lang w:val="en-GB"/>
              </w:rPr>
            </w:pPr>
            <w:r>
              <w:rPr>
                <w:rFonts w:ascii="仿宋" w:hAnsi="仿宋" w:eastAsia="仿宋"/>
                <w:color w:val="auto"/>
                <w:sz w:val="24"/>
                <w:lang w:val="en-GB"/>
              </w:rPr>
              <w:t>身份证（正面）粘贴处</w:t>
            </w:r>
          </w:p>
          <w:p>
            <w:pPr>
              <w:spacing w:line="360" w:lineRule="auto"/>
              <w:ind w:firstLine="480"/>
              <w:rPr>
                <w:rFonts w:ascii="仿宋" w:hAnsi="仿宋" w:eastAsia="仿宋"/>
                <w:color w:val="auto"/>
                <w:sz w:val="24"/>
                <w:lang w:val="en-GB"/>
              </w:rPr>
            </w:pPr>
          </w:p>
        </w:tc>
      </w:tr>
      <w:tr>
        <w:tblPrEx>
          <w:tblCellMar>
            <w:top w:w="0" w:type="dxa"/>
            <w:left w:w="108" w:type="dxa"/>
            <w:bottom w:w="0" w:type="dxa"/>
            <w:right w:w="108" w:type="dxa"/>
          </w:tblCellMar>
        </w:tblPrEx>
        <w:trPr>
          <w:trHeight w:val="3062" w:hRule="exact"/>
          <w:jc w:val="center"/>
        </w:trPr>
        <w:tc>
          <w:tcPr>
            <w:tcW w:w="4876" w:type="dxa"/>
            <w:tcBorders>
              <w:top w:val="single" w:color="000000" w:sz="6" w:space="0"/>
              <w:left w:val="single" w:color="000000" w:sz="12" w:space="0"/>
              <w:bottom w:val="single" w:color="000000" w:sz="12" w:space="0"/>
              <w:right w:val="single" w:color="000000" w:sz="6" w:space="0"/>
            </w:tcBorders>
            <w:shd w:val="clear" w:color="auto" w:fill="auto"/>
            <w:vAlign w:val="center"/>
          </w:tcPr>
          <w:p>
            <w:pPr>
              <w:spacing w:line="360" w:lineRule="auto"/>
              <w:ind w:firstLine="480"/>
              <w:rPr>
                <w:rFonts w:ascii="仿宋" w:hAnsi="仿宋" w:eastAsia="仿宋"/>
                <w:color w:val="auto"/>
                <w:sz w:val="24"/>
                <w:lang w:val="en-GB"/>
              </w:rPr>
            </w:pPr>
            <w:r>
              <w:rPr>
                <w:rFonts w:ascii="仿宋" w:hAnsi="仿宋" w:eastAsia="仿宋"/>
                <w:color w:val="auto"/>
                <w:sz w:val="24"/>
                <w:lang w:val="en-GB"/>
              </w:rPr>
              <w:t>身份证（反面）粘贴处</w:t>
            </w:r>
          </w:p>
          <w:p>
            <w:pPr>
              <w:spacing w:line="360" w:lineRule="auto"/>
              <w:ind w:firstLine="480"/>
              <w:rPr>
                <w:rFonts w:ascii="仿宋" w:hAnsi="仿宋" w:eastAsia="仿宋"/>
                <w:color w:val="auto"/>
                <w:sz w:val="24"/>
                <w:lang w:val="en-GB"/>
              </w:rPr>
            </w:pPr>
          </w:p>
        </w:tc>
      </w:tr>
    </w:tbl>
    <w:p>
      <w:pPr>
        <w:rPr>
          <w:rFonts w:ascii="仿宋" w:hAnsi="仿宋" w:eastAsia="仿宋"/>
          <w:color w:val="auto"/>
          <w:sz w:val="24"/>
        </w:rPr>
      </w:pPr>
    </w:p>
    <w:p>
      <w:pPr>
        <w:spacing w:line="360" w:lineRule="auto"/>
        <w:jc w:val="center"/>
        <w:rPr>
          <w:rFonts w:ascii="仿宋" w:hAnsi="仿宋" w:eastAsia="仿宋"/>
          <w:b/>
          <w:bCs/>
          <w:color w:val="auto"/>
          <w:sz w:val="36"/>
          <w:szCs w:val="36"/>
        </w:rPr>
      </w:pPr>
      <w:r>
        <w:rPr>
          <w:rFonts w:ascii="仿宋" w:hAnsi="仿宋" w:eastAsia="仿宋"/>
          <w:b/>
          <w:bCs/>
          <w:color w:val="auto"/>
          <w:sz w:val="36"/>
          <w:szCs w:val="36"/>
        </w:rPr>
        <w:t>授权委托书</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lang w:val="en-GB"/>
        </w:rPr>
      </w:pPr>
      <w:r>
        <w:rPr>
          <w:rFonts w:ascii="仿宋" w:hAnsi="仿宋" w:eastAsia="仿宋"/>
          <w:color w:val="auto"/>
          <w:sz w:val="24"/>
          <w:lang w:val="en-GB"/>
        </w:rPr>
        <w:t>本授权委托书声明：我   （姓名）  系      （投标人名称）   的法定代表人，现授权委托      （单位名称）        的   （姓名及职务） 为我公司签署投标文件的法定代表人的授权委托代理人，我承认代理人全权代表我所签署的文件的内容。</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 xml:space="preserve">代理人无转委托权，特此委托。 </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rPr>
      </w:pPr>
      <w:r>
        <w:rPr>
          <w:rFonts w:ascii="仿宋" w:hAnsi="仿宋" w:eastAsia="仿宋"/>
          <w:color w:val="auto"/>
          <w:sz w:val="24"/>
          <w:lang w:val="en-GB"/>
        </w:rPr>
        <w:t>代理人：  性别：  年龄：</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身份证号码：  职务：</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投标人（盖章）：</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法定代表人（签字或盖章）：</w:t>
      </w:r>
    </w:p>
    <w:p>
      <w:pPr>
        <w:spacing w:line="360" w:lineRule="auto"/>
        <w:ind w:firstLine="480"/>
        <w:rPr>
          <w:rFonts w:ascii="仿宋" w:hAnsi="仿宋" w:eastAsia="仿宋"/>
          <w:color w:val="auto"/>
          <w:sz w:val="24"/>
          <w:lang w:val="en-GB"/>
        </w:rPr>
      </w:pPr>
      <w:r>
        <w:rPr>
          <w:rFonts w:ascii="仿宋" w:hAnsi="仿宋" w:eastAsia="仿宋"/>
          <w:color w:val="auto"/>
          <w:sz w:val="24"/>
          <w:lang w:val="en-GB"/>
        </w:rPr>
        <w:t>授权委托日期：    年   月   日</w:t>
      </w:r>
    </w:p>
    <w:p>
      <w:pPr>
        <w:spacing w:line="360" w:lineRule="auto"/>
        <w:ind w:firstLine="480"/>
        <w:rPr>
          <w:rFonts w:ascii="仿宋" w:hAnsi="仿宋" w:eastAsia="仿宋"/>
          <w:color w:val="auto"/>
          <w:sz w:val="24"/>
          <w:lang w:val="en-GB"/>
        </w:rPr>
      </w:pPr>
    </w:p>
    <w:p>
      <w:pPr>
        <w:spacing w:line="360" w:lineRule="auto"/>
        <w:ind w:firstLine="480"/>
        <w:rPr>
          <w:rFonts w:ascii="仿宋" w:hAnsi="仿宋" w:eastAsia="仿宋"/>
          <w:color w:val="auto"/>
          <w:sz w:val="24"/>
          <w:lang w:val="en-GB"/>
        </w:rPr>
      </w:pPr>
      <w:r>
        <w:rPr>
          <w:rFonts w:ascii="仿宋" w:hAnsi="仿宋" w:eastAsia="仿宋"/>
          <w:color w:val="auto"/>
          <w:sz w:val="24"/>
          <w:lang w:val="en-GB"/>
        </w:rPr>
        <w:t>附：代理人身份证扫描件</w:t>
      </w:r>
    </w:p>
    <w:tbl>
      <w:tblPr>
        <w:tblStyle w:val="40"/>
        <w:tblW w:w="4876" w:type="dxa"/>
        <w:jc w:val="center"/>
        <w:tblLayout w:type="autofit"/>
        <w:tblCellMar>
          <w:top w:w="0" w:type="dxa"/>
          <w:left w:w="108" w:type="dxa"/>
          <w:bottom w:w="0" w:type="dxa"/>
          <w:right w:w="108" w:type="dxa"/>
        </w:tblCellMar>
      </w:tblPr>
      <w:tblGrid>
        <w:gridCol w:w="4876"/>
      </w:tblGrid>
      <w:tr>
        <w:tblPrEx>
          <w:tblCellMar>
            <w:top w:w="0" w:type="dxa"/>
            <w:left w:w="108" w:type="dxa"/>
            <w:bottom w:w="0" w:type="dxa"/>
            <w:right w:w="108" w:type="dxa"/>
          </w:tblCellMar>
        </w:tblPrEx>
        <w:trPr>
          <w:trHeight w:val="3062" w:hRule="exact"/>
          <w:jc w:val="center"/>
        </w:trPr>
        <w:tc>
          <w:tcPr>
            <w:tcW w:w="4876" w:type="dxa"/>
            <w:tcBorders>
              <w:top w:val="single" w:color="000000" w:sz="12" w:space="0"/>
              <w:left w:val="single" w:color="000000" w:sz="12" w:space="0"/>
              <w:bottom w:val="single" w:color="000000" w:sz="6" w:space="0"/>
              <w:right w:val="single" w:color="000000" w:sz="6" w:space="0"/>
            </w:tcBorders>
            <w:shd w:val="clear" w:color="auto" w:fill="auto"/>
            <w:vAlign w:val="center"/>
          </w:tcPr>
          <w:p>
            <w:pPr>
              <w:spacing w:line="360" w:lineRule="auto"/>
              <w:ind w:firstLine="480"/>
              <w:rPr>
                <w:rFonts w:ascii="仿宋" w:hAnsi="仿宋" w:eastAsia="仿宋"/>
                <w:color w:val="auto"/>
                <w:sz w:val="24"/>
                <w:lang w:val="en-GB"/>
              </w:rPr>
            </w:pPr>
            <w:r>
              <w:rPr>
                <w:rFonts w:ascii="仿宋" w:hAnsi="仿宋" w:eastAsia="仿宋"/>
                <w:color w:val="auto"/>
                <w:sz w:val="24"/>
                <w:lang w:val="en-GB"/>
              </w:rPr>
              <w:t>身份证（正面）粘贴处</w:t>
            </w:r>
          </w:p>
        </w:tc>
      </w:tr>
      <w:tr>
        <w:tblPrEx>
          <w:tblCellMar>
            <w:top w:w="0" w:type="dxa"/>
            <w:left w:w="108" w:type="dxa"/>
            <w:bottom w:w="0" w:type="dxa"/>
            <w:right w:w="108" w:type="dxa"/>
          </w:tblCellMar>
        </w:tblPrEx>
        <w:trPr>
          <w:trHeight w:val="3062" w:hRule="exact"/>
          <w:jc w:val="center"/>
        </w:trPr>
        <w:tc>
          <w:tcPr>
            <w:tcW w:w="4876" w:type="dxa"/>
            <w:tcBorders>
              <w:top w:val="single" w:color="000000" w:sz="6" w:space="0"/>
              <w:left w:val="single" w:color="000000" w:sz="12" w:space="0"/>
              <w:bottom w:val="single" w:color="000000" w:sz="12" w:space="0"/>
              <w:right w:val="single" w:color="000000" w:sz="6" w:space="0"/>
            </w:tcBorders>
            <w:shd w:val="clear" w:color="auto" w:fill="auto"/>
            <w:vAlign w:val="center"/>
          </w:tcPr>
          <w:p>
            <w:pPr>
              <w:spacing w:line="360" w:lineRule="auto"/>
              <w:ind w:firstLine="480"/>
              <w:rPr>
                <w:rFonts w:ascii="仿宋" w:hAnsi="仿宋" w:eastAsia="仿宋"/>
                <w:color w:val="auto"/>
                <w:sz w:val="24"/>
                <w:lang w:val="en-GB"/>
              </w:rPr>
            </w:pPr>
            <w:r>
              <w:rPr>
                <w:rFonts w:ascii="仿宋" w:hAnsi="仿宋" w:eastAsia="仿宋"/>
                <w:color w:val="auto"/>
                <w:sz w:val="24"/>
                <w:lang w:val="en-GB"/>
              </w:rPr>
              <w:t>身份证（反面）粘贴处</w:t>
            </w:r>
          </w:p>
          <w:p>
            <w:pPr>
              <w:spacing w:line="360" w:lineRule="auto"/>
              <w:ind w:firstLine="480"/>
              <w:rPr>
                <w:rFonts w:ascii="仿宋" w:hAnsi="仿宋" w:eastAsia="仿宋"/>
                <w:color w:val="auto"/>
                <w:sz w:val="24"/>
                <w:lang w:val="en-GB"/>
              </w:rPr>
            </w:pPr>
          </w:p>
        </w:tc>
      </w:tr>
    </w:tbl>
    <w:p>
      <w:pPr>
        <w:rPr>
          <w:color w:val="auto"/>
        </w:rPr>
        <w:sectPr>
          <w:footerReference r:id="rId5" w:type="default"/>
          <w:pgSz w:w="11906" w:h="16838"/>
          <w:pgMar w:top="1440" w:right="1800" w:bottom="1440" w:left="1800" w:header="0" w:footer="992" w:gutter="0"/>
          <w:pgNumType w:fmt="decimal"/>
          <w:cols w:space="720" w:num="1"/>
          <w:formProt w:val="0"/>
          <w:docGrid w:type="lines" w:linePitch="312" w:charSpace="0"/>
        </w:sectPr>
      </w:pPr>
    </w:p>
    <w:p>
      <w:pPr>
        <w:jc w:val="left"/>
        <w:rPr>
          <w:color w:val="auto"/>
        </w:rPr>
      </w:pPr>
      <w:r>
        <w:rPr>
          <w:rFonts w:ascii="仿宋" w:hAnsi="仿宋" w:eastAsia="仿宋"/>
          <w:color w:val="auto"/>
          <w:sz w:val="31"/>
          <w:szCs w:val="31"/>
        </w:rPr>
        <w:t>附件7：</w:t>
      </w:r>
    </w:p>
    <w:p>
      <w:pPr>
        <w:jc w:val="center"/>
        <w:rPr>
          <w:color w:val="auto"/>
        </w:rPr>
      </w:pPr>
      <w:r>
        <w:rPr>
          <w:rFonts w:ascii="宋体" w:hAnsi="宋体" w:cs="宋体"/>
          <w:b/>
          <w:bCs/>
          <w:color w:val="auto"/>
          <w:sz w:val="32"/>
          <w:szCs w:val="32"/>
        </w:rPr>
        <w:t>工程技术要求</w:t>
      </w:r>
    </w:p>
    <w:p>
      <w:pPr>
        <w:keepNext/>
        <w:keepLines/>
        <w:numPr>
          <w:ilvl w:val="0"/>
          <w:numId w:val="0"/>
        </w:numPr>
        <w:spacing w:line="360" w:lineRule="auto"/>
        <w:outlineLvl w:val="3"/>
        <w:rPr>
          <w:rFonts w:ascii="仿宋" w:hAnsi="仿宋" w:eastAsia="仿宋" w:cstheme="minorBidi"/>
          <w:b/>
          <w:bCs/>
          <w:color w:val="auto"/>
          <w:kern w:val="2"/>
          <w:sz w:val="24"/>
          <w:szCs w:val="24"/>
          <w:lang w:val="en-US" w:eastAsia="zh-CN" w:bidi="ar-SA"/>
        </w:rPr>
      </w:pPr>
      <w:r>
        <w:rPr>
          <w:rFonts w:ascii="仿宋" w:hAnsi="仿宋" w:eastAsiaTheme="minorEastAsia" w:cstheme="minorBidi"/>
          <w:b/>
          <w:bCs/>
          <w:color w:val="auto"/>
          <w:kern w:val="2"/>
          <w:sz w:val="24"/>
          <w:szCs w:val="24"/>
          <w:lang w:val="en-US" w:eastAsia="zh-CN" w:bidi="ar-SA"/>
        </w:rPr>
        <w:t>一．铝板</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1.</w:t>
      </w:r>
      <w:r>
        <w:rPr>
          <w:rFonts w:ascii="仿宋" w:hAnsi="仿宋" w:eastAsiaTheme="minorEastAsia" w:cstheme="minorBidi"/>
          <w:color w:val="auto"/>
          <w:kern w:val="2"/>
          <w:sz w:val="24"/>
          <w:szCs w:val="24"/>
          <w:lang w:val="en-US" w:eastAsia="zh-CN" w:bidi="ar-SA"/>
        </w:rPr>
        <w:t>本工程立面铝板、铝板吊顶、铝板包柱等，厚度及材料表面处理方式以图纸标注为准，所有铝板厚度不允许出现负公差；单层铝板需按分割设计，在工厂一次性加工成成品，只在施工现场组合安装。</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2.</w:t>
      </w:r>
      <w:r>
        <w:rPr>
          <w:rFonts w:ascii="仿宋" w:hAnsi="仿宋" w:eastAsiaTheme="minorEastAsia" w:cstheme="minorBidi"/>
          <w:color w:val="auto"/>
          <w:kern w:val="2"/>
          <w:sz w:val="24"/>
          <w:szCs w:val="24"/>
          <w:lang w:val="en-US" w:eastAsia="zh-CN" w:bidi="ar-SA"/>
        </w:rPr>
        <w:t>本工程铝板颜色应以建设单位封样为准，喷涂颜色在施工送样阶段由建设单位确定，承包人要充分考虑由于颜色确认的变化可能的材料价格风险。</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3.</w:t>
      </w:r>
      <w:r>
        <w:rPr>
          <w:rFonts w:ascii="仿宋" w:hAnsi="仿宋" w:eastAsiaTheme="minorEastAsia" w:cstheme="minorBidi"/>
          <w:color w:val="auto"/>
          <w:kern w:val="2"/>
          <w:sz w:val="24"/>
          <w:szCs w:val="24"/>
          <w:lang w:val="en-US" w:eastAsia="zh-CN" w:bidi="ar-SA"/>
        </w:rPr>
        <w:t>铝板表面为氟碳喷涂</w:t>
      </w:r>
      <w:r>
        <w:rPr>
          <w:rFonts w:ascii="仿宋" w:hAnsi="仿宋" w:eastAsia="仿宋" w:cstheme="minorBidi"/>
          <w:color w:val="auto"/>
          <w:kern w:val="2"/>
          <w:sz w:val="24"/>
          <w:szCs w:val="24"/>
          <w:lang w:val="en-US" w:eastAsia="zh-CN" w:bidi="ar-SA"/>
        </w:rPr>
        <w:t>(</w:t>
      </w:r>
      <w:r>
        <w:rPr>
          <w:rFonts w:ascii="仿宋" w:hAnsi="仿宋" w:eastAsiaTheme="minorEastAsia" w:cstheme="minorBidi"/>
          <w:color w:val="auto"/>
          <w:kern w:val="2"/>
          <w:sz w:val="24"/>
          <w:szCs w:val="24"/>
          <w:lang w:val="en-US" w:eastAsia="zh-CN" w:bidi="ar-SA"/>
        </w:rPr>
        <w:t>三涂两烤</w:t>
      </w:r>
      <w:r>
        <w:rPr>
          <w:rFonts w:ascii="仿宋" w:hAnsi="仿宋" w:eastAsia="仿宋" w:cstheme="minorBidi"/>
          <w:color w:val="auto"/>
          <w:kern w:val="2"/>
          <w:sz w:val="24"/>
          <w:szCs w:val="24"/>
          <w:lang w:val="en-US" w:eastAsia="zh-CN" w:bidi="ar-SA"/>
        </w:rPr>
        <w:t>)</w:t>
      </w:r>
      <w:r>
        <w:rPr>
          <w:rFonts w:ascii="仿宋" w:hAnsi="仿宋" w:eastAsiaTheme="minorEastAsia" w:cstheme="minorBidi"/>
          <w:color w:val="auto"/>
          <w:kern w:val="2"/>
          <w:sz w:val="24"/>
          <w:szCs w:val="24"/>
          <w:lang w:val="en-US" w:eastAsia="zh-CN" w:bidi="ar-SA"/>
        </w:rPr>
        <w:t>处理，平均膜厚不小于</w:t>
      </w:r>
      <w:r>
        <w:rPr>
          <w:rFonts w:ascii="仿宋" w:hAnsi="仿宋" w:eastAsia="仿宋" w:cstheme="minorBidi"/>
          <w:color w:val="auto"/>
          <w:kern w:val="2"/>
          <w:sz w:val="24"/>
          <w:szCs w:val="24"/>
          <w:lang w:val="en-US" w:eastAsia="zh-CN" w:bidi="ar-SA"/>
        </w:rPr>
        <w:t>40μm</w:t>
      </w:r>
      <w:r>
        <w:rPr>
          <w:rFonts w:ascii="仿宋" w:hAnsi="仿宋" w:eastAsiaTheme="minorEastAsia" w:cstheme="minorBidi"/>
          <w:color w:val="auto"/>
          <w:kern w:val="2"/>
          <w:sz w:val="24"/>
          <w:szCs w:val="24"/>
          <w:lang w:val="en-US" w:eastAsia="zh-CN" w:bidi="ar-SA"/>
        </w:rPr>
        <w:t>，局部膜厚不小于</w:t>
      </w:r>
      <w:r>
        <w:rPr>
          <w:rFonts w:ascii="仿宋" w:hAnsi="仿宋" w:eastAsia="仿宋" w:cstheme="minorBidi"/>
          <w:color w:val="auto"/>
          <w:kern w:val="2"/>
          <w:sz w:val="24"/>
          <w:szCs w:val="24"/>
          <w:lang w:val="en-US" w:eastAsia="zh-CN" w:bidi="ar-SA"/>
        </w:rPr>
        <w:t>35μm</w:t>
      </w:r>
      <w:r>
        <w:rPr>
          <w:rFonts w:ascii="仿宋" w:hAnsi="仿宋" w:eastAsiaTheme="minorEastAsia" w:cstheme="minorBidi"/>
          <w:color w:val="auto"/>
          <w:kern w:val="2"/>
          <w:sz w:val="24"/>
          <w:szCs w:val="24"/>
          <w:lang w:val="en-US" w:eastAsia="zh-CN" w:bidi="ar-SA"/>
        </w:rPr>
        <w:t>。</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Theme="minorEastAsia" w:cstheme="minorBidi"/>
          <w:color w:val="auto"/>
          <w:kern w:val="2"/>
          <w:sz w:val="24"/>
          <w:szCs w:val="24"/>
          <w:lang w:val="en-US" w:eastAsia="zh-CN" w:bidi="ar-SA"/>
        </w:rPr>
        <w:t>①底漆涂层：底层喷涂在于提高涂层抗渗透能力，增强对底材的保护，稳定金属表面，加强面漆与金属表面的附着力，而且可以保证面漆涂层颜色的均应性，涂层厚度</w:t>
      </w:r>
      <w:r>
        <w:rPr>
          <w:rFonts w:ascii="仿宋" w:hAnsi="仿宋" w:eastAsia="仿宋" w:cstheme="minorBidi"/>
          <w:color w:val="auto"/>
          <w:kern w:val="2"/>
          <w:sz w:val="24"/>
          <w:szCs w:val="24"/>
          <w:lang w:val="en-US" w:eastAsia="zh-CN" w:bidi="ar-SA"/>
        </w:rPr>
        <w:t>5</w:t>
      </w:r>
      <w:r>
        <w:rPr>
          <w:rFonts w:ascii="仿宋" w:hAnsi="仿宋" w:eastAsiaTheme="minorEastAsia" w:cstheme="minorBidi"/>
          <w:color w:val="auto"/>
          <w:kern w:val="2"/>
          <w:sz w:val="24"/>
          <w:szCs w:val="24"/>
          <w:lang w:val="en-US" w:eastAsia="zh-CN" w:bidi="ar-SA"/>
        </w:rPr>
        <w:t>～</w:t>
      </w:r>
      <w:r>
        <w:rPr>
          <w:rFonts w:ascii="仿宋" w:hAnsi="仿宋" w:eastAsia="仿宋" w:cstheme="minorBidi"/>
          <w:color w:val="auto"/>
          <w:kern w:val="2"/>
          <w:sz w:val="24"/>
          <w:szCs w:val="24"/>
          <w:lang w:val="en-US" w:eastAsia="zh-CN" w:bidi="ar-SA"/>
        </w:rPr>
        <w:t>10μm</w:t>
      </w:r>
      <w:r>
        <w:rPr>
          <w:rFonts w:ascii="仿宋" w:hAnsi="仿宋" w:eastAsiaTheme="minorEastAsia" w:cstheme="minorBidi"/>
          <w:color w:val="auto"/>
          <w:kern w:val="2"/>
          <w:sz w:val="24"/>
          <w:szCs w:val="24"/>
          <w:lang w:val="en-US" w:eastAsia="zh-CN" w:bidi="ar-SA"/>
        </w:rPr>
        <w:t>。</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Theme="minorEastAsia" w:cstheme="minorBidi"/>
          <w:color w:val="auto"/>
          <w:kern w:val="2"/>
          <w:sz w:val="24"/>
          <w:szCs w:val="24"/>
          <w:lang w:val="en-US" w:eastAsia="zh-CN" w:bidi="ar-SA"/>
        </w:rPr>
        <w:t>②面漆涂层：面漆喷涂是涂层中最厚的一层本层涂层厚度为</w:t>
      </w:r>
      <w:r>
        <w:rPr>
          <w:rFonts w:ascii="仿宋" w:hAnsi="仿宋" w:eastAsia="仿宋" w:cstheme="minorBidi"/>
          <w:color w:val="auto"/>
          <w:kern w:val="2"/>
          <w:sz w:val="24"/>
          <w:szCs w:val="24"/>
          <w:lang w:val="en-US" w:eastAsia="zh-CN" w:bidi="ar-SA"/>
        </w:rPr>
        <w:t>25</w:t>
      </w:r>
      <w:r>
        <w:rPr>
          <w:rFonts w:ascii="仿宋" w:hAnsi="仿宋" w:eastAsiaTheme="minorEastAsia" w:cstheme="minorBidi"/>
          <w:color w:val="auto"/>
          <w:kern w:val="2"/>
          <w:sz w:val="24"/>
          <w:szCs w:val="24"/>
          <w:lang w:val="en-US" w:eastAsia="zh-CN" w:bidi="ar-SA"/>
        </w:rPr>
        <w:t>～</w:t>
      </w:r>
      <w:r>
        <w:rPr>
          <w:rFonts w:ascii="仿宋" w:hAnsi="仿宋" w:eastAsia="仿宋" w:cstheme="minorBidi"/>
          <w:color w:val="auto"/>
          <w:kern w:val="2"/>
          <w:sz w:val="24"/>
          <w:szCs w:val="24"/>
          <w:lang w:val="en-US" w:eastAsia="zh-CN" w:bidi="ar-SA"/>
        </w:rPr>
        <w:t>30μm</w:t>
      </w:r>
      <w:r>
        <w:rPr>
          <w:rFonts w:ascii="仿宋" w:hAnsi="仿宋" w:eastAsiaTheme="minorEastAsia" w:cstheme="minorBidi"/>
          <w:color w:val="auto"/>
          <w:kern w:val="2"/>
          <w:sz w:val="24"/>
          <w:szCs w:val="24"/>
          <w:lang w:val="en-US" w:eastAsia="zh-CN" w:bidi="ar-SA"/>
        </w:rPr>
        <w:t>。</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Theme="minorEastAsia" w:cstheme="minorBidi"/>
          <w:color w:val="auto"/>
          <w:kern w:val="2"/>
          <w:sz w:val="24"/>
          <w:szCs w:val="24"/>
          <w:lang w:val="en-US" w:eastAsia="zh-CN" w:bidi="ar-SA"/>
        </w:rPr>
        <w:t>③清漆涂层：清漆涂层厚度为</w:t>
      </w:r>
      <w:r>
        <w:rPr>
          <w:rFonts w:ascii="仿宋" w:hAnsi="仿宋" w:eastAsia="仿宋" w:cstheme="minorBidi"/>
          <w:color w:val="auto"/>
          <w:kern w:val="2"/>
          <w:sz w:val="24"/>
          <w:szCs w:val="24"/>
          <w:lang w:val="en-US" w:eastAsia="zh-CN" w:bidi="ar-SA"/>
        </w:rPr>
        <w:t>1</w:t>
      </w:r>
      <w:r>
        <w:rPr>
          <w:rFonts w:ascii="仿宋" w:hAnsi="仿宋" w:eastAsiaTheme="minorEastAsia" w:cstheme="minorBidi"/>
          <w:color w:val="auto"/>
          <w:kern w:val="2"/>
          <w:sz w:val="24"/>
          <w:szCs w:val="24"/>
          <w:lang w:val="en-US" w:eastAsia="zh-CN" w:bidi="ar-SA"/>
        </w:rPr>
        <w:t>～</w:t>
      </w:r>
      <w:r>
        <w:rPr>
          <w:rFonts w:ascii="仿宋" w:hAnsi="仿宋" w:eastAsia="仿宋" w:cstheme="minorBidi"/>
          <w:color w:val="auto"/>
          <w:kern w:val="2"/>
          <w:sz w:val="24"/>
          <w:szCs w:val="24"/>
          <w:lang w:val="en-US" w:eastAsia="zh-CN" w:bidi="ar-SA"/>
        </w:rPr>
        <w:t>15μm</w:t>
      </w:r>
      <w:r>
        <w:rPr>
          <w:rFonts w:ascii="仿宋" w:hAnsi="仿宋" w:eastAsiaTheme="minorEastAsia" w:cstheme="minorBidi"/>
          <w:color w:val="auto"/>
          <w:kern w:val="2"/>
          <w:sz w:val="24"/>
          <w:szCs w:val="24"/>
          <w:lang w:val="en-US" w:eastAsia="zh-CN" w:bidi="ar-SA"/>
        </w:rPr>
        <w:t>。</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4.</w:t>
      </w:r>
      <w:r>
        <w:rPr>
          <w:rFonts w:ascii="仿宋" w:hAnsi="仿宋" w:eastAsiaTheme="minorEastAsia" w:cstheme="minorBidi"/>
          <w:color w:val="auto"/>
          <w:kern w:val="2"/>
          <w:sz w:val="24"/>
          <w:szCs w:val="24"/>
          <w:lang w:val="en-US" w:eastAsia="zh-CN" w:bidi="ar-SA"/>
        </w:rPr>
        <w:t>铝板加强筋间距应根据各使用部位的板块实际大小计算确定，且不大于</w:t>
      </w:r>
      <w:r>
        <w:rPr>
          <w:rFonts w:ascii="仿宋" w:hAnsi="仿宋" w:eastAsia="仿宋" w:cstheme="minorBidi"/>
          <w:color w:val="auto"/>
          <w:kern w:val="2"/>
          <w:sz w:val="24"/>
          <w:szCs w:val="24"/>
          <w:lang w:val="en-US" w:eastAsia="zh-CN" w:bidi="ar-SA"/>
        </w:rPr>
        <w:t>500mm</w:t>
      </w:r>
      <w:r>
        <w:rPr>
          <w:rFonts w:ascii="仿宋" w:hAnsi="仿宋" w:eastAsiaTheme="minorEastAsia" w:cstheme="minorBidi"/>
          <w:color w:val="auto"/>
          <w:kern w:val="2"/>
          <w:sz w:val="24"/>
          <w:szCs w:val="24"/>
          <w:lang w:val="en-US" w:eastAsia="zh-CN" w:bidi="ar-SA"/>
        </w:rPr>
        <w:t>，铝板加强筋需与铝板折边进行连接，穿孔铝板加强筋需与面板穿孔对应。</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5.</w:t>
      </w:r>
      <w:r>
        <w:rPr>
          <w:rFonts w:ascii="仿宋" w:hAnsi="仿宋" w:eastAsiaTheme="minorEastAsia" w:cstheme="minorBidi"/>
          <w:color w:val="auto"/>
          <w:kern w:val="2"/>
          <w:sz w:val="24"/>
          <w:szCs w:val="24"/>
          <w:lang w:val="en-US" w:eastAsia="zh-CN" w:bidi="ar-SA"/>
        </w:rPr>
        <w:t>板材的所有转角和接头应沿拼接处焊接。加工涂层之前，所有焊缝应用</w:t>
      </w:r>
      <w:r>
        <w:rPr>
          <w:rFonts w:ascii="仿宋" w:hAnsi="仿宋" w:eastAsia="仿宋" w:cstheme="minorBidi"/>
          <w:color w:val="auto"/>
          <w:kern w:val="2"/>
          <w:sz w:val="24"/>
          <w:szCs w:val="24"/>
          <w:lang w:val="en-US" w:eastAsia="zh-CN" w:bidi="ar-SA"/>
        </w:rPr>
        <w:t>180</w:t>
      </w:r>
      <w:r>
        <w:rPr>
          <w:rFonts w:ascii="仿宋" w:hAnsi="仿宋" w:eastAsiaTheme="minorEastAsia" w:cstheme="minorBidi"/>
          <w:color w:val="auto"/>
          <w:kern w:val="2"/>
          <w:sz w:val="24"/>
          <w:szCs w:val="24"/>
          <w:lang w:val="en-US" w:eastAsia="zh-CN" w:bidi="ar-SA"/>
        </w:rPr>
        <w:t>级砂纸打磨至平整光滑。</w:t>
      </w:r>
    </w:p>
    <w:p>
      <w:pPr>
        <w:keepNext/>
        <w:keepLines/>
        <w:spacing w:line="360" w:lineRule="auto"/>
        <w:ind w:firstLine="420"/>
        <w:rPr>
          <w:rFonts w:ascii="仿宋" w:hAnsi="仿宋" w:eastAsia="仿宋" w:cstheme="minorBidi"/>
          <w:color w:val="auto"/>
          <w:kern w:val="2"/>
          <w:sz w:val="24"/>
          <w:szCs w:val="24"/>
          <w:lang w:val="en-US" w:eastAsia="zh-CN" w:bidi="ar-SA"/>
        </w:rPr>
      </w:pPr>
      <w:r>
        <w:rPr>
          <w:rFonts w:ascii="仿宋" w:hAnsi="仿宋" w:eastAsia="仿宋" w:cstheme="minorBidi"/>
          <w:color w:val="auto"/>
          <w:kern w:val="2"/>
          <w:sz w:val="24"/>
          <w:szCs w:val="24"/>
          <w:lang w:val="en-US" w:eastAsia="zh-CN" w:bidi="ar-SA"/>
        </w:rPr>
        <w:t>6.</w:t>
      </w:r>
      <w:r>
        <w:rPr>
          <w:rFonts w:ascii="仿宋" w:hAnsi="仿宋" w:eastAsiaTheme="minorEastAsia" w:cstheme="minorBidi"/>
          <w:color w:val="auto"/>
          <w:kern w:val="2"/>
          <w:sz w:val="24"/>
          <w:szCs w:val="24"/>
          <w:lang w:val="en-US" w:eastAsia="zh-CN" w:bidi="ar-SA"/>
        </w:rPr>
        <w:t>生产的板材在加工涂层之前必须进行预处理。预处理最少为</w:t>
      </w:r>
      <w:r>
        <w:rPr>
          <w:rFonts w:ascii="仿宋" w:hAnsi="仿宋" w:eastAsia="仿宋" w:cstheme="minorBidi"/>
          <w:color w:val="auto"/>
          <w:kern w:val="2"/>
          <w:sz w:val="24"/>
          <w:szCs w:val="24"/>
          <w:lang w:val="en-US" w:eastAsia="zh-CN" w:bidi="ar-SA"/>
        </w:rPr>
        <w:t>12</w:t>
      </w:r>
      <w:r>
        <w:rPr>
          <w:rFonts w:ascii="仿宋" w:hAnsi="仿宋" w:eastAsiaTheme="minorEastAsia" w:cstheme="minorBidi"/>
          <w:color w:val="auto"/>
          <w:kern w:val="2"/>
          <w:sz w:val="24"/>
          <w:szCs w:val="24"/>
          <w:lang w:val="en-US" w:eastAsia="zh-CN" w:bidi="ar-SA"/>
        </w:rPr>
        <w:t>阶段步骤，包括去油、酸洗、铬酸盐处理等，最后漂清；铬化转化膜的厚度应控制在</w:t>
      </w:r>
      <w:r>
        <w:rPr>
          <w:rFonts w:ascii="仿宋" w:hAnsi="仿宋" w:eastAsia="仿宋" w:cstheme="minorBidi"/>
          <w:color w:val="auto"/>
          <w:kern w:val="2"/>
          <w:sz w:val="24"/>
          <w:szCs w:val="24"/>
          <w:lang w:val="en-US" w:eastAsia="zh-CN" w:bidi="ar-SA"/>
        </w:rPr>
        <w:t xml:space="preserve">200 mg/m2 </w:t>
      </w:r>
      <w:r>
        <w:rPr>
          <w:rFonts w:ascii="仿宋" w:hAnsi="仿宋" w:eastAsiaTheme="minorEastAsia" w:cstheme="minorBidi"/>
          <w:color w:val="auto"/>
          <w:kern w:val="2"/>
          <w:sz w:val="24"/>
          <w:szCs w:val="24"/>
          <w:lang w:val="en-US" w:eastAsia="zh-CN" w:bidi="ar-SA"/>
        </w:rPr>
        <w:t>～</w:t>
      </w:r>
      <w:r>
        <w:rPr>
          <w:rFonts w:ascii="仿宋" w:hAnsi="仿宋" w:eastAsia="仿宋" w:cstheme="minorBidi"/>
          <w:color w:val="auto"/>
          <w:kern w:val="2"/>
          <w:sz w:val="24"/>
          <w:szCs w:val="24"/>
          <w:lang w:val="en-US" w:eastAsia="zh-CN" w:bidi="ar-SA"/>
        </w:rPr>
        <w:t>1300 mg</w:t>
      </w:r>
      <w:r>
        <w:rPr>
          <w:rFonts w:ascii="仿宋" w:hAnsi="仿宋" w:eastAsiaTheme="minorEastAsia" w:cstheme="minorBidi"/>
          <w:color w:val="auto"/>
          <w:kern w:val="2"/>
          <w:sz w:val="24"/>
          <w:szCs w:val="24"/>
          <w:lang w:val="en-US" w:eastAsia="zh-CN" w:bidi="ar-SA"/>
        </w:rPr>
        <w:t>／</w:t>
      </w:r>
      <w:r>
        <w:rPr>
          <w:rFonts w:ascii="仿宋" w:hAnsi="仿宋" w:eastAsia="仿宋" w:cstheme="minorBidi"/>
          <w:color w:val="auto"/>
          <w:kern w:val="2"/>
          <w:sz w:val="24"/>
          <w:szCs w:val="24"/>
          <w:lang w:val="en-US" w:eastAsia="zh-CN" w:bidi="ar-SA"/>
        </w:rPr>
        <w:t>m2</w:t>
      </w:r>
      <w:r>
        <w:rPr>
          <w:rFonts w:ascii="仿宋" w:hAnsi="仿宋" w:eastAsiaTheme="minorEastAsia" w:cstheme="minorBidi"/>
          <w:color w:val="auto"/>
          <w:kern w:val="2"/>
          <w:sz w:val="24"/>
          <w:szCs w:val="24"/>
          <w:lang w:val="en-US" w:eastAsia="zh-CN" w:bidi="ar-SA"/>
        </w:rPr>
        <w:t>范围内</w:t>
      </w:r>
      <w:r>
        <w:rPr>
          <w:rFonts w:ascii="仿宋" w:hAnsi="仿宋" w:eastAsia="仿宋" w:cstheme="minorBidi"/>
          <w:color w:val="auto"/>
          <w:kern w:val="2"/>
          <w:sz w:val="24"/>
          <w:szCs w:val="24"/>
          <w:lang w:val="en-US" w:eastAsia="zh-CN" w:bidi="ar-SA"/>
        </w:rPr>
        <w:t>(</w:t>
      </w:r>
      <w:r>
        <w:rPr>
          <w:rFonts w:ascii="仿宋" w:hAnsi="仿宋" w:eastAsiaTheme="minorEastAsia" w:cstheme="minorBidi"/>
          <w:color w:val="auto"/>
          <w:kern w:val="2"/>
          <w:sz w:val="24"/>
          <w:szCs w:val="24"/>
          <w:lang w:val="en-US" w:eastAsia="zh-CN" w:bidi="ar-SA"/>
        </w:rPr>
        <w:t>用重量法测定</w:t>
      </w:r>
      <w:r>
        <w:rPr>
          <w:rFonts w:ascii="仿宋" w:hAnsi="仿宋" w:eastAsia="仿宋" w:cstheme="minorBidi"/>
          <w:color w:val="auto"/>
          <w:kern w:val="2"/>
          <w:sz w:val="24"/>
          <w:szCs w:val="24"/>
          <w:lang w:val="en-US" w:eastAsia="zh-CN" w:bidi="ar-SA"/>
        </w:rPr>
        <w:t>)</w:t>
      </w:r>
      <w:r>
        <w:rPr>
          <w:rFonts w:ascii="仿宋" w:hAnsi="仿宋" w:eastAsiaTheme="minorEastAsia" w:cstheme="minorBidi"/>
          <w:color w:val="auto"/>
          <w:kern w:val="2"/>
          <w:sz w:val="24"/>
          <w:szCs w:val="24"/>
          <w:lang w:val="en-US" w:eastAsia="zh-CN" w:bidi="ar-SA"/>
        </w:rPr>
        <w:t>。</w:t>
      </w:r>
    </w:p>
    <w:p>
      <w:pPr>
        <w:keepNext/>
        <w:keepLines/>
        <w:spacing w:line="360" w:lineRule="auto"/>
        <w:ind w:firstLine="420"/>
        <w:rPr>
          <w:rFonts w:ascii="宋体" w:hAnsi="宋体" w:cs="宋体"/>
          <w:color w:val="auto"/>
          <w:sz w:val="21"/>
          <w:szCs w:val="21"/>
        </w:rPr>
      </w:pPr>
      <w:r>
        <w:rPr>
          <w:rFonts w:ascii="仿宋" w:hAnsi="仿宋" w:eastAsia="仿宋" w:cstheme="minorBidi"/>
          <w:color w:val="auto"/>
          <w:kern w:val="2"/>
          <w:sz w:val="24"/>
          <w:szCs w:val="24"/>
          <w:lang w:val="en-US" w:eastAsia="zh-CN" w:bidi="ar-SA"/>
        </w:rPr>
        <w:t>7.</w:t>
      </w:r>
      <w:r>
        <w:rPr>
          <w:rFonts w:ascii="仿宋" w:hAnsi="仿宋" w:eastAsiaTheme="minorEastAsia" w:cstheme="minorBidi"/>
          <w:color w:val="auto"/>
          <w:kern w:val="2"/>
          <w:sz w:val="24"/>
          <w:szCs w:val="24"/>
          <w:lang w:val="en-US" w:eastAsia="zh-CN" w:bidi="ar-SA"/>
        </w:rPr>
        <w:t>板材的所有涂层必须在板材加工之后进行。不应使用预涂的板材，涂层的加工应在传送炉中进行以确保加工温度的持续性。</w:t>
      </w:r>
    </w:p>
    <w:p>
      <w:pPr>
        <w:keepNext/>
        <w:keepLines/>
        <w:snapToGrid w:val="0"/>
        <w:spacing w:line="360" w:lineRule="auto"/>
        <w:ind w:firstLine="420"/>
        <w:jc w:val="left"/>
        <w:rPr>
          <w:rFonts w:ascii="宋体" w:hAnsi="宋体" w:cs="宋体"/>
          <w:b w:val="0"/>
          <w:bCs w:val="0"/>
          <w:color w:val="auto"/>
          <w:sz w:val="21"/>
          <w:szCs w:val="21"/>
        </w:rPr>
      </w:pPr>
      <w:r>
        <w:rPr>
          <w:rFonts w:ascii="仿宋" w:hAnsi="仿宋" w:eastAsia="仿宋" w:cs="宋体"/>
          <w:b w:val="0"/>
          <w:bCs w:val="0"/>
          <w:color w:val="auto"/>
          <w:sz w:val="24"/>
          <w:szCs w:val="24"/>
        </w:rPr>
        <w:t>8.预滚涂铝板只能进行切割加工，不允许折边、植钉、打孔等加工处理。</w:t>
      </w:r>
      <w:r>
        <w:rPr>
          <w:rFonts w:ascii="宋体" w:hAnsi="宋体" w:eastAsia="仿宋" w:cs="宋体"/>
          <w:b w:val="0"/>
          <w:bCs w:val="0"/>
          <w:color w:val="auto"/>
          <w:sz w:val="21"/>
          <w:szCs w:val="21"/>
        </w:rPr>
        <w:t xml:space="preserve">      </w:t>
      </w:r>
      <w:r>
        <w:rPr>
          <w:rFonts w:ascii="仿宋" w:hAnsi="仿宋" w:eastAsia="仿宋" w:cs="宋体"/>
          <w:b w:val="0"/>
          <w:bCs w:val="0"/>
          <w:color w:val="auto"/>
          <w:kern w:val="2"/>
          <w:sz w:val="24"/>
          <w:szCs w:val="24"/>
          <w:lang w:val="en-US" w:eastAsia="zh-CN" w:bidi="ar-SA"/>
        </w:rPr>
        <w:t xml:space="preserve">9.铝板单板块任何一点与其理论位置之间的挠曲度不超过下列标准： </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⑴外露面积达到3.0平方米的板材：1.0mm </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⑵外露面积达到9.0平方米的板材：2.0mm</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⑶外露面积超过9.0平方米的板材：3.2mm </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10.耐火性能：A级。</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11.为保证铝板的平整度，铝板的固定方式宜采用挂接式或压板式，严禁直接上钉固定。</w:t>
      </w:r>
    </w:p>
    <w:p>
      <w:pPr>
        <w:keepNext/>
        <w:keepLines/>
        <w:spacing w:line="360" w:lineRule="auto"/>
        <w:ind w:firstLine="42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13.铝合金单层铝板的连接角码禁止采用铝板折弯件，须采用铝合金型材的角码连接，且应采用不锈钢铆钉与铝板折边连接。</w:t>
      </w:r>
    </w:p>
    <w:p>
      <w:pPr>
        <w:pStyle w:val="2"/>
        <w:snapToGrid w:val="0"/>
        <w:spacing w:line="360" w:lineRule="auto"/>
        <w:ind w:firstLine="420"/>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以上报告所发生的费用均包含在承包人的投标报价中。</w:t>
      </w:r>
    </w:p>
    <w:p>
      <w:pPr>
        <w:pStyle w:val="2"/>
        <w:snapToGrid w:val="0"/>
        <w:spacing w:line="360" w:lineRule="auto"/>
        <w:ind w:firstLine="420"/>
        <w:jc w:val="left"/>
        <w:rPr>
          <w:rFonts w:ascii="仿宋" w:hAnsi="仿宋" w:eastAsia="仿宋" w:cs="宋体"/>
          <w:b w:val="0"/>
          <w:bCs w:val="0"/>
          <w:color w:val="auto"/>
          <w:kern w:val="2"/>
          <w:sz w:val="24"/>
          <w:szCs w:val="24"/>
          <w:lang w:val="en-US" w:eastAsia="zh-CN" w:bidi="ar-SA"/>
        </w:rPr>
      </w:pPr>
    </w:p>
    <w:p>
      <w:pPr>
        <w:pStyle w:val="2"/>
        <w:snapToGrid w:val="0"/>
        <w:spacing w:line="360" w:lineRule="auto"/>
        <w:ind w:firstLine="420"/>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建筑用铝单板技术性能及原材料要求铝幕墙板技术性能及原材料品牌要求</w:t>
      </w:r>
    </w:p>
    <w:tbl>
      <w:tblPr>
        <w:tblStyle w:val="40"/>
        <w:tblW w:w="8306" w:type="dxa"/>
        <w:jc w:val="center"/>
        <w:tblLayout w:type="autofit"/>
        <w:tblCellMar>
          <w:top w:w="0" w:type="dxa"/>
          <w:left w:w="108" w:type="dxa"/>
          <w:bottom w:w="0" w:type="dxa"/>
          <w:right w:w="108" w:type="dxa"/>
        </w:tblCellMar>
      </w:tblPr>
      <w:tblGrid>
        <w:gridCol w:w="794"/>
        <w:gridCol w:w="1243"/>
        <w:gridCol w:w="4691"/>
        <w:gridCol w:w="1578"/>
      </w:tblGrid>
      <w:tr>
        <w:tblPrEx>
          <w:tblCellMar>
            <w:top w:w="0" w:type="dxa"/>
            <w:left w:w="108" w:type="dxa"/>
            <w:bottom w:w="0" w:type="dxa"/>
            <w:right w:w="108" w:type="dxa"/>
          </w:tblCellMar>
        </w:tblPrEx>
        <w:trPr>
          <w:trHeight w:val="540" w:hRule="atLeast"/>
          <w:jc w:val="center"/>
        </w:trPr>
        <w:tc>
          <w:tcPr>
            <w:tcW w:w="794" w:type="dxa"/>
            <w:tcBorders>
              <w:top w:val="single" w:color="000000" w:sz="4"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序号</w:t>
            </w:r>
          </w:p>
        </w:tc>
        <w:tc>
          <w:tcPr>
            <w:tcW w:w="1243" w:type="dxa"/>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指标项</w:t>
            </w:r>
          </w:p>
        </w:tc>
        <w:tc>
          <w:tcPr>
            <w:tcW w:w="4691" w:type="dxa"/>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技术性能和原材料品牌要求</w:t>
            </w:r>
          </w:p>
        </w:tc>
        <w:tc>
          <w:tcPr>
            <w:tcW w:w="1578" w:type="dxa"/>
            <w:tcBorders>
              <w:top w:val="single" w:color="000000" w:sz="4" w:space="0"/>
              <w:left w:val="single" w:color="000000" w:sz="6" w:space="0"/>
              <w:bottom w:val="single" w:color="000000" w:sz="6" w:space="0"/>
              <w:right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备注</w:t>
            </w:r>
          </w:p>
        </w:tc>
      </w:tr>
      <w:tr>
        <w:tblPrEx>
          <w:tblCellMar>
            <w:top w:w="0" w:type="dxa"/>
            <w:left w:w="108" w:type="dxa"/>
            <w:bottom w:w="0" w:type="dxa"/>
            <w:right w:w="108" w:type="dxa"/>
          </w:tblCellMar>
        </w:tblPrEx>
        <w:trPr>
          <w:trHeight w:val="2200" w:hRule="atLeast"/>
          <w:jc w:val="center"/>
        </w:trPr>
        <w:tc>
          <w:tcPr>
            <w:tcW w:w="794"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w:t>
            </w:r>
          </w:p>
        </w:tc>
        <w:tc>
          <w:tcPr>
            <w:tcW w:w="1243"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表面处理工艺</w:t>
            </w:r>
          </w:p>
        </w:tc>
        <w:tc>
          <w:tcPr>
            <w:tcW w:w="469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氟碳漆喷涂涂层应满足以下要求：</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标准GB 5237.5规定的三涂及以上，硬度≥3H。</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粉末喷涂涂层应满足以下要求：</w:t>
            </w:r>
          </w:p>
          <w:p>
            <w:pPr>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涂层最小局部厚度符合设计及规范要求</w:t>
            </w:r>
          </w:p>
        </w:tc>
        <w:tc>
          <w:tcPr>
            <w:tcW w:w="1578"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40" w:hRule="atLeast"/>
          <w:jc w:val="center"/>
        </w:trPr>
        <w:tc>
          <w:tcPr>
            <w:tcW w:w="794"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w:t>
            </w:r>
          </w:p>
        </w:tc>
        <w:tc>
          <w:tcPr>
            <w:tcW w:w="1243"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尺寸</w:t>
            </w:r>
          </w:p>
        </w:tc>
        <w:tc>
          <w:tcPr>
            <w:tcW w:w="469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尺寸要求满足《铝幕墙板尺寸偏差技术要求》规定。</w:t>
            </w:r>
          </w:p>
        </w:tc>
        <w:tc>
          <w:tcPr>
            <w:tcW w:w="1578"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40" w:hRule="atLeast"/>
          <w:jc w:val="center"/>
        </w:trPr>
        <w:tc>
          <w:tcPr>
            <w:tcW w:w="794" w:type="dxa"/>
            <w:tcBorders>
              <w:top w:val="single" w:color="000000" w:sz="6" w:space="0"/>
              <w:left w:val="single" w:color="000000" w:sz="4" w:space="0"/>
              <w:bottom w:val="single" w:color="000000" w:sz="4"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w:t>
            </w:r>
          </w:p>
        </w:tc>
        <w:tc>
          <w:tcPr>
            <w:tcW w:w="1243" w:type="dxa"/>
            <w:tcBorders>
              <w:top w:val="single" w:color="000000" w:sz="6" w:space="0"/>
              <w:left w:val="single" w:color="000000" w:sz="6" w:space="0"/>
              <w:bottom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耐久性</w:t>
            </w:r>
          </w:p>
        </w:tc>
        <w:tc>
          <w:tcPr>
            <w:tcW w:w="4691" w:type="dxa"/>
            <w:tcBorders>
              <w:top w:val="single" w:color="000000" w:sz="6" w:space="0"/>
              <w:left w:val="single" w:color="000000" w:sz="6" w:space="0"/>
              <w:bottom w:val="single" w:color="000000" w:sz="4"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耐久性要求满足表6规定。</w:t>
            </w:r>
          </w:p>
        </w:tc>
        <w:tc>
          <w:tcPr>
            <w:tcW w:w="1578" w:type="dxa"/>
            <w:tcBorders>
              <w:top w:val="single" w:color="000000" w:sz="6" w:space="0"/>
              <w:left w:val="single" w:color="000000" w:sz="6" w:space="0"/>
              <w:bottom w:val="single" w:color="000000" w:sz="4"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bl>
    <w:p>
      <w:pPr>
        <w:widowControl/>
        <w:snapToGrid w:val="0"/>
        <w:spacing w:line="240" w:lineRule="atLeast"/>
        <w:ind w:firstLine="493"/>
        <w:jc w:val="center"/>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铝幕墙板尺寸偏差技术要求</w:t>
      </w:r>
    </w:p>
    <w:tbl>
      <w:tblPr>
        <w:tblStyle w:val="40"/>
        <w:tblW w:w="8306" w:type="dxa"/>
        <w:jc w:val="center"/>
        <w:tblLayout w:type="autofit"/>
        <w:tblCellMar>
          <w:top w:w="0" w:type="dxa"/>
          <w:left w:w="108" w:type="dxa"/>
          <w:bottom w:w="0" w:type="dxa"/>
          <w:right w:w="108" w:type="dxa"/>
        </w:tblCellMar>
      </w:tblPr>
      <w:tblGrid>
        <w:gridCol w:w="935"/>
        <w:gridCol w:w="1379"/>
        <w:gridCol w:w="3091"/>
        <w:gridCol w:w="1676"/>
        <w:gridCol w:w="1225"/>
      </w:tblGrid>
      <w:tr>
        <w:tblPrEx>
          <w:tblCellMar>
            <w:top w:w="0" w:type="dxa"/>
            <w:left w:w="108" w:type="dxa"/>
            <w:bottom w:w="0" w:type="dxa"/>
            <w:right w:w="108" w:type="dxa"/>
          </w:tblCellMar>
        </w:tblPrEx>
        <w:trPr>
          <w:trHeight w:val="539" w:hRule="atLeast"/>
          <w:jc w:val="center"/>
        </w:trPr>
        <w:tc>
          <w:tcPr>
            <w:tcW w:w="935" w:type="dxa"/>
            <w:tcBorders>
              <w:top w:val="single" w:color="000000" w:sz="4"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序号</w:t>
            </w:r>
          </w:p>
        </w:tc>
        <w:tc>
          <w:tcPr>
            <w:tcW w:w="4470" w:type="dxa"/>
            <w:gridSpan w:val="2"/>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项目</w:t>
            </w:r>
          </w:p>
        </w:tc>
        <w:tc>
          <w:tcPr>
            <w:tcW w:w="1676" w:type="dxa"/>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允许偏差</w:t>
            </w:r>
          </w:p>
        </w:tc>
        <w:tc>
          <w:tcPr>
            <w:tcW w:w="1225" w:type="dxa"/>
            <w:tcBorders>
              <w:top w:val="single" w:color="000000" w:sz="4" w:space="0"/>
              <w:left w:val="single" w:color="000000" w:sz="6" w:space="0"/>
              <w:bottom w:val="single" w:color="000000" w:sz="6" w:space="0"/>
              <w:right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备注</w:t>
            </w:r>
          </w:p>
        </w:tc>
      </w:tr>
      <w:tr>
        <w:tblPrEx>
          <w:tblCellMar>
            <w:top w:w="0" w:type="dxa"/>
            <w:left w:w="108" w:type="dxa"/>
            <w:bottom w:w="0" w:type="dxa"/>
            <w:right w:w="108" w:type="dxa"/>
          </w:tblCellMar>
        </w:tblPrEx>
        <w:trPr>
          <w:trHeight w:val="539" w:hRule="atLeast"/>
          <w:jc w:val="center"/>
        </w:trPr>
        <w:tc>
          <w:tcPr>
            <w:tcW w:w="935" w:type="dxa"/>
            <w:vMerge w:val="restart"/>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w:t>
            </w:r>
          </w:p>
        </w:tc>
        <w:tc>
          <w:tcPr>
            <w:tcW w:w="1379" w:type="dxa"/>
            <w:vMerge w:val="restart"/>
            <w:tcBorders>
              <w:top w:val="single" w:color="000000" w:sz="6" w:space="0"/>
              <w:left w:val="single" w:color="000000" w:sz="6" w:space="0"/>
              <w:bottom w:val="single" w:color="000000" w:sz="6"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长度、宽度/mm</w:t>
            </w:r>
          </w:p>
        </w:tc>
        <w:tc>
          <w:tcPr>
            <w:tcW w:w="3091"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≤2000.0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±1.0</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379"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091"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＞2000.0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w:t>
            </w:r>
          </w:p>
        </w:tc>
        <w:tc>
          <w:tcPr>
            <w:tcW w:w="4470" w:type="dxa"/>
            <w:gridSpan w:val="2"/>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折边高度/mm</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±0.5</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w:t>
            </w:r>
          </w:p>
        </w:tc>
        <w:tc>
          <w:tcPr>
            <w:tcW w:w="4470" w:type="dxa"/>
            <w:gridSpan w:val="2"/>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折边角度/°</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±0.5</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vMerge w:val="restart"/>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w:t>
            </w:r>
          </w:p>
        </w:tc>
        <w:tc>
          <w:tcPr>
            <w:tcW w:w="1379" w:type="dxa"/>
            <w:vMerge w:val="restart"/>
            <w:tcBorders>
              <w:top w:val="single" w:color="000000" w:sz="6" w:space="0"/>
              <w:left w:val="single" w:color="000000" w:sz="6" w:space="0"/>
              <w:bottom w:val="single" w:color="000000" w:sz="6"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对角线/mm</w:t>
            </w:r>
          </w:p>
        </w:tc>
        <w:tc>
          <w:tcPr>
            <w:tcW w:w="3091"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≤3.0</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39" w:hRule="atLeast"/>
          <w:jc w:val="center"/>
        </w:trPr>
        <w:tc>
          <w:tcPr>
            <w:tcW w:w="935"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379"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091"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≤5.0</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39" w:hRule="atLeast"/>
          <w:jc w:val="center"/>
        </w:trPr>
        <w:tc>
          <w:tcPr>
            <w:tcW w:w="935" w:type="dxa"/>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5</w:t>
            </w:r>
          </w:p>
        </w:tc>
        <w:tc>
          <w:tcPr>
            <w:tcW w:w="4470" w:type="dxa"/>
            <w:gridSpan w:val="2"/>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不平度/ mm/m</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vMerge w:val="restart"/>
            <w:tcBorders>
              <w:top w:val="single" w:color="000000" w:sz="6"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6</w:t>
            </w:r>
          </w:p>
        </w:tc>
        <w:tc>
          <w:tcPr>
            <w:tcW w:w="1379" w:type="dxa"/>
            <w:vMerge w:val="restart"/>
            <w:tcBorders>
              <w:top w:val="single" w:color="000000" w:sz="6" w:space="0"/>
              <w:left w:val="single" w:color="000000" w:sz="6" w:space="0"/>
              <w:bottom w:val="single" w:color="000000" w:sz="6"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厚度/mm</w:t>
            </w:r>
          </w:p>
        </w:tc>
        <w:tc>
          <w:tcPr>
            <w:tcW w:w="3091" w:type="dxa"/>
            <w:tcBorders>
              <w:top w:val="single" w:color="000000" w:sz="6" w:space="0"/>
              <w:left w:val="single" w:color="000000" w:sz="6" w:space="0"/>
              <w:bottom w:val="single" w:color="000000" w:sz="6"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1.50~2.50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±0.08</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379"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091" w:type="dxa"/>
            <w:tcBorders>
              <w:top w:val="single" w:color="000000" w:sz="6" w:space="0"/>
              <w:left w:val="single" w:color="000000" w:sz="6" w:space="0"/>
              <w:bottom w:val="single" w:color="000000" w:sz="6"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＞2.50~3.00</w:t>
            </w:r>
          </w:p>
        </w:tc>
        <w:tc>
          <w:tcPr>
            <w:tcW w:w="1676"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±0.10</w:t>
            </w:r>
          </w:p>
        </w:tc>
        <w:tc>
          <w:tcPr>
            <w:tcW w:w="122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935"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379"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091" w:type="dxa"/>
            <w:tcBorders>
              <w:top w:val="single" w:color="000000" w:sz="6" w:space="0"/>
              <w:left w:val="single" w:color="000000" w:sz="6" w:space="0"/>
              <w:bottom w:val="single" w:color="000000" w:sz="4" w:space="0"/>
            </w:tcBorders>
            <w:shd w:val="clear" w:color="auto" w:fill="FFFFFF"/>
            <w:vAlign w:val="center"/>
          </w:tcPr>
          <w:p>
            <w:pPr>
              <w:widowControl/>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＞3.00~4.00</w:t>
            </w:r>
          </w:p>
        </w:tc>
        <w:tc>
          <w:tcPr>
            <w:tcW w:w="1676" w:type="dxa"/>
            <w:tcBorders>
              <w:top w:val="single" w:color="000000" w:sz="6" w:space="0"/>
              <w:left w:val="single" w:color="000000" w:sz="6" w:space="0"/>
              <w:bottom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±0.12</w:t>
            </w:r>
          </w:p>
        </w:tc>
        <w:tc>
          <w:tcPr>
            <w:tcW w:w="1225" w:type="dxa"/>
            <w:tcBorders>
              <w:top w:val="single" w:color="000000" w:sz="6" w:space="0"/>
              <w:left w:val="single" w:color="000000" w:sz="6" w:space="0"/>
              <w:bottom w:val="single" w:color="000000" w:sz="4" w:space="0"/>
              <w:right w:val="single" w:color="000000" w:sz="4" w:space="0"/>
            </w:tcBorders>
            <w:shd w:val="clear" w:color="auto" w:fill="FFFFFF"/>
            <w:vAlign w:val="center"/>
          </w:tcPr>
          <w:p>
            <w:pPr>
              <w:widowControl/>
              <w:snapToGrid w:val="0"/>
              <w:jc w:val="center"/>
              <w:rPr>
                <w:rFonts w:ascii="仿宋" w:hAnsi="仿宋" w:eastAsia="仿宋" w:cs="宋体"/>
                <w:b w:val="0"/>
                <w:bCs w:val="0"/>
                <w:color w:val="auto"/>
                <w:kern w:val="2"/>
                <w:sz w:val="24"/>
                <w:szCs w:val="24"/>
                <w:lang w:val="en-US" w:eastAsia="zh-CN" w:bidi="ar-SA"/>
              </w:rPr>
            </w:pPr>
          </w:p>
        </w:tc>
      </w:tr>
    </w:tbl>
    <w:p>
      <w:pPr>
        <w:widowControl/>
        <w:snapToGrid w:val="0"/>
        <w:spacing w:line="240" w:lineRule="atLeast"/>
        <w:ind w:firstLine="493"/>
        <w:jc w:val="center"/>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铝幕墙板耐久性技术要求</w:t>
      </w:r>
    </w:p>
    <w:tbl>
      <w:tblPr>
        <w:tblStyle w:val="40"/>
        <w:tblW w:w="8306" w:type="dxa"/>
        <w:jc w:val="center"/>
        <w:tblLayout w:type="autofit"/>
        <w:tblCellMar>
          <w:top w:w="0" w:type="dxa"/>
          <w:left w:w="108" w:type="dxa"/>
          <w:bottom w:w="0" w:type="dxa"/>
          <w:right w:w="108" w:type="dxa"/>
        </w:tblCellMar>
      </w:tblPr>
      <w:tblGrid>
        <w:gridCol w:w="933"/>
        <w:gridCol w:w="3997"/>
        <w:gridCol w:w="3376"/>
      </w:tblGrid>
      <w:tr>
        <w:tblPrEx>
          <w:tblCellMar>
            <w:top w:w="0" w:type="dxa"/>
            <w:left w:w="108" w:type="dxa"/>
            <w:bottom w:w="0" w:type="dxa"/>
            <w:right w:w="108" w:type="dxa"/>
          </w:tblCellMar>
        </w:tblPrEx>
        <w:trPr>
          <w:trHeight w:val="539" w:hRule="atLeast"/>
          <w:jc w:val="center"/>
        </w:trPr>
        <w:tc>
          <w:tcPr>
            <w:tcW w:w="933" w:type="dxa"/>
            <w:tcBorders>
              <w:top w:val="single" w:color="000000" w:sz="8" w:space="0"/>
              <w:left w:val="single" w:color="000000" w:sz="8" w:space="0"/>
              <w:bottom w:val="single" w:color="000000" w:sz="6"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项目</w:t>
            </w:r>
          </w:p>
        </w:tc>
        <w:tc>
          <w:tcPr>
            <w:tcW w:w="3997" w:type="dxa"/>
            <w:tcBorders>
              <w:top w:val="single" w:color="000000" w:sz="8" w:space="0"/>
              <w:left w:val="single" w:color="000000" w:sz="6" w:space="0"/>
              <w:bottom w:val="single" w:color="000000" w:sz="6" w:space="0"/>
            </w:tcBorders>
            <w:shd w:val="clear" w:color="auto" w:fill="auto"/>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氟碳漆喷涂技术要求</w:t>
            </w:r>
          </w:p>
        </w:tc>
        <w:tc>
          <w:tcPr>
            <w:tcW w:w="3376" w:type="dxa"/>
            <w:tcBorders>
              <w:top w:val="single" w:color="000000" w:sz="8" w:space="0"/>
              <w:left w:val="single" w:color="000000" w:sz="6" w:space="0"/>
              <w:bottom w:val="single" w:color="000000" w:sz="6" w:space="0"/>
              <w:right w:val="single" w:color="000000" w:sz="8" w:space="0"/>
            </w:tcBorders>
            <w:shd w:val="clear" w:color="auto" w:fill="auto"/>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粉末喷涂技术要求</w:t>
            </w:r>
          </w:p>
        </w:tc>
      </w:tr>
      <w:tr>
        <w:tblPrEx>
          <w:tblCellMar>
            <w:top w:w="0" w:type="dxa"/>
            <w:left w:w="108" w:type="dxa"/>
            <w:bottom w:w="0" w:type="dxa"/>
            <w:right w:w="108" w:type="dxa"/>
          </w:tblCellMar>
        </w:tblPrEx>
        <w:trPr>
          <w:trHeight w:val="539" w:hRule="atLeast"/>
          <w:jc w:val="center"/>
        </w:trPr>
        <w:tc>
          <w:tcPr>
            <w:tcW w:w="933" w:type="dxa"/>
            <w:tcBorders>
              <w:top w:val="single" w:color="000000" w:sz="6" w:space="0"/>
              <w:left w:val="single" w:color="000000" w:sz="8" w:space="0"/>
              <w:bottom w:val="single" w:color="000000" w:sz="6" w:space="0"/>
            </w:tcBorders>
            <w:shd w:val="clear" w:color="auto" w:fill="auto"/>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耐盐雾腐蚀性</w:t>
            </w:r>
          </w:p>
        </w:tc>
        <w:tc>
          <w:tcPr>
            <w:tcW w:w="3997" w:type="dxa"/>
            <w:tcBorders>
              <w:top w:val="single" w:color="000000" w:sz="6" w:space="0"/>
              <w:left w:val="single" w:color="000000" w:sz="6" w:space="0"/>
              <w:bottom w:val="single" w:color="000000" w:sz="6"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经4000h中性盐雾试验后,划线两侧膜下单边渗透腐蚀宽度应不超过2mm，划线两侧2.0mm以外部分的涂层不应有腐蚀现象。</w:t>
            </w:r>
          </w:p>
        </w:tc>
        <w:tc>
          <w:tcPr>
            <w:tcW w:w="3376" w:type="dxa"/>
            <w:tcBorders>
              <w:top w:val="single" w:color="000000" w:sz="6" w:space="0"/>
              <w:left w:val="single" w:color="000000" w:sz="6" w:space="0"/>
              <w:bottom w:val="single" w:color="000000" w:sz="6" w:space="0"/>
              <w:right w:val="single" w:color="000000" w:sz="8"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经1000h的乙酸盐雾试验后,目视检查试验后的涂层表面,应无起泡、脱落或其他明显变化,划线两侧膜下单边渗透腐蚀宽度应不超过4mm。</w:t>
            </w:r>
          </w:p>
        </w:tc>
      </w:tr>
      <w:tr>
        <w:tblPrEx>
          <w:tblCellMar>
            <w:top w:w="0" w:type="dxa"/>
            <w:left w:w="108" w:type="dxa"/>
            <w:bottom w:w="0" w:type="dxa"/>
            <w:right w:w="108" w:type="dxa"/>
          </w:tblCellMar>
        </w:tblPrEx>
        <w:trPr>
          <w:trHeight w:val="539" w:hRule="atLeast"/>
          <w:jc w:val="center"/>
        </w:trPr>
        <w:tc>
          <w:tcPr>
            <w:tcW w:w="933" w:type="dxa"/>
            <w:tcBorders>
              <w:top w:val="single" w:color="000000" w:sz="6" w:space="0"/>
              <w:left w:val="single" w:color="000000" w:sz="8" w:space="0"/>
              <w:bottom w:val="single" w:color="000000" w:sz="6" w:space="0"/>
            </w:tcBorders>
            <w:shd w:val="clear" w:color="auto" w:fill="auto"/>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耐湿热性</w:t>
            </w:r>
          </w:p>
        </w:tc>
        <w:tc>
          <w:tcPr>
            <w:tcW w:w="3997" w:type="dxa"/>
            <w:tcBorders>
              <w:top w:val="single" w:color="000000" w:sz="6" w:space="0"/>
              <w:left w:val="single" w:color="000000" w:sz="6" w:space="0"/>
              <w:bottom w:val="single" w:color="000000" w:sz="6"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经4000h湿热试验后,其变化≤1级</w:t>
            </w:r>
          </w:p>
        </w:tc>
        <w:tc>
          <w:tcPr>
            <w:tcW w:w="3376" w:type="dxa"/>
            <w:tcBorders>
              <w:top w:val="single" w:color="000000" w:sz="6" w:space="0"/>
              <w:left w:val="single" w:color="000000" w:sz="6" w:space="0"/>
              <w:bottom w:val="single" w:color="000000" w:sz="6" w:space="0"/>
              <w:right w:val="single" w:color="000000" w:sz="8"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经1000h的湿热试验后,目视检查试验后的涂层表面，应无起泡、脱落或其他明显变化</w:t>
            </w:r>
          </w:p>
        </w:tc>
      </w:tr>
      <w:tr>
        <w:tblPrEx>
          <w:tblCellMar>
            <w:top w:w="0" w:type="dxa"/>
            <w:left w:w="108" w:type="dxa"/>
            <w:bottom w:w="0" w:type="dxa"/>
            <w:right w:w="108" w:type="dxa"/>
          </w:tblCellMar>
        </w:tblPrEx>
        <w:trPr>
          <w:trHeight w:val="539" w:hRule="atLeast"/>
          <w:jc w:val="center"/>
        </w:trPr>
        <w:tc>
          <w:tcPr>
            <w:tcW w:w="933" w:type="dxa"/>
            <w:tcBorders>
              <w:top w:val="single" w:color="000000" w:sz="6" w:space="0"/>
              <w:left w:val="single" w:color="000000" w:sz="8" w:space="0"/>
              <w:bottom w:val="single" w:color="000000" w:sz="8" w:space="0"/>
            </w:tcBorders>
            <w:shd w:val="clear" w:color="auto" w:fill="auto"/>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加速耐候性</w:t>
            </w:r>
          </w:p>
        </w:tc>
        <w:tc>
          <w:tcPr>
            <w:tcW w:w="3997" w:type="dxa"/>
            <w:tcBorders>
              <w:top w:val="single" w:color="000000" w:sz="6" w:space="0"/>
              <w:left w:val="single" w:color="000000" w:sz="6" w:space="0"/>
              <w:bottom w:val="single" w:color="000000" w:sz="8"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涂层经2000h氙灯照射人工加速老化试验后,不应产生粉化现象(0级),光泽保持率(涂层试验后的光泽值相对于其试验前的光泽值的百分比)≥85%,变色程度至少达到1级</w:t>
            </w:r>
          </w:p>
        </w:tc>
        <w:tc>
          <w:tcPr>
            <w:tcW w:w="3376" w:type="dxa"/>
            <w:tcBorders>
              <w:top w:val="single" w:color="000000" w:sz="6" w:space="0"/>
              <w:left w:val="single" w:color="000000" w:sz="6" w:space="0"/>
              <w:bottom w:val="single" w:color="000000" w:sz="8" w:space="0"/>
              <w:right w:val="single" w:color="000000" w:sz="8" w:space="0"/>
            </w:tcBorders>
            <w:shd w:val="clear" w:color="auto" w:fill="auto"/>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经1000h氙灯照射人工加速老化试验，变色程度△E</w:t>
            </w:r>
            <w:r>
              <w:rPr>
                <w:rFonts w:ascii="仿宋" w:hAnsi="仿宋" w:eastAsia="仿宋" w:cs="宋体"/>
                <w:b w:val="0"/>
                <w:bCs w:val="0"/>
                <w:color w:val="auto"/>
                <w:kern w:val="2"/>
                <w:sz w:val="24"/>
                <w:szCs w:val="24"/>
                <w:vertAlign w:val="subscript"/>
                <w:lang w:val="en-US" w:eastAsia="zh-CN" w:bidi="ar-SA"/>
              </w:rPr>
              <w:t>ab</w:t>
            </w:r>
            <w:r>
              <w:rPr>
                <w:rFonts w:ascii="仿宋" w:hAnsi="仿宋" w:eastAsia="仿宋" w:cs="宋体"/>
                <w:b w:val="0"/>
                <w:bCs w:val="0"/>
                <w:color w:val="auto"/>
                <w:kern w:val="2"/>
                <w:sz w:val="24"/>
                <w:szCs w:val="24"/>
                <w:vertAlign w:val="superscript"/>
                <w:lang w:val="en-US" w:eastAsia="zh-CN" w:bidi="ar-SA"/>
              </w:rPr>
              <w:t>*</w:t>
            </w:r>
            <w:r>
              <w:rPr>
                <w:rFonts w:ascii="仿宋" w:hAnsi="仿宋" w:eastAsia="仿宋" w:cs="宋体"/>
                <w:b w:val="0"/>
                <w:bCs w:val="0"/>
                <w:color w:val="auto"/>
                <w:kern w:val="2"/>
                <w:sz w:val="24"/>
                <w:szCs w:val="24"/>
                <w:lang w:val="en-US" w:eastAsia="zh-CN" w:bidi="ar-SA"/>
              </w:rPr>
              <w:t>≤2.5，光泽保持率＞90%。</w:t>
            </w:r>
          </w:p>
        </w:tc>
      </w:tr>
    </w:tbl>
    <w:p>
      <w:pPr>
        <w:widowControl/>
        <w:snapToGrid w:val="0"/>
        <w:spacing w:line="240" w:lineRule="atLeast"/>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建筑装饰用铝单板技术性能及原材料品牌要求</w:t>
      </w:r>
    </w:p>
    <w:tbl>
      <w:tblPr>
        <w:tblStyle w:val="40"/>
        <w:tblW w:w="8306" w:type="dxa"/>
        <w:jc w:val="center"/>
        <w:tblLayout w:type="autofit"/>
        <w:tblCellMar>
          <w:top w:w="0" w:type="dxa"/>
          <w:left w:w="108" w:type="dxa"/>
          <w:bottom w:w="0" w:type="dxa"/>
          <w:right w:w="108" w:type="dxa"/>
        </w:tblCellMar>
      </w:tblPr>
      <w:tblGrid>
        <w:gridCol w:w="793"/>
        <w:gridCol w:w="1518"/>
        <w:gridCol w:w="4832"/>
        <w:gridCol w:w="1163"/>
      </w:tblGrid>
      <w:tr>
        <w:tblPrEx>
          <w:tblCellMar>
            <w:top w:w="0" w:type="dxa"/>
            <w:left w:w="108" w:type="dxa"/>
            <w:bottom w:w="0" w:type="dxa"/>
            <w:right w:w="108" w:type="dxa"/>
          </w:tblCellMar>
        </w:tblPrEx>
        <w:trPr>
          <w:trHeight w:val="540" w:hRule="atLeast"/>
          <w:jc w:val="center"/>
        </w:trPr>
        <w:tc>
          <w:tcPr>
            <w:tcW w:w="793" w:type="dxa"/>
            <w:tcBorders>
              <w:top w:val="single" w:color="000000" w:sz="4"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序号</w:t>
            </w:r>
          </w:p>
        </w:tc>
        <w:tc>
          <w:tcPr>
            <w:tcW w:w="1518" w:type="dxa"/>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指标项</w:t>
            </w:r>
          </w:p>
        </w:tc>
        <w:tc>
          <w:tcPr>
            <w:tcW w:w="4832" w:type="dxa"/>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技术性能和原材料品牌要求</w:t>
            </w:r>
          </w:p>
        </w:tc>
        <w:tc>
          <w:tcPr>
            <w:tcW w:w="1163" w:type="dxa"/>
            <w:tcBorders>
              <w:top w:val="single" w:color="000000" w:sz="4" w:space="0"/>
              <w:left w:val="single" w:color="000000" w:sz="6" w:space="0"/>
              <w:bottom w:val="single" w:color="000000" w:sz="6" w:space="0"/>
              <w:right w:val="single" w:color="000000" w:sz="4"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备注</w:t>
            </w:r>
          </w:p>
        </w:tc>
      </w:tr>
      <w:tr>
        <w:tblPrEx>
          <w:tblCellMar>
            <w:top w:w="0" w:type="dxa"/>
            <w:left w:w="108" w:type="dxa"/>
            <w:bottom w:w="0" w:type="dxa"/>
            <w:right w:w="108" w:type="dxa"/>
          </w:tblCellMar>
        </w:tblPrEx>
        <w:trPr>
          <w:trHeight w:val="3478" w:hRule="atLeast"/>
          <w:jc w:val="center"/>
        </w:trPr>
        <w:tc>
          <w:tcPr>
            <w:tcW w:w="793"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w:t>
            </w:r>
          </w:p>
        </w:tc>
        <w:tc>
          <w:tcPr>
            <w:tcW w:w="1518"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表面处理工艺</w:t>
            </w:r>
          </w:p>
        </w:tc>
        <w:tc>
          <w:tcPr>
            <w:tcW w:w="4832"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满足以下要求：</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氟碳液体喷涂要求三涂及以上；</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氟碳辊涂要求三涂；</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涂层最小局部厚度符合设计规范要求；</w:t>
            </w:r>
          </w:p>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室内用阳极氧化板材要求AA15及以上，室外用阳极氧化板材要求AA20及以上；</w:t>
            </w:r>
          </w:p>
          <w:p>
            <w:pPr>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氟碳膜、聚酯膜、丙烯酸膜铅笔硬度≥3H。</w:t>
            </w:r>
          </w:p>
        </w:tc>
        <w:tc>
          <w:tcPr>
            <w:tcW w:w="1163" w:type="dxa"/>
            <w:tcBorders>
              <w:top w:val="single" w:color="000000" w:sz="6" w:space="0"/>
              <w:left w:val="single" w:color="000000" w:sz="6" w:space="0"/>
              <w:bottom w:val="single" w:color="000000" w:sz="6" w:space="0"/>
              <w:right w:val="single" w:color="000000" w:sz="4" w:space="0"/>
            </w:tcBorders>
            <w:shd w:val="clear" w:color="auto" w:fill="FFFFFF"/>
            <w:vAlign w:val="center"/>
          </w:tcPr>
          <w:p>
            <w:pPr>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40" w:hRule="atLeast"/>
          <w:jc w:val="center"/>
        </w:trPr>
        <w:tc>
          <w:tcPr>
            <w:tcW w:w="793"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w:t>
            </w:r>
          </w:p>
        </w:tc>
        <w:tc>
          <w:tcPr>
            <w:tcW w:w="1518"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尺寸</w:t>
            </w:r>
          </w:p>
        </w:tc>
        <w:tc>
          <w:tcPr>
            <w:tcW w:w="4832"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厚度满足GB/T 3880.3-2006《一般工业用铝及铝合金板、带材第3部分：尺寸偏差》中表4规定的高精级A类（冷扎板、带材）或表5（热扎板、带材）技术要求；其它尺寸要求满足《建筑装饰用铝单板尺寸偏差技术要求》规定。</w:t>
            </w:r>
          </w:p>
        </w:tc>
        <w:tc>
          <w:tcPr>
            <w:tcW w:w="1163"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40" w:hRule="atLeast"/>
          <w:jc w:val="center"/>
        </w:trPr>
        <w:tc>
          <w:tcPr>
            <w:tcW w:w="793" w:type="dxa"/>
            <w:tcBorders>
              <w:top w:val="single" w:color="000000" w:sz="6" w:space="0"/>
              <w:left w:val="single" w:color="000000" w:sz="4" w:space="0"/>
              <w:bottom w:val="single" w:color="000000" w:sz="4"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w:t>
            </w:r>
          </w:p>
        </w:tc>
        <w:tc>
          <w:tcPr>
            <w:tcW w:w="1518" w:type="dxa"/>
            <w:tcBorders>
              <w:top w:val="single" w:color="000000" w:sz="6" w:space="0"/>
              <w:left w:val="single" w:color="000000" w:sz="6" w:space="0"/>
              <w:bottom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耐久性</w:t>
            </w:r>
          </w:p>
        </w:tc>
        <w:tc>
          <w:tcPr>
            <w:tcW w:w="4832" w:type="dxa"/>
            <w:tcBorders>
              <w:top w:val="single" w:color="000000" w:sz="6" w:space="0"/>
              <w:left w:val="single" w:color="000000" w:sz="6" w:space="0"/>
              <w:bottom w:val="single" w:color="000000" w:sz="4"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耐久性要求应满足《建筑装饰用铝单板耐久性要求》规定。</w:t>
            </w:r>
          </w:p>
        </w:tc>
        <w:tc>
          <w:tcPr>
            <w:tcW w:w="1163" w:type="dxa"/>
            <w:tcBorders>
              <w:top w:val="single" w:color="000000" w:sz="6" w:space="0"/>
              <w:left w:val="single" w:color="000000" w:sz="6" w:space="0"/>
              <w:bottom w:val="single" w:color="000000" w:sz="4"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bl>
    <w:p>
      <w:pPr>
        <w:widowControl/>
        <w:jc w:val="left"/>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建筑装饰用铝单板尺寸偏差技术要求</w:t>
      </w:r>
    </w:p>
    <w:tbl>
      <w:tblPr>
        <w:tblStyle w:val="40"/>
        <w:tblW w:w="8306" w:type="dxa"/>
        <w:jc w:val="center"/>
        <w:tblLayout w:type="autofit"/>
        <w:tblCellMar>
          <w:top w:w="0" w:type="dxa"/>
          <w:left w:w="108" w:type="dxa"/>
          <w:bottom w:w="0" w:type="dxa"/>
          <w:right w:w="108" w:type="dxa"/>
        </w:tblCellMar>
      </w:tblPr>
      <w:tblGrid>
        <w:gridCol w:w="794"/>
        <w:gridCol w:w="1243"/>
        <w:gridCol w:w="1794"/>
        <w:gridCol w:w="1379"/>
        <w:gridCol w:w="1661"/>
        <w:gridCol w:w="1435"/>
      </w:tblGrid>
      <w:tr>
        <w:tblPrEx>
          <w:tblCellMar>
            <w:top w:w="0" w:type="dxa"/>
            <w:left w:w="108" w:type="dxa"/>
            <w:bottom w:w="0" w:type="dxa"/>
            <w:right w:w="108" w:type="dxa"/>
          </w:tblCellMar>
        </w:tblPrEx>
        <w:trPr>
          <w:trHeight w:val="539" w:hRule="atLeast"/>
          <w:jc w:val="center"/>
        </w:trPr>
        <w:tc>
          <w:tcPr>
            <w:tcW w:w="794" w:type="dxa"/>
            <w:vMerge w:val="restart"/>
            <w:tcBorders>
              <w:top w:val="single" w:color="000000" w:sz="4" w:space="0"/>
              <w:left w:val="single" w:color="000000" w:sz="4"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序号</w:t>
            </w:r>
          </w:p>
        </w:tc>
        <w:tc>
          <w:tcPr>
            <w:tcW w:w="3037" w:type="dxa"/>
            <w:gridSpan w:val="2"/>
            <w:vMerge w:val="restart"/>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项目</w:t>
            </w:r>
          </w:p>
        </w:tc>
        <w:tc>
          <w:tcPr>
            <w:tcW w:w="3040" w:type="dxa"/>
            <w:gridSpan w:val="2"/>
            <w:tcBorders>
              <w:top w:val="single" w:color="000000" w:sz="4"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允许偏差</w:t>
            </w:r>
          </w:p>
        </w:tc>
        <w:tc>
          <w:tcPr>
            <w:tcW w:w="1435" w:type="dxa"/>
            <w:vMerge w:val="restart"/>
            <w:tcBorders>
              <w:top w:val="single" w:color="000000" w:sz="4" w:space="0"/>
              <w:left w:val="single" w:color="000000" w:sz="6" w:space="0"/>
              <w:bottom w:val="single" w:color="000000" w:sz="6" w:space="0"/>
              <w:right w:val="single" w:color="000000" w:sz="4" w:space="0"/>
            </w:tcBorders>
            <w:shd w:val="clear" w:color="auto" w:fill="FFFFFF"/>
            <w:vAlign w:val="center"/>
          </w:tcPr>
          <w:p>
            <w:pPr>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备注</w:t>
            </w:r>
          </w:p>
        </w:tc>
      </w:tr>
      <w:tr>
        <w:tblPrEx>
          <w:tblCellMar>
            <w:top w:w="0" w:type="dxa"/>
            <w:left w:w="108" w:type="dxa"/>
            <w:bottom w:w="0" w:type="dxa"/>
            <w:right w:w="108" w:type="dxa"/>
          </w:tblCellMar>
        </w:tblPrEx>
        <w:trPr>
          <w:trHeight w:val="539" w:hRule="atLeast"/>
          <w:jc w:val="center"/>
        </w:trPr>
        <w:tc>
          <w:tcPr>
            <w:tcW w:w="794" w:type="dxa"/>
            <w:vMerge w:val="continue"/>
            <w:tcBorders>
              <w:top w:val="single" w:color="000000" w:sz="4" w:space="0"/>
              <w:left w:val="single" w:color="000000" w:sz="4"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037" w:type="dxa"/>
            <w:gridSpan w:val="2"/>
            <w:vMerge w:val="continue"/>
            <w:tcBorders>
              <w:top w:val="single" w:color="000000" w:sz="4" w:space="0"/>
              <w:left w:val="single" w:color="000000" w:sz="6" w:space="0"/>
              <w:bottom w:val="single" w:color="000000" w:sz="6"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379"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室外</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室内</w:t>
            </w:r>
          </w:p>
        </w:tc>
        <w:tc>
          <w:tcPr>
            <w:tcW w:w="1435" w:type="dxa"/>
            <w:vMerge w:val="continue"/>
            <w:tcBorders>
              <w:top w:val="single" w:color="000000" w:sz="4" w:space="0"/>
              <w:left w:val="single" w:color="000000" w:sz="6" w:space="0"/>
              <w:bottom w:val="single" w:color="000000" w:sz="6" w:space="0"/>
              <w:right w:val="single" w:color="000000" w:sz="4" w:space="0"/>
            </w:tcBorders>
            <w:shd w:val="clear" w:color="auto" w:fill="FFFFFF"/>
            <w:vAlign w:val="center"/>
          </w:tcPr>
          <w:p>
            <w:pPr>
              <w:widowControl/>
              <w:snapToGrid w:val="0"/>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vMerge w:val="restart"/>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w:t>
            </w:r>
          </w:p>
        </w:tc>
        <w:tc>
          <w:tcPr>
            <w:tcW w:w="1243" w:type="dxa"/>
            <w:vMerge w:val="restart"/>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边长/mm</w:t>
            </w: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±1.0</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-1.0~0</w:t>
            </w:r>
          </w:p>
        </w:tc>
        <w:tc>
          <w:tcPr>
            <w:tcW w:w="1435" w:type="dxa"/>
            <w:vMerge w:val="restart"/>
            <w:tcBorders>
              <w:top w:val="single" w:color="000000" w:sz="6" w:space="0"/>
              <w:left w:val="single" w:color="000000" w:sz="6" w:space="0"/>
              <w:bottom w:val="single" w:color="000000" w:sz="6" w:space="0"/>
              <w:right w:val="single" w:color="000000" w:sz="4" w:space="0"/>
            </w:tcBorders>
            <w:shd w:val="clear" w:color="auto" w:fill="FFFFFF"/>
            <w:vAlign w:val="center"/>
          </w:tcPr>
          <w:p>
            <w:pPr>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39" w:hRule="atLeast"/>
          <w:jc w:val="center"/>
        </w:trPr>
        <w:tc>
          <w:tcPr>
            <w:tcW w:w="794"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243"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-1.5~0</w:t>
            </w:r>
          </w:p>
        </w:tc>
        <w:tc>
          <w:tcPr>
            <w:tcW w:w="1435" w:type="dxa"/>
            <w:vMerge w:val="continue"/>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w:t>
            </w:r>
          </w:p>
        </w:tc>
        <w:tc>
          <w:tcPr>
            <w:tcW w:w="3037" w:type="dxa"/>
            <w:gridSpan w:val="2"/>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折边高度/mm</w:t>
            </w:r>
          </w:p>
        </w:tc>
        <w:tc>
          <w:tcPr>
            <w:tcW w:w="3040" w:type="dxa"/>
            <w:gridSpan w:val="2"/>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±0.5</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39" w:hRule="atLeast"/>
          <w:jc w:val="center"/>
        </w:trPr>
        <w:tc>
          <w:tcPr>
            <w:tcW w:w="794" w:type="dxa"/>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w:t>
            </w:r>
          </w:p>
        </w:tc>
        <w:tc>
          <w:tcPr>
            <w:tcW w:w="3037" w:type="dxa"/>
            <w:gridSpan w:val="2"/>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折边角度/°</w:t>
            </w:r>
          </w:p>
        </w:tc>
        <w:tc>
          <w:tcPr>
            <w:tcW w:w="3040" w:type="dxa"/>
            <w:gridSpan w:val="2"/>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±0.5</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r>
        <w:tblPrEx>
          <w:tblCellMar>
            <w:top w:w="0" w:type="dxa"/>
            <w:left w:w="108" w:type="dxa"/>
            <w:bottom w:w="0" w:type="dxa"/>
            <w:right w:w="108" w:type="dxa"/>
          </w:tblCellMar>
        </w:tblPrEx>
        <w:trPr>
          <w:trHeight w:val="539" w:hRule="atLeast"/>
          <w:jc w:val="center"/>
        </w:trPr>
        <w:tc>
          <w:tcPr>
            <w:tcW w:w="794" w:type="dxa"/>
            <w:vMerge w:val="restart"/>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w:t>
            </w:r>
          </w:p>
        </w:tc>
        <w:tc>
          <w:tcPr>
            <w:tcW w:w="1243" w:type="dxa"/>
            <w:vMerge w:val="restart"/>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对角线/mm</w:t>
            </w: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≤2.5</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≤2.0</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243"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≤3.0</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≤2.5</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vMerge w:val="restart"/>
            <w:tcBorders>
              <w:top w:val="single" w:color="000000" w:sz="6" w:space="0"/>
              <w:left w:val="single" w:color="000000" w:sz="4"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5</w:t>
            </w:r>
          </w:p>
        </w:tc>
        <w:tc>
          <w:tcPr>
            <w:tcW w:w="1243" w:type="dxa"/>
            <w:vMerge w:val="restart"/>
            <w:tcBorders>
              <w:top w:val="single" w:color="000000" w:sz="6" w:space="0"/>
              <w:left w:val="single" w:color="000000" w:sz="6" w:space="0"/>
              <w:bottom w:val="single" w:color="000000" w:sz="6" w:space="0"/>
            </w:tcBorders>
            <w:shd w:val="clear" w:color="auto" w:fill="FFFFFF"/>
            <w:vAlign w:val="center"/>
          </w:tcPr>
          <w:p>
            <w:pPr>
              <w:widowControl/>
              <w:spacing w:line="360" w:lineRule="auto"/>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对边尺寸/mm</w:t>
            </w: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≤2.5</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vMerge w:val="continue"/>
            <w:tcBorders>
              <w:top w:val="single" w:color="000000" w:sz="6" w:space="0"/>
              <w:left w:val="single" w:color="000000" w:sz="4"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243" w:type="dxa"/>
            <w:vMerge w:val="continue"/>
            <w:tcBorders>
              <w:top w:val="single" w:color="000000" w:sz="6" w:space="0"/>
              <w:left w:val="single" w:color="000000" w:sz="6" w:space="0"/>
              <w:bottom w:val="single" w:color="000000" w:sz="6"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c>
          <w:tcPr>
            <w:tcW w:w="1794"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铝单板长度＞2000.0</w:t>
            </w:r>
          </w:p>
        </w:tc>
        <w:tc>
          <w:tcPr>
            <w:tcW w:w="1379"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≤3.0</w:t>
            </w:r>
          </w:p>
        </w:tc>
        <w:tc>
          <w:tcPr>
            <w:tcW w:w="1661" w:type="dxa"/>
            <w:tcBorders>
              <w:top w:val="single" w:color="000000" w:sz="6" w:space="0"/>
              <w:left w:val="single" w:color="000000" w:sz="6" w:space="0"/>
              <w:bottom w:val="single" w:color="000000" w:sz="6"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≤2.5</w:t>
            </w:r>
          </w:p>
        </w:tc>
        <w:tc>
          <w:tcPr>
            <w:tcW w:w="1435" w:type="dxa"/>
            <w:tcBorders>
              <w:top w:val="single" w:color="000000" w:sz="6" w:space="0"/>
              <w:left w:val="single" w:color="000000" w:sz="6" w:space="0"/>
              <w:bottom w:val="single" w:color="000000" w:sz="6" w:space="0"/>
              <w:right w:val="single" w:color="000000" w:sz="4" w:space="0"/>
            </w:tcBorders>
            <w:shd w:val="clear" w:color="auto" w:fill="FFFFFF"/>
            <w:vAlign w:val="center"/>
          </w:tcPr>
          <w:p>
            <w:pPr>
              <w:widowControl/>
              <w:snapToGrid w:val="0"/>
              <w:spacing w:line="360" w:lineRule="auto"/>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794" w:type="dxa"/>
            <w:tcBorders>
              <w:top w:val="single" w:color="000000" w:sz="6" w:space="0"/>
              <w:left w:val="single" w:color="000000" w:sz="4" w:space="0"/>
              <w:bottom w:val="single" w:color="000000" w:sz="4"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6</w:t>
            </w:r>
          </w:p>
        </w:tc>
        <w:tc>
          <w:tcPr>
            <w:tcW w:w="3037" w:type="dxa"/>
            <w:gridSpan w:val="2"/>
            <w:tcBorders>
              <w:top w:val="single" w:color="000000" w:sz="6" w:space="0"/>
              <w:left w:val="single" w:color="000000" w:sz="6" w:space="0"/>
              <w:bottom w:val="single" w:color="000000" w:sz="4"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不平度/ mm/m</w:t>
            </w:r>
          </w:p>
        </w:tc>
        <w:tc>
          <w:tcPr>
            <w:tcW w:w="3040" w:type="dxa"/>
            <w:gridSpan w:val="2"/>
            <w:tcBorders>
              <w:top w:val="single" w:color="000000" w:sz="6" w:space="0"/>
              <w:left w:val="single" w:color="000000" w:sz="6" w:space="0"/>
              <w:bottom w:val="single" w:color="000000" w:sz="4" w:space="0"/>
            </w:tcBorders>
            <w:shd w:val="clear" w:color="auto" w:fill="FFFFFF"/>
            <w:vAlign w:val="center"/>
          </w:tcPr>
          <w:p>
            <w:pPr>
              <w:widowControl/>
              <w:spacing w:line="360" w:lineRule="auto"/>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≤1.5</w:t>
            </w:r>
          </w:p>
        </w:tc>
        <w:tc>
          <w:tcPr>
            <w:tcW w:w="1435" w:type="dxa"/>
            <w:tcBorders>
              <w:top w:val="single" w:color="000000" w:sz="6" w:space="0"/>
              <w:left w:val="single" w:color="000000" w:sz="6" w:space="0"/>
              <w:bottom w:val="single" w:color="000000" w:sz="4" w:space="0"/>
              <w:right w:val="single" w:color="000000" w:sz="4" w:space="0"/>
            </w:tcBorders>
            <w:shd w:val="clear" w:color="auto" w:fill="FFFFFF"/>
            <w:vAlign w:val="center"/>
          </w:tcPr>
          <w:p>
            <w:pPr>
              <w:widowControl/>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比国标高</w:t>
            </w:r>
          </w:p>
        </w:tc>
      </w:tr>
    </w:tbl>
    <w:p>
      <w:pPr>
        <w:widowControl/>
        <w:jc w:val="left"/>
        <w:rPr>
          <w:rFonts w:ascii="仿宋" w:hAnsi="仿宋" w:eastAsia="仿宋" w:cs="宋体"/>
          <w:b w:val="0"/>
          <w:bCs w:val="0"/>
          <w:color w:val="auto"/>
          <w:kern w:val="2"/>
          <w:sz w:val="24"/>
          <w:szCs w:val="24"/>
          <w:lang w:val="en-US" w:eastAsia="zh-CN" w:bidi="ar-SA"/>
        </w:rPr>
      </w:pPr>
    </w:p>
    <w:p>
      <w:pPr>
        <w:widowControl/>
        <w:snapToGrid w:val="0"/>
        <w:spacing w:line="360" w:lineRule="auto"/>
        <w:ind w:firstLine="422"/>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建筑装饰用铝单板耐久性要求</w:t>
      </w:r>
    </w:p>
    <w:tbl>
      <w:tblPr>
        <w:tblStyle w:val="40"/>
        <w:tblW w:w="8956" w:type="dxa"/>
        <w:jc w:val="center"/>
        <w:tblLayout w:type="autofit"/>
        <w:tblCellMar>
          <w:top w:w="0" w:type="dxa"/>
          <w:left w:w="108" w:type="dxa"/>
          <w:bottom w:w="0" w:type="dxa"/>
          <w:right w:w="108" w:type="dxa"/>
        </w:tblCellMar>
      </w:tblPr>
      <w:tblGrid>
        <w:gridCol w:w="1080"/>
        <w:gridCol w:w="1912"/>
        <w:gridCol w:w="1418"/>
        <w:gridCol w:w="1842"/>
        <w:gridCol w:w="2704"/>
      </w:tblGrid>
      <w:tr>
        <w:tblPrEx>
          <w:tblCellMar>
            <w:top w:w="0" w:type="dxa"/>
            <w:left w:w="108" w:type="dxa"/>
            <w:bottom w:w="0" w:type="dxa"/>
            <w:right w:w="108" w:type="dxa"/>
          </w:tblCellMar>
        </w:tblPrEx>
        <w:trPr>
          <w:trHeight w:val="539" w:hRule="atLeast"/>
          <w:jc w:val="center"/>
        </w:trPr>
        <w:tc>
          <w:tcPr>
            <w:tcW w:w="4410" w:type="dxa"/>
            <w:gridSpan w:val="3"/>
            <w:tcBorders>
              <w:top w:val="single" w:color="000000" w:sz="4" w:space="0"/>
              <w:left w:val="single" w:color="000000" w:sz="4"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项目</w:t>
            </w:r>
          </w:p>
        </w:tc>
        <w:tc>
          <w:tcPr>
            <w:tcW w:w="1842" w:type="dxa"/>
            <w:tcBorders>
              <w:top w:val="single" w:color="000000" w:sz="4"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试验时间</w:t>
            </w:r>
          </w:p>
        </w:tc>
        <w:tc>
          <w:tcPr>
            <w:tcW w:w="2704" w:type="dxa"/>
            <w:tcBorders>
              <w:top w:val="single" w:color="000000" w:sz="4"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性能要求（GB/T 23443-2009）</w:t>
            </w:r>
          </w:p>
        </w:tc>
      </w:tr>
      <w:tr>
        <w:tblPrEx>
          <w:tblCellMar>
            <w:top w:w="0" w:type="dxa"/>
            <w:left w:w="108" w:type="dxa"/>
            <w:bottom w:w="0" w:type="dxa"/>
            <w:right w:w="108" w:type="dxa"/>
          </w:tblCellMar>
        </w:tblPrEx>
        <w:trPr>
          <w:trHeight w:val="539" w:hRule="atLeast"/>
          <w:jc w:val="center"/>
        </w:trPr>
        <w:tc>
          <w:tcPr>
            <w:tcW w:w="1080" w:type="dxa"/>
            <w:vMerge w:val="restart"/>
            <w:tcBorders>
              <w:top w:val="single" w:color="000000" w:sz="6" w:space="0"/>
              <w:left w:val="single" w:color="000000" w:sz="4"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耐盐雾性</w:t>
            </w:r>
          </w:p>
        </w:tc>
        <w:tc>
          <w:tcPr>
            <w:tcW w:w="1912" w:type="dxa"/>
            <w:vMerge w:val="restart"/>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铜加速盐雾</w:t>
            </w:r>
            <w:r>
              <w:rPr>
                <w:rFonts w:ascii="仿宋" w:hAnsi="仿宋" w:eastAsia="仿宋" w:cs="宋体"/>
                <w:b w:val="0"/>
                <w:bCs w:val="0"/>
                <w:color w:val="auto"/>
                <w:kern w:val="2"/>
                <w:sz w:val="24"/>
                <w:szCs w:val="24"/>
                <w:vertAlign w:val="superscript"/>
                <w:lang w:val="en-US" w:eastAsia="zh-CN" w:bidi="ar-SA"/>
              </w:rPr>
              <w:t>a</w:t>
            </w:r>
          </w:p>
          <w:p>
            <w:pPr>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（CASS试验）</w:t>
            </w:r>
          </w:p>
        </w:tc>
        <w:tc>
          <w:tcPr>
            <w:tcW w:w="1418"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AA15</w:t>
            </w:r>
          </w:p>
        </w:tc>
        <w:tc>
          <w:tcPr>
            <w:tcW w:w="1842"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24h</w:t>
            </w:r>
          </w:p>
        </w:tc>
        <w:tc>
          <w:tcPr>
            <w:tcW w:w="2704" w:type="dxa"/>
            <w:vMerge w:val="restart"/>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≥9级</w:t>
            </w:r>
          </w:p>
        </w:tc>
      </w:tr>
      <w:tr>
        <w:tblPrEx>
          <w:tblCellMar>
            <w:top w:w="0" w:type="dxa"/>
            <w:left w:w="108" w:type="dxa"/>
            <w:bottom w:w="0" w:type="dxa"/>
            <w:right w:w="108" w:type="dxa"/>
          </w:tblCellMar>
        </w:tblPrEx>
        <w:trPr>
          <w:trHeight w:val="539" w:hRule="atLeast"/>
          <w:jc w:val="center"/>
        </w:trPr>
        <w:tc>
          <w:tcPr>
            <w:tcW w:w="1080" w:type="dxa"/>
            <w:vMerge w:val="continue"/>
            <w:tcBorders>
              <w:top w:val="single" w:color="000000" w:sz="6" w:space="0"/>
              <w:left w:val="single" w:color="000000" w:sz="4"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912" w:type="dxa"/>
            <w:vMerge w:val="continue"/>
            <w:tcBorders>
              <w:top w:val="single" w:color="000000" w:sz="6" w:space="0"/>
              <w:left w:val="single" w:color="000000" w:sz="6" w:space="0"/>
              <w:bottom w:val="single" w:color="000000" w:sz="6" w:space="0"/>
            </w:tcBorders>
            <w:shd w:val="clear" w:color="auto" w:fill="auto"/>
            <w:vAlign w:val="center"/>
          </w:tcPr>
          <w:p>
            <w:pPr>
              <w:widowControl/>
              <w:snapToGrid w:val="0"/>
              <w:jc w:val="center"/>
              <w:rPr>
                <w:rFonts w:ascii="仿宋" w:hAnsi="仿宋" w:eastAsia="仿宋" w:cs="宋体"/>
                <w:b w:val="0"/>
                <w:bCs w:val="0"/>
                <w:color w:val="auto"/>
                <w:kern w:val="2"/>
                <w:sz w:val="24"/>
                <w:szCs w:val="24"/>
                <w:lang w:val="en-US" w:eastAsia="zh-CN" w:bidi="ar-SA"/>
              </w:rPr>
            </w:pPr>
          </w:p>
        </w:tc>
        <w:tc>
          <w:tcPr>
            <w:tcW w:w="1418"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AA20</w:t>
            </w:r>
          </w:p>
        </w:tc>
        <w:tc>
          <w:tcPr>
            <w:tcW w:w="1842"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48h</w:t>
            </w:r>
          </w:p>
        </w:tc>
        <w:tc>
          <w:tcPr>
            <w:tcW w:w="2704" w:type="dxa"/>
            <w:vMerge w:val="continue"/>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1080" w:type="dxa"/>
            <w:vMerge w:val="continue"/>
            <w:tcBorders>
              <w:top w:val="single" w:color="000000" w:sz="6" w:space="0"/>
              <w:left w:val="single" w:color="000000" w:sz="4"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912" w:type="dxa"/>
            <w:vMerge w:val="continue"/>
            <w:tcBorders>
              <w:top w:val="single" w:color="000000" w:sz="6" w:space="0"/>
              <w:left w:val="single" w:color="000000" w:sz="6"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418"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AA25</w:t>
            </w:r>
          </w:p>
        </w:tc>
        <w:tc>
          <w:tcPr>
            <w:tcW w:w="1842"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48h</w:t>
            </w:r>
          </w:p>
        </w:tc>
        <w:tc>
          <w:tcPr>
            <w:tcW w:w="2704" w:type="dxa"/>
            <w:vMerge w:val="continue"/>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r>
      <w:tr>
        <w:tblPrEx>
          <w:tblCellMar>
            <w:top w:w="0" w:type="dxa"/>
            <w:left w:w="108" w:type="dxa"/>
            <w:bottom w:w="0" w:type="dxa"/>
            <w:right w:w="108" w:type="dxa"/>
          </w:tblCellMar>
        </w:tblPrEx>
        <w:trPr>
          <w:trHeight w:val="539" w:hRule="atLeast"/>
          <w:jc w:val="center"/>
        </w:trPr>
        <w:tc>
          <w:tcPr>
            <w:tcW w:w="1080" w:type="dxa"/>
            <w:vMerge w:val="continue"/>
            <w:tcBorders>
              <w:top w:val="single" w:color="000000" w:sz="6" w:space="0"/>
              <w:left w:val="single" w:color="000000" w:sz="4"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3330" w:type="dxa"/>
            <w:gridSpan w:val="2"/>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中性盐雾</w:t>
            </w:r>
            <w:r>
              <w:rPr>
                <w:rFonts w:ascii="仿宋" w:hAnsi="仿宋" w:eastAsia="仿宋" w:cs="宋体"/>
                <w:b w:val="0"/>
                <w:bCs w:val="0"/>
                <w:color w:val="auto"/>
                <w:kern w:val="2"/>
                <w:sz w:val="24"/>
                <w:szCs w:val="24"/>
                <w:vertAlign w:val="superscript"/>
                <w:lang w:val="en-US" w:eastAsia="zh-CN" w:bidi="ar-SA"/>
              </w:rPr>
              <w:t>b</w:t>
            </w:r>
          </w:p>
        </w:tc>
        <w:tc>
          <w:tcPr>
            <w:tcW w:w="1842"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4000h</w:t>
            </w:r>
          </w:p>
        </w:tc>
        <w:tc>
          <w:tcPr>
            <w:tcW w:w="2704" w:type="dxa"/>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不次于1级</w:t>
            </w:r>
          </w:p>
        </w:tc>
      </w:tr>
      <w:tr>
        <w:tblPrEx>
          <w:tblCellMar>
            <w:top w:w="0" w:type="dxa"/>
            <w:left w:w="108" w:type="dxa"/>
            <w:bottom w:w="0" w:type="dxa"/>
            <w:right w:w="108" w:type="dxa"/>
          </w:tblCellMar>
        </w:tblPrEx>
        <w:trPr>
          <w:trHeight w:val="539" w:hRule="atLeast"/>
          <w:jc w:val="center"/>
        </w:trPr>
        <w:tc>
          <w:tcPr>
            <w:tcW w:w="4410" w:type="dxa"/>
            <w:gridSpan w:val="3"/>
            <w:vMerge w:val="restart"/>
            <w:tcBorders>
              <w:top w:val="single" w:color="000000" w:sz="6" w:space="0"/>
              <w:left w:val="single" w:color="000000" w:sz="4"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耐人工加速老化</w:t>
            </w:r>
          </w:p>
        </w:tc>
        <w:tc>
          <w:tcPr>
            <w:tcW w:w="1842" w:type="dxa"/>
            <w:vMerge w:val="restart"/>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4000h</w:t>
            </w:r>
          </w:p>
        </w:tc>
        <w:tc>
          <w:tcPr>
            <w:tcW w:w="2704" w:type="dxa"/>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色差≤3.0</w:t>
            </w:r>
          </w:p>
        </w:tc>
      </w:tr>
      <w:tr>
        <w:tblPrEx>
          <w:tblCellMar>
            <w:top w:w="0" w:type="dxa"/>
            <w:left w:w="108" w:type="dxa"/>
            <w:bottom w:w="0" w:type="dxa"/>
            <w:right w:w="108" w:type="dxa"/>
          </w:tblCellMar>
        </w:tblPrEx>
        <w:trPr>
          <w:trHeight w:val="539" w:hRule="atLeast"/>
          <w:jc w:val="center"/>
        </w:trPr>
        <w:tc>
          <w:tcPr>
            <w:tcW w:w="4410" w:type="dxa"/>
            <w:gridSpan w:val="3"/>
            <w:vMerge w:val="continue"/>
            <w:tcBorders>
              <w:top w:val="single" w:color="000000" w:sz="6" w:space="0"/>
              <w:left w:val="single" w:color="000000" w:sz="4"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842" w:type="dxa"/>
            <w:vMerge w:val="continue"/>
            <w:tcBorders>
              <w:top w:val="single" w:color="000000" w:sz="6" w:space="0"/>
              <w:left w:val="single" w:color="000000" w:sz="6"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2704" w:type="dxa"/>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光泽度保持率≥70%</w:t>
            </w:r>
          </w:p>
        </w:tc>
      </w:tr>
      <w:tr>
        <w:tblPrEx>
          <w:tblCellMar>
            <w:top w:w="0" w:type="dxa"/>
            <w:left w:w="108" w:type="dxa"/>
            <w:bottom w:w="0" w:type="dxa"/>
            <w:right w:w="108" w:type="dxa"/>
          </w:tblCellMar>
        </w:tblPrEx>
        <w:trPr>
          <w:trHeight w:val="539" w:hRule="atLeast"/>
          <w:jc w:val="center"/>
        </w:trPr>
        <w:tc>
          <w:tcPr>
            <w:tcW w:w="4410" w:type="dxa"/>
            <w:gridSpan w:val="3"/>
            <w:vMerge w:val="continue"/>
            <w:tcBorders>
              <w:top w:val="single" w:color="000000" w:sz="6" w:space="0"/>
              <w:left w:val="single" w:color="000000" w:sz="4"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1842" w:type="dxa"/>
            <w:vMerge w:val="continue"/>
            <w:tcBorders>
              <w:top w:val="single" w:color="000000" w:sz="6" w:space="0"/>
              <w:left w:val="single" w:color="000000" w:sz="6" w:space="0"/>
              <w:bottom w:val="single" w:color="000000" w:sz="6" w:space="0"/>
            </w:tcBorders>
            <w:shd w:val="clear" w:color="auto" w:fill="auto"/>
            <w:vAlign w:val="center"/>
          </w:tcPr>
          <w:p>
            <w:pPr>
              <w:widowControl/>
              <w:snapToGrid w:val="0"/>
              <w:jc w:val="left"/>
              <w:rPr>
                <w:rFonts w:ascii="仿宋" w:hAnsi="仿宋" w:eastAsia="仿宋" w:cs="宋体"/>
                <w:b w:val="0"/>
                <w:bCs w:val="0"/>
                <w:color w:val="auto"/>
                <w:kern w:val="2"/>
                <w:sz w:val="24"/>
                <w:szCs w:val="24"/>
                <w:lang w:val="en-US" w:eastAsia="zh-CN" w:bidi="ar-SA"/>
              </w:rPr>
            </w:pPr>
          </w:p>
        </w:tc>
        <w:tc>
          <w:tcPr>
            <w:tcW w:w="2704" w:type="dxa"/>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其他老化性能不次于0级</w:t>
            </w:r>
          </w:p>
        </w:tc>
      </w:tr>
      <w:tr>
        <w:tblPrEx>
          <w:tblCellMar>
            <w:top w:w="0" w:type="dxa"/>
            <w:left w:w="108" w:type="dxa"/>
            <w:bottom w:w="0" w:type="dxa"/>
            <w:right w:w="108" w:type="dxa"/>
          </w:tblCellMar>
        </w:tblPrEx>
        <w:trPr>
          <w:trHeight w:val="539" w:hRule="atLeast"/>
          <w:jc w:val="center"/>
        </w:trPr>
        <w:tc>
          <w:tcPr>
            <w:tcW w:w="4410" w:type="dxa"/>
            <w:gridSpan w:val="3"/>
            <w:tcBorders>
              <w:top w:val="single" w:color="000000" w:sz="6" w:space="0"/>
              <w:left w:val="single" w:color="000000" w:sz="4"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耐湿热性</w:t>
            </w:r>
          </w:p>
        </w:tc>
        <w:tc>
          <w:tcPr>
            <w:tcW w:w="1842" w:type="dxa"/>
            <w:tcBorders>
              <w:top w:val="single" w:color="000000" w:sz="6" w:space="0"/>
              <w:left w:val="single" w:color="000000" w:sz="6" w:space="0"/>
              <w:bottom w:val="single" w:color="000000" w:sz="6"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4000h</w:t>
            </w:r>
          </w:p>
        </w:tc>
        <w:tc>
          <w:tcPr>
            <w:tcW w:w="2704" w:type="dxa"/>
            <w:tcBorders>
              <w:top w:val="single" w:color="000000" w:sz="6" w:space="0"/>
              <w:left w:val="single" w:color="000000" w:sz="6" w:space="0"/>
              <w:bottom w:val="single" w:color="000000" w:sz="6" w:space="0"/>
              <w:right w:val="single" w:color="000000" w:sz="4" w:space="0"/>
            </w:tcBorders>
            <w:shd w:val="clear" w:color="auto" w:fill="auto"/>
            <w:vAlign w:val="center"/>
          </w:tcPr>
          <w:p>
            <w:pPr>
              <w:widowControl/>
              <w:jc w:val="center"/>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不次于1级</w:t>
            </w:r>
          </w:p>
        </w:tc>
      </w:tr>
      <w:tr>
        <w:tblPrEx>
          <w:tblCellMar>
            <w:top w:w="0" w:type="dxa"/>
            <w:left w:w="108" w:type="dxa"/>
            <w:bottom w:w="0" w:type="dxa"/>
            <w:right w:w="108" w:type="dxa"/>
          </w:tblCellMar>
        </w:tblPrEx>
        <w:trPr>
          <w:trHeight w:val="539" w:hRule="atLeast"/>
          <w:jc w:val="center"/>
        </w:trPr>
        <w:tc>
          <w:tcPr>
            <w:tcW w:w="8956" w:type="dxa"/>
            <w:gridSpan w:val="5"/>
            <w:tcBorders>
              <w:top w:val="single" w:color="000000" w:sz="6" w:space="0"/>
              <w:left w:val="single" w:color="000000" w:sz="4" w:space="0"/>
              <w:bottom w:val="single" w:color="000000" w:sz="6" w:space="0"/>
              <w:right w:val="single" w:color="000000" w:sz="4" w:space="0"/>
            </w:tcBorders>
            <w:shd w:val="clear" w:color="auto" w:fill="auto"/>
            <w:vAlign w:val="center"/>
          </w:tcPr>
          <w:p>
            <w:pPr>
              <w:widowControl/>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说明：a、适用于阳极氧化铝单板。</w:t>
            </w:r>
          </w:p>
        </w:tc>
      </w:tr>
      <w:tr>
        <w:tblPrEx>
          <w:tblCellMar>
            <w:top w:w="0" w:type="dxa"/>
            <w:left w:w="108" w:type="dxa"/>
            <w:bottom w:w="0" w:type="dxa"/>
            <w:right w:w="108" w:type="dxa"/>
          </w:tblCellMar>
        </w:tblPrEx>
        <w:trPr>
          <w:trHeight w:val="539" w:hRule="atLeast"/>
          <w:jc w:val="center"/>
        </w:trPr>
        <w:tc>
          <w:tcPr>
            <w:tcW w:w="8956" w:type="dxa"/>
            <w:gridSpan w:val="5"/>
            <w:tcBorders>
              <w:top w:val="single" w:color="000000" w:sz="6" w:space="0"/>
              <w:left w:val="single" w:color="000000" w:sz="4" w:space="0"/>
              <w:bottom w:val="single" w:color="000000" w:sz="4" w:space="0"/>
              <w:right w:val="single" w:color="000000" w:sz="4" w:space="0"/>
            </w:tcBorders>
            <w:shd w:val="clear" w:color="auto" w:fill="auto"/>
            <w:vAlign w:val="center"/>
          </w:tcPr>
          <w:p>
            <w:pPr>
              <w:widowControl/>
              <w:ind w:firstLine="630"/>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b、适用于阳极氧化以外的其它涂层铝单板。</w:t>
            </w:r>
          </w:p>
        </w:tc>
      </w:tr>
    </w:tbl>
    <w:p>
      <w:pPr>
        <w:widowControl/>
        <w:jc w:val="left"/>
        <w:rPr>
          <w:rFonts w:ascii="仿宋" w:hAnsi="仿宋" w:eastAsia="仿宋" w:cs="宋体"/>
          <w:b w:val="0"/>
          <w:bCs w:val="0"/>
          <w:color w:val="auto"/>
          <w:kern w:val="2"/>
          <w:sz w:val="24"/>
          <w:szCs w:val="24"/>
          <w:lang w:val="en-US" w:eastAsia="zh-CN" w:bidi="ar-SA"/>
        </w:rPr>
      </w:pPr>
    </w:p>
    <w:p>
      <w:pPr>
        <w:widowControl/>
        <w:spacing w:line="360" w:lineRule="auto"/>
        <w:ind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备注：除满足上述表中提及的要求外，其他要求尚应满足以下标准的相关规定。</w:t>
      </w:r>
    </w:p>
    <w:p>
      <w:pPr>
        <w:widowControl/>
        <w:numPr>
          <w:ilvl w:val="0"/>
          <w:numId w:val="6"/>
        </w:numPr>
        <w:spacing w:line="360" w:lineRule="auto"/>
        <w:ind w:left="0"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YS/T 429.1-2014《铝幕墙板第1部分：板基》</w:t>
      </w:r>
    </w:p>
    <w:p>
      <w:pPr>
        <w:widowControl/>
        <w:numPr>
          <w:ilvl w:val="0"/>
          <w:numId w:val="6"/>
        </w:numPr>
        <w:spacing w:line="360" w:lineRule="auto"/>
        <w:ind w:left="0"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YS/T429.2-2012 《铝幕墙板第2部分：有机聚合物喷涂铝单板》</w:t>
      </w:r>
    </w:p>
    <w:p>
      <w:pPr>
        <w:widowControl/>
        <w:numPr>
          <w:ilvl w:val="0"/>
          <w:numId w:val="6"/>
        </w:numPr>
        <w:spacing w:line="360" w:lineRule="auto"/>
        <w:ind w:left="0"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GB5237.4-2008《铝合金建筑型材第4部分：粉末喷涂型材》</w:t>
      </w:r>
    </w:p>
    <w:p>
      <w:pPr>
        <w:widowControl/>
        <w:numPr>
          <w:ilvl w:val="0"/>
          <w:numId w:val="6"/>
        </w:numPr>
        <w:spacing w:line="360" w:lineRule="auto"/>
        <w:ind w:left="0"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GB5237.5-2008《铝合金建筑型材第5部分：氟碳漆喷涂型材》</w:t>
      </w:r>
    </w:p>
    <w:p>
      <w:pPr>
        <w:widowControl/>
        <w:numPr>
          <w:ilvl w:val="0"/>
          <w:numId w:val="6"/>
        </w:numPr>
        <w:spacing w:line="360" w:lineRule="auto"/>
        <w:ind w:left="0" w:firstLine="422"/>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GB/T 23443-2009《建筑装饰用铝单板》</w:t>
      </w:r>
    </w:p>
    <w:p>
      <w:pPr>
        <w:pStyle w:val="2"/>
        <w:snapToGrid w:val="0"/>
        <w:spacing w:line="360" w:lineRule="auto"/>
        <w:ind w:firstLine="420"/>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GB/T 3880.3-2006《一般工业用铝及铝合金板、带材第3部分：尺寸偏差》    </w:t>
      </w:r>
    </w:p>
    <w:p>
      <w:pPr>
        <w:pStyle w:val="2"/>
        <w:snapToGrid w:val="0"/>
        <w:spacing w:line="360" w:lineRule="auto"/>
        <w:ind w:firstLine="420"/>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       </w:t>
      </w:r>
    </w:p>
    <w:p>
      <w:pPr>
        <w:snapToGrid w:val="0"/>
        <w:spacing w:line="360" w:lineRule="auto"/>
        <w:jc w:val="left"/>
        <w:rPr>
          <w:color w:val="auto"/>
        </w:rPr>
      </w:pPr>
      <w:r>
        <w:rPr>
          <w:rFonts w:ascii="仿宋" w:hAnsi="仿宋" w:eastAsia="仿宋"/>
          <w:b/>
          <w:bCs/>
          <w:color w:val="auto"/>
          <w:sz w:val="24"/>
          <w:szCs w:val="24"/>
        </w:rPr>
        <w:t>二、</w:t>
      </w:r>
      <w:r>
        <w:rPr>
          <w:rFonts w:ascii="仿宋" w:hAnsi="仿宋" w:eastAsia="仿宋" w:cs="仿宋"/>
          <w:b/>
          <w:bCs/>
          <w:color w:val="auto"/>
          <w:sz w:val="28"/>
          <w:szCs w:val="28"/>
        </w:rPr>
        <w:t>陶砖装饰工程</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（一）、陶砖（满浆砌筑)</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（1）材料：原生陶土粘土，陶土挤压后再经过高温烧制成型，采用窑变还原技术，色泽饱满，吸水率小于6%，陶砖性能需满足相关规范要求。具体颜色由样板选样确定。</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（2）规格： 240 mm *115 mm *53 mm，外表面不允许现场切割。</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（3）施工工艺 : 满浆砌筑，砌筑前，淋水浇透。</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（4）受力构件:采用钢筋混凝土结构挑板（梁）。 </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（5）采用做法详见施工图纸。</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（6）砌筑、嵌缝、塞口材料：低碱防水水泥砂浆。</w:t>
      </w:r>
    </w:p>
    <w:p>
      <w:pPr>
        <w:spacing w:line="360" w:lineRule="auto"/>
        <w:ind w:firstLine="56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（二）、陶砖施工技术要求</w:t>
      </w:r>
    </w:p>
    <w:p>
      <w:pPr>
        <w:pStyle w:val="155"/>
        <w:numPr>
          <w:ilvl w:val="0"/>
          <w:numId w:val="6"/>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外墙龙骨放线</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各种标高控制线、轴线控制线放出并标识，这是一切放线的基础。</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窗口收口线放出并标识，控制砖、石收口。</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窗口收口龙骨线放出，控制拉结片、挂件的位置。</w:t>
      </w:r>
    </w:p>
    <w:p>
      <w:pPr>
        <w:spacing w:line="360" w:lineRule="auto"/>
        <w:ind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4）竖龙骨位置线在墙面上放出，并与外墙龙骨对应，考虑好槽钢转接件的位置。</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在层间大托梁上放出竖龙骨的进出位控制线，控制竖龙骨的进出位。</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在竖龙骨上放出横龙骨线，控制横龙骨的水平度和进出位。</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石材位置线放出控制石材龙骨的安装位置，控制砖的砌筑皮数。</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墙面材料水平向变化处（横剖）线放出，控制变化部位的龙骨和材料安装。</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墙面材料竖向变化处（竖剖）线放出，控制变化部位的龙骨和材料安装。</w:t>
      </w:r>
    </w:p>
    <w:p>
      <w:pPr>
        <w:numPr>
          <w:ilvl w:val="0"/>
          <w:numId w:val="8"/>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各种造型的线在墙面上画出控制此部位的龙骨及材料收口。</w:t>
      </w:r>
    </w:p>
    <w:p>
      <w:pPr>
        <w:spacing w:line="360" w:lineRule="auto"/>
        <w:ind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（2）外墙陶砖砌筑</w:t>
      </w:r>
    </w:p>
    <w:p>
      <w:pPr>
        <w:numPr>
          <w:ilvl w:val="0"/>
          <w:numId w:val="9"/>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抄平、放线、立皮数杆（目的：使水平灰缝均匀一致，控制设计标高）</w:t>
      </w:r>
    </w:p>
    <w:p>
      <w:pPr>
        <w:spacing w:line="360" w:lineRule="auto"/>
        <w:ind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2）在放线的托梁上按选定的组砌方式用于干砖试摆（目的：使竖缝厚度均匀一致）校对所放出的线，在门窗洞口位置及石材窗套等处是否符合砖的模数（目的：符合砖的模数）。</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每米设一道垂直立线（目的：控制游丁走缝）</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盘角、挂线、上跟线、下跟棱，左右相邻要对平（目的：保证墙面垂直平整、水平灰缝平直）。</w:t>
      </w:r>
    </w:p>
    <w:p>
      <w:pPr>
        <w:pStyle w:val="2"/>
        <w:snapToGrid w:val="0"/>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拉结网要卡在拉结片槽内，按图纸设计要求布置，遇拉结片、拉结网皮数时，该皮数砖应切割去薄（目的：控制该皮水平灰缝过大，保证灰缝均匀）。</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划缝、制作划缝工具、每日砌砖完后需当日把缝划完，深度均匀一致，划缝深度不小于10mm，把砖缝的上棱和下棱砂浆，竖缝的左棱和右棱砂浆划净，并用扫把和毛刷清扫干净（目的：为勾缝打基础）。</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砖的颜色比例搭配必须按图纸设计要求施工，不能出现同一颜色的砖集中和单一，要分布开，但不能有规律。</w:t>
      </w:r>
    </w:p>
    <w:p>
      <w:pPr>
        <w:numPr>
          <w:ilvl w:val="0"/>
          <w:numId w:val="7"/>
        </w:numPr>
        <w:spacing w:line="360" w:lineRule="auto"/>
        <w:ind w:left="0" w:firstLine="200"/>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砌筑灰缝砂浆应密实饱满，特别是立缝砂浆，不应出现瞎缝、透明缝和假缝。砂浆饱满度大于80%（空心砖按净面积计算大于90%）</w:t>
      </w:r>
    </w:p>
    <w:p>
      <w:pPr>
        <w:pStyle w:val="2"/>
        <w:snapToGrid w:val="0"/>
        <w:spacing w:line="360" w:lineRule="auto"/>
        <w:jc w:val="left"/>
        <w:rPr>
          <w:rFonts w:ascii="仿宋" w:hAnsi="仿宋" w:eastAsia="仿宋" w:cs="宋体"/>
          <w:b w:val="0"/>
          <w:bCs w:val="0"/>
          <w:color w:val="auto"/>
          <w:kern w:val="2"/>
          <w:sz w:val="24"/>
          <w:szCs w:val="24"/>
          <w:lang w:val="en-US" w:eastAsia="zh-CN" w:bidi="ar-SA"/>
        </w:rPr>
      </w:pPr>
      <w:r>
        <w:rPr>
          <w:rFonts w:ascii="仿宋" w:hAnsi="仿宋" w:eastAsia="仿宋" w:cs="宋体"/>
          <w:b w:val="0"/>
          <w:bCs w:val="0"/>
          <w:color w:val="auto"/>
          <w:kern w:val="2"/>
          <w:sz w:val="24"/>
          <w:szCs w:val="24"/>
          <w:lang w:val="en-US" w:eastAsia="zh-CN" w:bidi="ar-SA"/>
        </w:rPr>
        <w:t xml:space="preserve"> 9）每天砌砖完成工完场清，砌砖完成后，墙面用薄膜做好成品保护。</w:t>
      </w:r>
    </w:p>
    <w:p>
      <w:pPr>
        <w:snapToGrid w:val="0"/>
        <w:spacing w:line="360" w:lineRule="auto"/>
        <w:jc w:val="left"/>
        <w:rPr>
          <w:rFonts w:ascii="仿宋" w:hAnsi="仿宋" w:eastAsia="仿宋" w:cs="宋体"/>
          <w:b w:val="0"/>
          <w:bCs w:val="0"/>
          <w:color w:val="auto"/>
          <w:kern w:val="2"/>
          <w:sz w:val="24"/>
          <w:szCs w:val="24"/>
          <w:lang w:val="en-US" w:eastAsia="zh-CN" w:bidi="ar-SA"/>
        </w:rPr>
      </w:pPr>
    </w:p>
    <w:p>
      <w:pPr>
        <w:spacing w:line="360" w:lineRule="auto"/>
        <w:jc w:val="center"/>
        <w:rPr>
          <w:rFonts w:ascii="仿宋" w:hAnsi="仿宋" w:eastAsia="仿宋" w:cs="宋体"/>
          <w:b w:val="0"/>
          <w:bCs w:val="0"/>
          <w:color w:val="auto"/>
          <w:kern w:val="2"/>
          <w:sz w:val="24"/>
          <w:szCs w:val="24"/>
          <w:lang w:val="en-US" w:eastAsia="zh-CN" w:bidi="ar-SA"/>
        </w:rPr>
      </w:pPr>
    </w:p>
    <w:p>
      <w:pPr>
        <w:pStyle w:val="2"/>
        <w:rPr>
          <w:color w:val="auto"/>
        </w:rPr>
      </w:pPr>
    </w:p>
    <w:p>
      <w:pPr>
        <w:snapToGrid w:val="0"/>
        <w:spacing w:line="360" w:lineRule="auto"/>
        <w:jc w:val="left"/>
        <w:rPr>
          <w:rFonts w:ascii="仿宋" w:hAnsi="仿宋" w:eastAsia="仿宋"/>
          <w:b/>
          <w:bCs/>
          <w:color w:val="auto"/>
          <w:sz w:val="24"/>
          <w:szCs w:val="24"/>
        </w:rPr>
      </w:pPr>
      <w:r>
        <w:rPr>
          <w:color w:val="auto"/>
        </w:rPr>
        <w:br w:type="page"/>
      </w:r>
    </w:p>
    <w:p>
      <w:pPr>
        <w:pStyle w:val="3"/>
        <w:numPr>
          <w:ilvl w:val="0"/>
          <w:numId w:val="0"/>
        </w:numPr>
        <w:rPr>
          <w:rFonts w:ascii="宋体" w:hAnsi="宋体" w:eastAsia="宋体" w:cs="宋体"/>
          <w:color w:val="auto"/>
          <w:szCs w:val="32"/>
        </w:rPr>
      </w:pPr>
      <w:r>
        <w:rPr>
          <w:rFonts w:ascii="宋体" w:hAnsi="宋体" w:eastAsia="宋体" w:cs="宋体"/>
          <w:color w:val="auto"/>
          <w:szCs w:val="32"/>
        </w:rPr>
        <w:t>第一部分 合同协议书</w:t>
      </w:r>
    </w:p>
    <w:p>
      <w:pPr>
        <w:spacing w:before="312" w:after="0" w:line="360" w:lineRule="auto"/>
        <w:ind w:firstLine="482"/>
        <w:rPr>
          <w:rFonts w:ascii="宋体" w:hAnsi="宋体"/>
          <w:color w:val="auto"/>
          <w:szCs w:val="21"/>
          <w:u w:val="single"/>
        </w:rPr>
      </w:pPr>
      <w:r>
        <w:rPr>
          <w:rFonts w:ascii="宋体" w:hAnsi="宋体"/>
          <w:color w:val="auto"/>
          <w:szCs w:val="21"/>
        </w:rPr>
        <w:t>发包人（全称）：</w:t>
      </w:r>
      <w:r>
        <w:rPr>
          <w:rFonts w:ascii="宋体" w:hAnsi="宋体"/>
          <w:color w:val="auto"/>
          <w:szCs w:val="21"/>
          <w:u w:val="single"/>
        </w:rPr>
        <w:t xml:space="preserve"> </w:t>
      </w:r>
    </w:p>
    <w:p>
      <w:pPr>
        <w:spacing w:line="360" w:lineRule="auto"/>
        <w:ind w:firstLine="480"/>
        <w:rPr>
          <w:rFonts w:ascii="宋体" w:hAnsi="宋体" w:eastAsia="宋体"/>
          <w:color w:val="auto"/>
          <w:szCs w:val="21"/>
          <w:u w:val="single"/>
        </w:rPr>
      </w:pPr>
      <w:r>
        <w:rPr>
          <w:rFonts w:ascii="宋体" w:hAnsi="宋体"/>
          <w:color w:val="auto"/>
          <w:szCs w:val="21"/>
        </w:rPr>
        <w:t>承包人（全称）：</w:t>
      </w:r>
      <w:r>
        <w:rPr>
          <w:rFonts w:ascii="宋体" w:hAnsi="宋体"/>
          <w:color w:val="auto"/>
          <w:szCs w:val="21"/>
          <w:u w:val="single"/>
        </w:rPr>
        <w:t xml:space="preserve"> </w:t>
      </w:r>
    </w:p>
    <w:p>
      <w:pPr>
        <w:spacing w:line="360" w:lineRule="auto"/>
        <w:ind w:firstLine="480"/>
        <w:rPr>
          <w:rFonts w:ascii="宋体" w:hAnsi="宋体" w:eastAsia="宋体"/>
          <w:color w:val="auto"/>
          <w:szCs w:val="21"/>
          <w:u w:val="single"/>
        </w:rPr>
      </w:pPr>
      <w:r>
        <w:rPr>
          <w:rFonts w:ascii="宋体" w:hAnsi="宋体"/>
          <w:color w:val="auto"/>
          <w:szCs w:val="21"/>
        </w:rPr>
        <w:t>项目经理姓名：</w:t>
      </w:r>
      <w:r>
        <w:rPr>
          <w:rFonts w:ascii="宋体" w:hAnsi="宋体"/>
          <w:color w:val="auto"/>
          <w:szCs w:val="21"/>
          <w:u w:val="single"/>
        </w:rPr>
        <w:t xml:space="preserve">     </w:t>
      </w:r>
      <w:r>
        <w:rPr>
          <w:rFonts w:ascii="宋体" w:hAnsi="宋体"/>
          <w:color w:val="auto"/>
          <w:szCs w:val="21"/>
        </w:rPr>
        <w:t>资格等级：</w:t>
      </w:r>
      <w:r>
        <w:rPr>
          <w:rFonts w:ascii="宋体" w:hAnsi="宋体"/>
          <w:color w:val="auto"/>
          <w:szCs w:val="21"/>
          <w:u w:val="single"/>
        </w:rPr>
        <w:t xml:space="preserve">     </w:t>
      </w:r>
      <w:r>
        <w:rPr>
          <w:rFonts w:ascii="宋体" w:hAnsi="宋体"/>
          <w:color w:val="auto"/>
          <w:szCs w:val="21"/>
        </w:rPr>
        <w:t>证书号码：</w:t>
      </w:r>
      <w:r>
        <w:rPr>
          <w:rFonts w:ascii="宋体" w:hAnsi="宋体"/>
          <w:color w:val="auto"/>
          <w:szCs w:val="21"/>
          <w:u w:val="single"/>
        </w:rPr>
        <w:t xml:space="preserve">    </w:t>
      </w:r>
    </w:p>
    <w:p>
      <w:pPr>
        <w:spacing w:before="156" w:after="0" w:line="360" w:lineRule="auto"/>
        <w:ind w:firstLine="482"/>
        <w:rPr>
          <w:rFonts w:ascii="宋体" w:hAnsi="宋体"/>
          <w:color w:val="auto"/>
          <w:szCs w:val="21"/>
        </w:rPr>
      </w:pPr>
      <w:r>
        <w:rPr>
          <w:rFonts w:ascii="宋体" w:hAnsi="宋体"/>
          <w:color w:val="auto"/>
          <w:szCs w:val="21"/>
        </w:rPr>
        <w:t>本工程于</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日简易招标，确定由承包人承建。</w:t>
      </w:r>
    </w:p>
    <w:p>
      <w:pPr>
        <w:spacing w:line="360" w:lineRule="auto"/>
        <w:ind w:firstLine="480"/>
        <w:rPr>
          <w:rFonts w:ascii="宋体" w:hAnsi="宋体"/>
          <w:color w:val="auto"/>
          <w:szCs w:val="21"/>
        </w:rPr>
      </w:pPr>
      <w:r>
        <w:rPr>
          <w:rFonts w:ascii="宋体" w:hAnsi="宋体"/>
          <w:color w:val="auto"/>
          <w:szCs w:val="21"/>
        </w:rPr>
        <w:t>依照《中华人民共和国民法典》《中华人民共和国建筑法》及其他有关法律、法规、规章，并结合深圳市有关规定及本工程的招标文件要求，遵循平等、自愿、公平和诚实信用的原则，双方就本工程建设施工事项协调一致，订立本协议。</w:t>
      </w:r>
    </w:p>
    <w:p>
      <w:pPr>
        <w:numPr>
          <w:ilvl w:val="0"/>
          <w:numId w:val="0"/>
        </w:numPr>
        <w:spacing w:before="156" w:after="156" w:line="360" w:lineRule="auto"/>
        <w:ind w:left="482" w:firstLine="0"/>
        <w:outlineLvl w:val="1"/>
        <w:rPr>
          <w:rFonts w:ascii="宋体" w:hAnsi="宋体"/>
          <w:b/>
          <w:color w:val="auto"/>
          <w:sz w:val="30"/>
          <w:szCs w:val="30"/>
        </w:rPr>
      </w:pPr>
      <w:bookmarkStart w:id="22" w:name="_Toc29182"/>
      <w:bookmarkStart w:id="23" w:name="_Toc517531935"/>
      <w:bookmarkStart w:id="24" w:name="_Toc517528604"/>
      <w:bookmarkStart w:id="25" w:name="_Toc5806"/>
      <w:bookmarkStart w:id="26" w:name="_Toc28011"/>
      <w:bookmarkStart w:id="27" w:name="_Toc517530659"/>
      <w:bookmarkStart w:id="28" w:name="_Toc5287"/>
      <w:bookmarkStart w:id="29" w:name="_Toc14329"/>
      <w:bookmarkStart w:id="30" w:name="_Toc19203"/>
      <w:bookmarkStart w:id="31" w:name="_Toc30864"/>
      <w:bookmarkStart w:id="32" w:name="_Toc22125"/>
      <w:bookmarkStart w:id="33" w:name="_Toc20871"/>
      <w:bookmarkStart w:id="34" w:name="_Toc517529697"/>
      <w:r>
        <w:rPr>
          <w:rFonts w:ascii="宋体" w:hAnsi="宋体"/>
          <w:b/>
          <w:color w:val="auto"/>
          <w:sz w:val="30"/>
          <w:szCs w:val="30"/>
        </w:rPr>
        <w:t>一、工程概况</w:t>
      </w:r>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firstLine="420"/>
        <w:rPr>
          <w:rFonts w:ascii="宋体" w:hAnsi="宋体"/>
          <w:color w:val="auto"/>
          <w:szCs w:val="21"/>
          <w:u w:val="single"/>
        </w:rPr>
      </w:pPr>
      <w:r>
        <w:rPr>
          <w:rFonts w:ascii="宋体" w:hAnsi="宋体"/>
          <w:color w:val="auto"/>
          <w:szCs w:val="21"/>
        </w:rPr>
        <w:t>工程名称：</w:t>
      </w:r>
      <w:r>
        <w:rPr>
          <w:rFonts w:ascii="宋体" w:hAnsi="宋体"/>
          <w:color w:val="auto"/>
          <w:szCs w:val="21"/>
          <w:u w:val="single"/>
        </w:rPr>
        <w:t xml:space="preserve"> </w:t>
      </w:r>
    </w:p>
    <w:p>
      <w:pPr>
        <w:spacing w:line="360" w:lineRule="auto"/>
        <w:ind w:firstLine="420"/>
        <w:rPr>
          <w:rFonts w:ascii="宋体" w:hAnsi="宋体"/>
          <w:color w:val="auto"/>
          <w:szCs w:val="21"/>
        </w:rPr>
      </w:pPr>
      <w:r>
        <w:rPr>
          <w:rFonts w:ascii="宋体" w:hAnsi="宋体"/>
          <w:color w:val="auto"/>
          <w:szCs w:val="21"/>
        </w:rPr>
        <w:t>工程地点：</w:t>
      </w:r>
      <w:r>
        <w:rPr>
          <w:rFonts w:ascii="宋体" w:hAnsi="宋体"/>
          <w:color w:val="auto"/>
          <w:szCs w:val="21"/>
          <w:u w:val="single"/>
        </w:rPr>
        <w:t xml:space="preserve"> </w:t>
      </w:r>
    </w:p>
    <w:p>
      <w:pPr>
        <w:pStyle w:val="155"/>
        <w:snapToGrid w:val="0"/>
        <w:spacing w:line="360" w:lineRule="auto"/>
        <w:rPr>
          <w:rFonts w:ascii="仿宋" w:hAnsi="仿宋" w:eastAsia="宋体"/>
          <w:bCs/>
          <w:color w:val="auto"/>
          <w:sz w:val="24"/>
          <w:szCs w:val="24"/>
        </w:rPr>
      </w:pPr>
      <w:r>
        <w:rPr>
          <w:rFonts w:ascii="宋体" w:hAnsi="宋体"/>
          <w:color w:val="auto"/>
          <w:szCs w:val="21"/>
        </w:rPr>
        <w:t>工程内容：</w:t>
      </w:r>
      <w:r>
        <w:rPr>
          <w:rFonts w:ascii="宋体" w:hAnsi="宋体"/>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p>
    <w:p>
      <w:pPr>
        <w:spacing w:line="360" w:lineRule="auto"/>
        <w:ind w:firstLine="420"/>
        <w:rPr>
          <w:rFonts w:ascii="宋体" w:hAnsi="宋体"/>
          <w:color w:val="auto"/>
          <w:szCs w:val="21"/>
        </w:rPr>
      </w:pPr>
      <w:r>
        <w:rPr>
          <w:rFonts w:ascii="宋体" w:hAnsi="宋体"/>
          <w:color w:val="auto"/>
          <w:szCs w:val="21"/>
        </w:rPr>
        <w:t>结构形式：</w:t>
      </w:r>
      <w:r>
        <w:rPr>
          <w:rFonts w:ascii="宋体" w:hAnsi="宋体"/>
          <w:color w:val="auto"/>
          <w:szCs w:val="21"/>
          <w:u w:val="single"/>
        </w:rPr>
        <w:t xml:space="preserve">                          </w:t>
      </w:r>
    </w:p>
    <w:p>
      <w:pPr>
        <w:spacing w:line="360" w:lineRule="auto"/>
        <w:ind w:firstLine="420"/>
        <w:rPr>
          <w:rFonts w:ascii="宋体" w:hAnsi="宋体"/>
          <w:color w:val="auto"/>
          <w:szCs w:val="21"/>
        </w:rPr>
      </w:pPr>
      <w:r>
        <w:rPr>
          <w:rFonts w:ascii="宋体" w:hAnsi="宋体"/>
          <w:color w:val="auto"/>
          <w:szCs w:val="21"/>
        </w:rPr>
        <w:t>层／幢：</w:t>
      </w:r>
      <w:r>
        <w:rPr>
          <w:rFonts w:ascii="宋体" w:hAnsi="宋体"/>
          <w:color w:val="auto"/>
          <w:szCs w:val="21"/>
          <w:u w:val="single"/>
        </w:rPr>
        <w:t xml:space="preserve">                                                    </w:t>
      </w:r>
    </w:p>
    <w:p>
      <w:pPr>
        <w:spacing w:line="360" w:lineRule="auto"/>
        <w:ind w:firstLine="420"/>
        <w:rPr>
          <w:rFonts w:ascii="宋体" w:hAnsi="宋体"/>
          <w:color w:val="auto"/>
          <w:szCs w:val="21"/>
        </w:rPr>
      </w:pPr>
      <w:r>
        <w:rPr>
          <w:rFonts w:ascii="宋体" w:hAnsi="宋体"/>
          <w:color w:val="auto"/>
          <w:szCs w:val="21"/>
        </w:rPr>
        <w:t>建筑面积：</w:t>
      </w:r>
      <w:r>
        <w:rPr>
          <w:rFonts w:ascii="宋体" w:hAnsi="宋体"/>
          <w:color w:val="auto"/>
          <w:szCs w:val="21"/>
          <w:u w:val="single"/>
        </w:rPr>
        <w:t xml:space="preserve">     </w:t>
      </w:r>
      <w:r>
        <w:rPr>
          <w:rFonts w:ascii="宋体" w:hAnsi="宋体"/>
          <w:color w:val="auto"/>
          <w:szCs w:val="21"/>
        </w:rPr>
        <w:t>平方米；</w:t>
      </w:r>
    </w:p>
    <w:p>
      <w:pPr>
        <w:spacing w:line="360" w:lineRule="auto"/>
        <w:ind w:firstLine="420"/>
        <w:rPr>
          <w:rFonts w:ascii="宋体" w:hAnsi="宋体"/>
          <w:color w:val="auto"/>
          <w:szCs w:val="21"/>
          <w:u w:val="single"/>
        </w:rPr>
      </w:pPr>
      <w:r>
        <w:rPr>
          <w:rFonts w:ascii="宋体" w:hAnsi="宋体"/>
          <w:color w:val="auto"/>
          <w:szCs w:val="21"/>
        </w:rPr>
        <w:t>工程立项批准文号：</w:t>
      </w:r>
      <w:r>
        <w:rPr>
          <w:rFonts w:ascii="宋体" w:hAnsi="宋体"/>
          <w:color w:val="auto"/>
          <w:szCs w:val="21"/>
          <w:u w:val="single"/>
        </w:rPr>
        <w:t xml:space="preserve">         </w:t>
      </w:r>
    </w:p>
    <w:p>
      <w:pPr>
        <w:spacing w:line="360" w:lineRule="auto"/>
        <w:ind w:firstLine="420"/>
        <w:rPr>
          <w:rFonts w:ascii="宋体" w:hAnsi="宋体"/>
          <w:color w:val="auto"/>
          <w:szCs w:val="21"/>
          <w:u w:val="single"/>
        </w:rPr>
      </w:pPr>
      <w:r>
        <w:rPr>
          <w:rFonts w:ascii="宋体" w:hAnsi="宋体"/>
          <w:color w:val="auto"/>
          <w:szCs w:val="21"/>
        </w:rPr>
        <w:t>资金来源：</w:t>
      </w:r>
      <w:r>
        <w:rPr>
          <w:rFonts w:ascii="宋体" w:hAnsi="宋体"/>
          <w:color w:val="auto"/>
          <w:szCs w:val="21"/>
          <w:u w:val="single"/>
        </w:rPr>
        <w:t xml:space="preserve">        </w:t>
      </w:r>
    </w:p>
    <w:p>
      <w:pPr>
        <w:numPr>
          <w:ilvl w:val="0"/>
          <w:numId w:val="10"/>
        </w:numPr>
        <w:spacing w:before="156" w:after="156" w:line="360" w:lineRule="auto"/>
        <w:ind w:left="482" w:firstLine="0"/>
        <w:outlineLvl w:val="1"/>
        <w:rPr>
          <w:rFonts w:ascii="宋体" w:hAnsi="宋体"/>
          <w:b/>
          <w:color w:val="auto"/>
          <w:sz w:val="30"/>
          <w:szCs w:val="30"/>
        </w:rPr>
      </w:pPr>
      <w:bookmarkStart w:id="35" w:name="_Toc26224"/>
      <w:bookmarkStart w:id="36" w:name="_Toc517528605"/>
      <w:bookmarkStart w:id="37" w:name="_Toc517530660"/>
      <w:bookmarkStart w:id="38" w:name="_Toc547"/>
      <w:bookmarkStart w:id="39" w:name="_Toc17056"/>
      <w:bookmarkStart w:id="40" w:name="_Toc28282"/>
      <w:bookmarkStart w:id="41" w:name="_Toc2478"/>
      <w:bookmarkStart w:id="42" w:name="_Toc517529698"/>
      <w:bookmarkStart w:id="43" w:name="_Toc11255"/>
      <w:bookmarkStart w:id="44" w:name="_Toc517531936"/>
      <w:bookmarkStart w:id="45" w:name="_Toc19564"/>
      <w:bookmarkStart w:id="46" w:name="_Toc4187"/>
      <w:bookmarkStart w:id="47" w:name="_Toc10630"/>
      <w:r>
        <w:rPr>
          <w:rFonts w:ascii="宋体" w:hAnsi="宋体"/>
          <w:b/>
          <w:color w:val="auto"/>
          <w:sz w:val="30"/>
          <w:szCs w:val="30"/>
        </w:rPr>
        <w:t>工程承包范围</w:t>
      </w:r>
      <w:bookmarkEnd w:id="35"/>
      <w:bookmarkEnd w:id="36"/>
      <w:bookmarkEnd w:id="37"/>
      <w:bookmarkEnd w:id="38"/>
      <w:bookmarkEnd w:id="39"/>
      <w:bookmarkEnd w:id="40"/>
      <w:bookmarkEnd w:id="41"/>
      <w:bookmarkEnd w:id="42"/>
      <w:bookmarkEnd w:id="43"/>
      <w:bookmarkEnd w:id="44"/>
      <w:bookmarkEnd w:id="45"/>
      <w:bookmarkEnd w:id="46"/>
      <w:bookmarkEnd w:id="47"/>
    </w:p>
    <w:p>
      <w:pPr>
        <w:pStyle w:val="2"/>
        <w:ind w:firstLine="560"/>
        <w:rPr>
          <w:rFonts w:eastAsia="仿宋_GB2312"/>
          <w:color w:val="auto"/>
          <w:u w:val="single"/>
        </w:rPr>
      </w:pPr>
      <w:r>
        <w:rPr>
          <w:color w:val="auto"/>
          <w:u w:val="single"/>
        </w:rPr>
        <w:t xml:space="preserve">                                             </w:t>
      </w:r>
    </w:p>
    <w:p>
      <w:pPr>
        <w:numPr>
          <w:ilvl w:val="0"/>
          <w:numId w:val="0"/>
        </w:numPr>
        <w:spacing w:before="156" w:after="156" w:line="360" w:lineRule="auto"/>
        <w:ind w:left="482" w:firstLine="0"/>
        <w:outlineLvl w:val="1"/>
        <w:rPr>
          <w:rFonts w:ascii="宋体" w:hAnsi="宋体"/>
          <w:b/>
          <w:color w:val="auto"/>
          <w:sz w:val="30"/>
          <w:szCs w:val="30"/>
        </w:rPr>
      </w:pPr>
      <w:bookmarkStart w:id="48" w:name="_Toc10411"/>
      <w:bookmarkStart w:id="49" w:name="_Toc9436"/>
      <w:bookmarkStart w:id="50" w:name="_Toc19724"/>
      <w:bookmarkStart w:id="51" w:name="_Toc6192"/>
      <w:bookmarkStart w:id="52" w:name="_Toc517530661"/>
      <w:bookmarkStart w:id="53" w:name="_Toc13087"/>
      <w:bookmarkStart w:id="54" w:name="_Toc16034"/>
      <w:bookmarkStart w:id="55" w:name="_Toc517528606"/>
      <w:bookmarkStart w:id="56" w:name="_Toc24839"/>
      <w:bookmarkStart w:id="57" w:name="_Toc517531937"/>
      <w:bookmarkStart w:id="58" w:name="_Toc16455"/>
      <w:bookmarkStart w:id="59" w:name="_Toc517529699"/>
      <w:bookmarkStart w:id="60" w:name="_Toc31250"/>
      <w:r>
        <w:rPr>
          <w:rFonts w:ascii="宋体" w:hAnsi="宋体"/>
          <w:b/>
          <w:color w:val="auto"/>
          <w:sz w:val="30"/>
          <w:szCs w:val="30"/>
        </w:rPr>
        <w:t>三、合同工期</w:t>
      </w:r>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480"/>
        <w:rPr>
          <w:rFonts w:ascii="宋体" w:hAnsi="宋体"/>
          <w:color w:val="auto"/>
          <w:szCs w:val="21"/>
        </w:rPr>
      </w:pPr>
      <w:r>
        <w:rPr>
          <w:rFonts w:ascii="宋体" w:hAnsi="宋体"/>
          <w:color w:val="auto"/>
          <w:szCs w:val="21"/>
        </w:rPr>
        <w:t>开工日期：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日（以监理人签发的开工令日期为准）</w:t>
      </w:r>
    </w:p>
    <w:p>
      <w:pPr>
        <w:spacing w:line="360" w:lineRule="auto"/>
        <w:ind w:firstLine="480"/>
        <w:rPr>
          <w:rFonts w:ascii="宋体" w:hAnsi="宋体"/>
          <w:color w:val="auto"/>
          <w:szCs w:val="21"/>
        </w:rPr>
      </w:pPr>
      <w:r>
        <w:rPr>
          <w:rFonts w:ascii="宋体" w:hAnsi="宋体"/>
          <w:color w:val="auto"/>
          <w:szCs w:val="21"/>
        </w:rPr>
        <w:t>竣工日期：</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360" w:lineRule="auto"/>
        <w:ind w:firstLine="480"/>
        <w:rPr>
          <w:rFonts w:ascii="宋体" w:hAnsi="宋体"/>
          <w:color w:val="auto"/>
          <w:szCs w:val="21"/>
          <w:u w:val="single"/>
        </w:rPr>
      </w:pPr>
      <w:r>
        <w:rPr>
          <w:rFonts w:ascii="宋体" w:hAnsi="宋体"/>
          <w:color w:val="auto"/>
          <w:szCs w:val="21"/>
        </w:rPr>
        <w:t>合同工期总日历天数：</w:t>
      </w:r>
      <w:r>
        <w:rPr>
          <w:rFonts w:ascii="宋体" w:hAnsi="宋体"/>
          <w:color w:val="auto"/>
          <w:szCs w:val="21"/>
          <w:u w:val="single"/>
        </w:rPr>
        <w:t xml:space="preserve">    </w:t>
      </w:r>
      <w:r>
        <w:rPr>
          <w:rFonts w:ascii="宋体" w:hAnsi="宋体"/>
          <w:color w:val="auto"/>
          <w:szCs w:val="21"/>
        </w:rPr>
        <w:t>日历天</w:t>
      </w:r>
    </w:p>
    <w:p>
      <w:pPr>
        <w:numPr>
          <w:ilvl w:val="0"/>
          <w:numId w:val="0"/>
        </w:numPr>
        <w:spacing w:before="156" w:after="156" w:line="360" w:lineRule="auto"/>
        <w:ind w:left="482" w:firstLine="0"/>
        <w:outlineLvl w:val="1"/>
        <w:rPr>
          <w:rFonts w:ascii="宋体" w:hAnsi="宋体"/>
          <w:b/>
          <w:color w:val="auto"/>
          <w:sz w:val="30"/>
          <w:szCs w:val="30"/>
        </w:rPr>
      </w:pPr>
      <w:bookmarkStart w:id="61" w:name="_Toc2072"/>
      <w:bookmarkStart w:id="62" w:name="_Toc517528607"/>
      <w:bookmarkStart w:id="63" w:name="_Toc32014"/>
      <w:bookmarkStart w:id="64" w:name="_Toc9445"/>
      <w:bookmarkStart w:id="65" w:name="_Toc517531938"/>
      <w:bookmarkStart w:id="66" w:name="_Toc32402"/>
      <w:bookmarkStart w:id="67" w:name="_Toc517529700"/>
      <w:bookmarkStart w:id="68" w:name="_Toc517530662"/>
      <w:bookmarkStart w:id="69" w:name="_Toc11937"/>
      <w:bookmarkStart w:id="70" w:name="_Toc32763"/>
      <w:bookmarkStart w:id="71" w:name="_Toc23937"/>
      <w:bookmarkStart w:id="72" w:name="_Toc31976"/>
      <w:bookmarkStart w:id="73" w:name="_Toc19167"/>
      <w:r>
        <w:rPr>
          <w:rFonts w:ascii="宋体" w:hAnsi="宋体"/>
          <w:b/>
          <w:color w:val="auto"/>
          <w:sz w:val="30"/>
          <w:szCs w:val="30"/>
        </w:rPr>
        <w:t>四、工程质量标准</w:t>
      </w:r>
      <w:bookmarkEnd w:id="61"/>
      <w:bookmarkEnd w:id="62"/>
      <w:bookmarkEnd w:id="63"/>
      <w:bookmarkEnd w:id="64"/>
      <w:bookmarkEnd w:id="65"/>
      <w:bookmarkEnd w:id="66"/>
      <w:bookmarkEnd w:id="67"/>
      <w:bookmarkEnd w:id="68"/>
      <w:bookmarkEnd w:id="69"/>
      <w:bookmarkEnd w:id="70"/>
      <w:bookmarkEnd w:id="71"/>
      <w:bookmarkEnd w:id="72"/>
      <w:bookmarkEnd w:id="73"/>
    </w:p>
    <w:p>
      <w:pPr>
        <w:pStyle w:val="13"/>
        <w:snapToGrid w:val="0"/>
        <w:spacing w:line="360" w:lineRule="auto"/>
        <w:jc w:val="left"/>
        <w:rPr>
          <w:color w:val="auto"/>
        </w:rPr>
      </w:pPr>
      <w:r>
        <w:rPr>
          <w:color w:val="auto"/>
        </w:rPr>
        <w:t>工程质量标准：</w:t>
      </w:r>
      <w:r>
        <w:rPr>
          <w:color w:val="auto"/>
          <w:u w:val="single"/>
        </w:rPr>
        <w:t xml:space="preserve"> </w:t>
      </w:r>
    </w:p>
    <w:p>
      <w:pPr>
        <w:numPr>
          <w:ilvl w:val="0"/>
          <w:numId w:val="0"/>
        </w:numPr>
        <w:spacing w:before="156" w:after="156" w:line="360" w:lineRule="auto"/>
        <w:ind w:left="482" w:firstLine="0"/>
        <w:outlineLvl w:val="1"/>
        <w:rPr>
          <w:rFonts w:ascii="宋体" w:hAnsi="宋体"/>
          <w:b/>
          <w:color w:val="auto"/>
          <w:sz w:val="30"/>
          <w:szCs w:val="30"/>
        </w:rPr>
      </w:pPr>
      <w:bookmarkStart w:id="74" w:name="_Toc517530663"/>
      <w:bookmarkStart w:id="75" w:name="_Toc22923"/>
      <w:bookmarkStart w:id="76" w:name="_Toc517528608"/>
      <w:bookmarkStart w:id="77" w:name="_Toc7633"/>
      <w:bookmarkStart w:id="78" w:name="_Toc24349"/>
      <w:bookmarkStart w:id="79" w:name="_Toc20614"/>
      <w:bookmarkStart w:id="80" w:name="_Toc27173"/>
      <w:bookmarkStart w:id="81" w:name="_Toc1614"/>
      <w:bookmarkStart w:id="82" w:name="_Toc893"/>
      <w:bookmarkStart w:id="83" w:name="_Toc517531939"/>
      <w:bookmarkStart w:id="84" w:name="_Toc31475"/>
      <w:bookmarkStart w:id="85" w:name="_Toc1580"/>
      <w:bookmarkStart w:id="86" w:name="_Toc517529701"/>
      <w:r>
        <w:rPr>
          <w:rFonts w:ascii="宋体" w:hAnsi="宋体"/>
          <w:b/>
          <w:color w:val="auto"/>
          <w:sz w:val="30"/>
          <w:szCs w:val="30"/>
        </w:rPr>
        <w:t>五、合同价款及支付方式</w:t>
      </w:r>
      <w:bookmarkEnd w:id="74"/>
      <w:bookmarkEnd w:id="75"/>
      <w:bookmarkEnd w:id="76"/>
      <w:bookmarkEnd w:id="77"/>
      <w:bookmarkEnd w:id="78"/>
      <w:bookmarkEnd w:id="79"/>
      <w:bookmarkEnd w:id="80"/>
      <w:bookmarkEnd w:id="81"/>
      <w:bookmarkEnd w:id="82"/>
      <w:bookmarkEnd w:id="83"/>
      <w:bookmarkEnd w:id="84"/>
      <w:bookmarkEnd w:id="85"/>
      <w:bookmarkEnd w:id="86"/>
    </w:p>
    <w:p>
      <w:pPr>
        <w:spacing w:line="360" w:lineRule="auto"/>
        <w:ind w:firstLine="420"/>
        <w:rPr>
          <w:rFonts w:ascii="宋体" w:hAnsi="宋体"/>
          <w:color w:val="auto"/>
          <w:szCs w:val="21"/>
        </w:rPr>
      </w:pPr>
      <w:r>
        <w:rPr>
          <w:rFonts w:ascii="宋体" w:hAnsi="宋体"/>
          <w:color w:val="auto"/>
          <w:szCs w:val="21"/>
        </w:rPr>
        <w:t>人民币（大写）</w:t>
      </w:r>
      <w:r>
        <w:rPr>
          <w:rFonts w:ascii="宋体" w:hAnsi="宋体"/>
          <w:b/>
          <w:bCs/>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元)；</w:t>
      </w:r>
    </w:p>
    <w:p>
      <w:pPr>
        <w:spacing w:line="360" w:lineRule="auto"/>
        <w:ind w:firstLine="480"/>
        <w:rPr>
          <w:rFonts w:ascii="宋体" w:hAnsi="宋体"/>
          <w:color w:val="auto"/>
          <w:szCs w:val="21"/>
        </w:rPr>
      </w:pPr>
      <w:r>
        <w:rPr>
          <w:rFonts w:ascii="宋体" w:hAnsi="宋体"/>
          <w:color w:val="auto"/>
          <w:szCs w:val="21"/>
        </w:rPr>
        <w:t>其中：</w:t>
      </w:r>
    </w:p>
    <w:p>
      <w:pPr>
        <w:spacing w:line="360" w:lineRule="auto"/>
        <w:ind w:firstLine="480"/>
        <w:rPr>
          <w:rFonts w:ascii="宋体" w:hAnsi="宋体"/>
          <w:color w:val="auto"/>
          <w:szCs w:val="21"/>
        </w:rPr>
      </w:pPr>
      <w:r>
        <w:rPr>
          <w:rFonts w:ascii="宋体" w:hAnsi="宋体"/>
          <w:color w:val="auto"/>
          <w:szCs w:val="21"/>
        </w:rPr>
        <w:t>（1）安全文明施工费：</w:t>
      </w:r>
    </w:p>
    <w:p>
      <w:pPr>
        <w:spacing w:line="360" w:lineRule="auto"/>
        <w:ind w:firstLine="480"/>
        <w:rPr>
          <w:rFonts w:ascii="宋体" w:hAnsi="宋体"/>
          <w:color w:val="auto"/>
          <w:szCs w:val="21"/>
        </w:rPr>
      </w:pPr>
      <w:r>
        <w:rPr>
          <w:rFonts w:ascii="宋体" w:hAnsi="宋体"/>
          <w:color w:val="auto"/>
          <w:szCs w:val="21"/>
        </w:rPr>
        <w:t>人民币（大写）</w:t>
      </w:r>
      <w:r>
        <w:rPr>
          <w:rFonts w:ascii="宋体" w:hAnsi="宋体"/>
          <w:b/>
          <w:bCs/>
          <w:color w:val="auto"/>
          <w:szCs w:val="21"/>
          <w:u w:val="single"/>
        </w:rPr>
        <w:t xml:space="preserve">     </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元)；</w:t>
      </w:r>
    </w:p>
    <w:p>
      <w:pPr>
        <w:spacing w:line="360" w:lineRule="auto"/>
        <w:ind w:firstLine="480"/>
        <w:rPr>
          <w:rFonts w:ascii="宋体" w:hAnsi="宋体"/>
          <w:color w:val="auto"/>
          <w:szCs w:val="21"/>
        </w:rPr>
      </w:pPr>
      <w:r>
        <w:rPr>
          <w:rFonts w:ascii="宋体" w:hAnsi="宋体"/>
          <w:color w:val="auto"/>
          <w:szCs w:val="21"/>
        </w:rPr>
        <w:t>（2）暂列金额：</w:t>
      </w:r>
    </w:p>
    <w:p>
      <w:pPr>
        <w:spacing w:line="360" w:lineRule="auto"/>
        <w:ind w:firstLine="480"/>
        <w:rPr>
          <w:rFonts w:ascii="宋体" w:hAnsi="宋体"/>
          <w:color w:val="auto"/>
          <w:szCs w:val="21"/>
        </w:rPr>
      </w:pPr>
      <w:r>
        <w:rPr>
          <w:rFonts w:ascii="宋体" w:hAnsi="宋体"/>
          <w:color w:val="auto"/>
          <w:szCs w:val="21"/>
        </w:rPr>
        <w:t>人民币（大写）</w:t>
      </w:r>
      <w:r>
        <w:rPr>
          <w:rFonts w:ascii="宋体" w:hAnsi="宋体"/>
          <w:b/>
          <w:bCs/>
          <w:color w:val="auto"/>
          <w:szCs w:val="21"/>
          <w:u w:val="single"/>
        </w:rPr>
        <w:t xml:space="preserve">    </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元)；</w:t>
      </w:r>
    </w:p>
    <w:p>
      <w:pPr>
        <w:spacing w:line="360" w:lineRule="auto"/>
        <w:rPr>
          <w:rFonts w:ascii="宋体" w:hAnsi="宋体"/>
          <w:color w:val="auto"/>
          <w:szCs w:val="21"/>
        </w:rPr>
      </w:pPr>
      <w:r>
        <w:rPr>
          <w:rFonts w:ascii="宋体" w:hAnsi="宋体"/>
          <w:color w:val="auto"/>
          <w:szCs w:val="21"/>
        </w:rPr>
        <w:t xml:space="preserve">    最终结算价格以《深圳市财政投资评审中心评审报告》的评审结论或发包人指定的第三方机构的审定（审核）结论为准。</w:t>
      </w:r>
    </w:p>
    <w:p>
      <w:pPr>
        <w:spacing w:line="360" w:lineRule="auto"/>
        <w:ind w:firstLine="480"/>
        <w:rPr>
          <w:rFonts w:ascii="宋体" w:hAnsi="宋体"/>
          <w:b/>
          <w:color w:val="auto"/>
          <w:szCs w:val="21"/>
        </w:rPr>
      </w:pPr>
      <w:r>
        <w:rPr>
          <w:rFonts w:ascii="宋体" w:hAnsi="宋体"/>
          <w:b/>
          <w:color w:val="auto"/>
          <w:szCs w:val="21"/>
        </w:rPr>
        <w:t>支付方式</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1、本工程不设预付款。</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2、工程进度款的支付</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经发包人确认的工程变更（含工程量清单复核）实施后的支付比例为   %【通常可设置为60%-70%】。</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3、工程结算款的支付</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工程竣工结算后，支付到审定工程结算总额的97%。</w:t>
      </w:r>
    </w:p>
    <w:p>
      <w:pPr>
        <w:pStyle w:val="2"/>
        <w:spacing w:line="360" w:lineRule="auto"/>
        <w:ind w:firstLine="480"/>
        <w:rPr>
          <w:rFonts w:ascii="仿宋" w:hAnsi="仿宋" w:eastAsia="仿宋" w:cs="仿宋"/>
          <w:color w:val="auto"/>
          <w:kern w:val="2"/>
          <w:sz w:val="24"/>
        </w:rPr>
      </w:pPr>
      <w:r>
        <w:rPr>
          <w:rFonts w:ascii="仿宋" w:hAnsi="仿宋" w:eastAsia="仿宋" w:cs="仿宋"/>
          <w:color w:val="auto"/>
          <w:kern w:val="2"/>
          <w:sz w:val="24"/>
        </w:rPr>
        <w:t>4、质量保证金</w:t>
      </w:r>
    </w:p>
    <w:p>
      <w:pPr>
        <w:spacing w:line="360" w:lineRule="auto"/>
        <w:ind w:firstLine="480"/>
        <w:rPr>
          <w:rFonts w:ascii="宋体" w:hAnsi="宋体"/>
          <w:color w:val="auto"/>
          <w:szCs w:val="21"/>
          <w:u w:val="single"/>
        </w:rPr>
      </w:pPr>
      <w:r>
        <w:rPr>
          <w:rFonts w:ascii="仿宋" w:hAnsi="仿宋" w:eastAsia="仿宋" w:cs="仿宋"/>
          <w:color w:val="auto"/>
          <w:sz w:val="24"/>
          <w:szCs w:val="24"/>
        </w:rPr>
        <w:t>预留结算审定总额的3%为质量保证金，待保修期结束后予以支付。（注：保修期2年，自本工程竣工验收之日起算）</w:t>
      </w:r>
    </w:p>
    <w:p>
      <w:pPr>
        <w:spacing w:line="360" w:lineRule="auto"/>
        <w:ind w:firstLine="480"/>
        <w:rPr>
          <w:rFonts w:ascii="宋体" w:hAnsi="宋体"/>
          <w:color w:val="auto"/>
          <w:szCs w:val="21"/>
          <w:u w:val="single"/>
        </w:rPr>
      </w:pPr>
      <w:r>
        <w:rPr>
          <w:rFonts w:ascii="宋体" w:hAnsi="宋体"/>
          <w:color w:val="auto"/>
          <w:szCs w:val="21"/>
          <w:u w:val="single"/>
        </w:rPr>
        <w:t>5、工人工资专用账户信息</w:t>
      </w:r>
    </w:p>
    <w:p>
      <w:pPr>
        <w:spacing w:line="360" w:lineRule="auto"/>
        <w:ind w:firstLine="480"/>
        <w:rPr>
          <w:rFonts w:ascii="宋体" w:hAnsi="宋体"/>
          <w:color w:val="auto"/>
          <w:szCs w:val="21"/>
          <w:u w:val="single"/>
        </w:rPr>
      </w:pPr>
      <w:r>
        <w:rPr>
          <w:rFonts w:ascii="宋体" w:hAnsi="宋体"/>
          <w:color w:val="auto"/>
          <w:szCs w:val="21"/>
          <w:u w:val="single"/>
        </w:rPr>
        <w:t>工人工资款支付专用账户名称：         </w:t>
      </w:r>
    </w:p>
    <w:p>
      <w:pPr>
        <w:spacing w:line="360" w:lineRule="auto"/>
        <w:ind w:firstLine="480"/>
        <w:rPr>
          <w:rFonts w:ascii="宋体" w:hAnsi="宋体"/>
          <w:color w:val="auto"/>
          <w:szCs w:val="21"/>
          <w:u w:val="single"/>
        </w:rPr>
      </w:pPr>
      <w:r>
        <w:rPr>
          <w:rFonts w:ascii="宋体" w:hAnsi="宋体"/>
          <w:color w:val="auto"/>
          <w:szCs w:val="21"/>
          <w:u w:val="single"/>
        </w:rPr>
        <w:t xml:space="preserve">工人工资款支付专用账户开户银行：    </w:t>
      </w:r>
    </w:p>
    <w:p>
      <w:pPr>
        <w:spacing w:line="360" w:lineRule="auto"/>
        <w:ind w:firstLine="480"/>
        <w:rPr>
          <w:rFonts w:ascii="宋体" w:hAnsi="宋体" w:eastAsia="宋体"/>
          <w:color w:val="auto"/>
          <w:szCs w:val="21"/>
          <w:u w:val="single"/>
        </w:rPr>
      </w:pPr>
      <w:r>
        <w:rPr>
          <w:rFonts w:ascii="宋体" w:hAnsi="宋体"/>
          <w:color w:val="auto"/>
          <w:szCs w:val="21"/>
          <w:u w:val="single"/>
        </w:rPr>
        <w:t>工人工资款支付专用账户号：</w:t>
      </w:r>
      <w:bookmarkStart w:id="87" w:name="_Toc517528609"/>
      <w:bookmarkStart w:id="88" w:name="_Toc27439"/>
      <w:bookmarkStart w:id="89" w:name="_Toc16675"/>
      <w:bookmarkStart w:id="90" w:name="_Toc517531940"/>
      <w:bookmarkStart w:id="91" w:name="_Toc9066"/>
      <w:bookmarkStart w:id="92" w:name="_Toc29329"/>
      <w:bookmarkStart w:id="93" w:name="_Toc15257"/>
      <w:bookmarkStart w:id="94" w:name="_Toc517529702"/>
      <w:bookmarkStart w:id="95" w:name="_Toc3202"/>
      <w:bookmarkStart w:id="96" w:name="_Toc11342"/>
      <w:bookmarkStart w:id="97" w:name="_Toc517530664"/>
      <w:bookmarkStart w:id="98" w:name="_Toc27271"/>
      <w:bookmarkStart w:id="99" w:name="_Toc26529"/>
      <w:r>
        <w:rPr>
          <w:rFonts w:ascii="宋体" w:hAnsi="宋体"/>
          <w:color w:val="auto"/>
          <w:szCs w:val="21"/>
          <w:u w:val="single"/>
        </w:rPr>
        <w:t xml:space="preserve">         </w:t>
      </w:r>
    </w:p>
    <w:p>
      <w:pPr>
        <w:numPr>
          <w:ilvl w:val="0"/>
          <w:numId w:val="0"/>
        </w:numPr>
        <w:spacing w:before="156" w:after="156" w:line="360" w:lineRule="auto"/>
        <w:ind w:left="482" w:firstLine="0"/>
        <w:outlineLvl w:val="1"/>
        <w:rPr>
          <w:rFonts w:ascii="宋体" w:hAnsi="宋体"/>
          <w:b/>
          <w:color w:val="auto"/>
          <w:sz w:val="30"/>
          <w:szCs w:val="30"/>
        </w:rPr>
      </w:pPr>
      <w:r>
        <w:rPr>
          <w:rFonts w:ascii="宋体" w:hAnsi="宋体"/>
          <w:b/>
          <w:color w:val="auto"/>
          <w:sz w:val="30"/>
          <w:szCs w:val="30"/>
        </w:rPr>
        <w:t>六、组成合同的文件</w:t>
      </w:r>
      <w:bookmarkEnd w:id="87"/>
      <w:bookmarkEnd w:id="88"/>
      <w:bookmarkEnd w:id="89"/>
      <w:bookmarkEnd w:id="90"/>
      <w:bookmarkEnd w:id="91"/>
      <w:bookmarkEnd w:id="92"/>
      <w:bookmarkEnd w:id="93"/>
      <w:bookmarkEnd w:id="94"/>
      <w:bookmarkEnd w:id="95"/>
      <w:bookmarkEnd w:id="96"/>
      <w:bookmarkEnd w:id="97"/>
      <w:bookmarkEnd w:id="98"/>
      <w:bookmarkEnd w:id="99"/>
    </w:p>
    <w:p>
      <w:pPr>
        <w:spacing w:line="360" w:lineRule="auto"/>
        <w:ind w:firstLine="638"/>
        <w:rPr>
          <w:rFonts w:ascii="宋体" w:hAnsi="宋体"/>
          <w:color w:val="auto"/>
          <w:szCs w:val="21"/>
        </w:rPr>
      </w:pPr>
      <w:r>
        <w:rPr>
          <w:rFonts w:ascii="宋体" w:hAnsi="宋体"/>
          <w:color w:val="auto"/>
          <w:szCs w:val="21"/>
        </w:rPr>
        <w:t>组成本合同的文件包括：</w:t>
      </w:r>
    </w:p>
    <w:p>
      <w:pPr>
        <w:spacing w:line="360" w:lineRule="auto"/>
        <w:ind w:left="420" w:firstLine="0"/>
        <w:jc w:val="left"/>
        <w:rPr>
          <w:rFonts w:ascii="宋体" w:hAnsi="宋体" w:cs="宋体"/>
          <w:color w:val="auto"/>
          <w:szCs w:val="21"/>
        </w:rPr>
      </w:pPr>
      <w:r>
        <w:rPr>
          <w:rFonts w:ascii="宋体" w:hAnsi="宋体" w:cs="宋体"/>
          <w:color w:val="auto"/>
          <w:szCs w:val="21"/>
        </w:rPr>
        <w:t>1.合同协议书及双方签认的补充协议；</w:t>
      </w:r>
    </w:p>
    <w:p>
      <w:pPr>
        <w:spacing w:line="360" w:lineRule="auto"/>
        <w:ind w:firstLine="420"/>
        <w:jc w:val="left"/>
        <w:rPr>
          <w:rFonts w:ascii="宋体" w:hAnsi="宋体" w:cs="宋体"/>
          <w:color w:val="auto"/>
          <w:szCs w:val="21"/>
        </w:rPr>
      </w:pPr>
      <w:r>
        <w:rPr>
          <w:rFonts w:ascii="宋体" w:hAnsi="宋体" w:cs="宋体"/>
          <w:color w:val="auto"/>
          <w:szCs w:val="21"/>
        </w:rPr>
        <w:t>2.中标通知书（详见附件1）；</w:t>
      </w:r>
    </w:p>
    <w:p>
      <w:pPr>
        <w:spacing w:line="360" w:lineRule="auto"/>
        <w:ind w:firstLine="420"/>
        <w:jc w:val="left"/>
        <w:rPr>
          <w:rFonts w:ascii="宋体" w:hAnsi="宋体" w:cs="宋体"/>
          <w:color w:val="auto"/>
          <w:szCs w:val="21"/>
        </w:rPr>
      </w:pPr>
      <w:r>
        <w:rPr>
          <w:rFonts w:ascii="宋体" w:hAnsi="宋体" w:cs="宋体"/>
          <w:color w:val="auto"/>
          <w:szCs w:val="21"/>
        </w:rPr>
        <w:t>3.投标函及其附件（含承包人在评标期间和合同谈判过程中递交和确认并经发包人同意的对有关问题的补充资料和澄清文件等，如果有）；</w:t>
      </w:r>
    </w:p>
    <w:p>
      <w:pPr>
        <w:spacing w:line="360" w:lineRule="auto"/>
        <w:ind w:firstLine="420"/>
        <w:jc w:val="left"/>
        <w:rPr>
          <w:rFonts w:ascii="宋体" w:hAnsi="宋体" w:cs="宋体"/>
          <w:color w:val="auto"/>
          <w:szCs w:val="21"/>
        </w:rPr>
      </w:pPr>
      <w:r>
        <w:rPr>
          <w:rFonts w:ascii="宋体" w:hAnsi="宋体" w:cs="宋体"/>
          <w:color w:val="auto"/>
          <w:szCs w:val="21"/>
        </w:rPr>
        <w:t>4.招标文件中的投标报价规定；</w:t>
      </w:r>
    </w:p>
    <w:p>
      <w:pPr>
        <w:spacing w:line="360" w:lineRule="auto"/>
        <w:ind w:firstLine="420"/>
        <w:jc w:val="left"/>
        <w:rPr>
          <w:rFonts w:ascii="宋体" w:hAnsi="宋体" w:cs="宋体"/>
          <w:color w:val="auto"/>
          <w:szCs w:val="21"/>
        </w:rPr>
      </w:pPr>
      <w:r>
        <w:rPr>
          <w:rFonts w:ascii="宋体" w:hAnsi="宋体" w:cs="宋体"/>
          <w:color w:val="auto"/>
          <w:szCs w:val="21"/>
        </w:rPr>
        <w:t>5.专用合同条款（含招标文件补遗书中与此有关的部分，如果有）；</w:t>
      </w:r>
    </w:p>
    <w:p>
      <w:pPr>
        <w:spacing w:line="360" w:lineRule="auto"/>
        <w:ind w:firstLine="420"/>
        <w:jc w:val="left"/>
        <w:rPr>
          <w:rFonts w:ascii="宋体" w:hAnsi="宋体" w:cs="宋体"/>
          <w:color w:val="auto"/>
          <w:szCs w:val="21"/>
        </w:rPr>
      </w:pPr>
      <w:r>
        <w:rPr>
          <w:rFonts w:ascii="宋体" w:hAnsi="宋体" w:cs="宋体"/>
          <w:color w:val="auto"/>
          <w:szCs w:val="21"/>
        </w:rPr>
        <w:t>6.通用合同条款；</w:t>
      </w:r>
    </w:p>
    <w:p>
      <w:pPr>
        <w:spacing w:line="360" w:lineRule="auto"/>
        <w:ind w:firstLine="420"/>
        <w:jc w:val="left"/>
        <w:rPr>
          <w:rFonts w:ascii="宋体" w:hAnsi="宋体" w:cs="宋体"/>
          <w:color w:val="auto"/>
          <w:szCs w:val="21"/>
        </w:rPr>
      </w:pPr>
      <w:r>
        <w:rPr>
          <w:rFonts w:ascii="宋体" w:hAnsi="宋体" w:cs="宋体"/>
          <w:color w:val="auto"/>
          <w:szCs w:val="21"/>
        </w:rPr>
        <w:t>7.技术标准和规范（含招标文件补遗书中与此有关的部分，如果有）；</w:t>
      </w:r>
    </w:p>
    <w:p>
      <w:pPr>
        <w:spacing w:line="360" w:lineRule="auto"/>
        <w:ind w:firstLine="420"/>
        <w:jc w:val="left"/>
        <w:rPr>
          <w:rFonts w:ascii="宋体" w:hAnsi="宋体" w:cs="宋体"/>
          <w:color w:val="auto"/>
          <w:szCs w:val="21"/>
        </w:rPr>
      </w:pPr>
      <w:r>
        <w:rPr>
          <w:rFonts w:ascii="宋体" w:hAnsi="宋体" w:cs="宋体"/>
          <w:color w:val="auto"/>
          <w:szCs w:val="21"/>
        </w:rPr>
        <w:t>8.图纸（含招标文件补遗书中与此有关的部分，如果有）；</w:t>
      </w:r>
    </w:p>
    <w:p>
      <w:pPr>
        <w:spacing w:line="360" w:lineRule="auto"/>
        <w:ind w:firstLine="420"/>
        <w:jc w:val="left"/>
        <w:rPr>
          <w:rFonts w:ascii="宋体" w:hAnsi="宋体" w:cs="宋体"/>
          <w:color w:val="auto"/>
          <w:szCs w:val="21"/>
        </w:rPr>
      </w:pPr>
      <w:r>
        <w:rPr>
          <w:rFonts w:ascii="宋体" w:hAnsi="宋体" w:cs="宋体"/>
          <w:color w:val="auto"/>
          <w:szCs w:val="21"/>
        </w:rPr>
        <w:t>9.标价的工程量清单；</w:t>
      </w:r>
    </w:p>
    <w:p>
      <w:pPr>
        <w:spacing w:line="360" w:lineRule="auto"/>
        <w:ind w:firstLine="420"/>
        <w:jc w:val="left"/>
        <w:rPr>
          <w:rFonts w:ascii="宋体" w:hAnsi="宋体" w:cs="宋体"/>
          <w:color w:val="auto"/>
          <w:szCs w:val="21"/>
        </w:rPr>
      </w:pPr>
      <w:r>
        <w:rPr>
          <w:rFonts w:ascii="宋体" w:hAnsi="宋体" w:cs="宋体"/>
          <w:color w:val="auto"/>
          <w:szCs w:val="21"/>
        </w:rPr>
        <w:t>10.工程质量保修书（详见附件2）；</w:t>
      </w:r>
    </w:p>
    <w:p>
      <w:pPr>
        <w:spacing w:line="360" w:lineRule="auto"/>
        <w:ind w:firstLine="420"/>
        <w:jc w:val="left"/>
        <w:rPr>
          <w:rFonts w:ascii="宋体" w:hAnsi="宋体" w:cs="宋体"/>
          <w:color w:val="auto"/>
          <w:szCs w:val="21"/>
        </w:rPr>
      </w:pPr>
      <w:r>
        <w:rPr>
          <w:rFonts w:ascii="宋体" w:hAnsi="宋体" w:cs="宋体"/>
          <w:color w:val="auto"/>
          <w:szCs w:val="21"/>
        </w:rPr>
        <w:t>11.双方认为应作为合同构成的其它文件。</w:t>
      </w:r>
    </w:p>
    <w:p>
      <w:pPr>
        <w:numPr>
          <w:ilvl w:val="0"/>
          <w:numId w:val="0"/>
        </w:numPr>
        <w:spacing w:before="156" w:after="156" w:line="360" w:lineRule="auto"/>
        <w:ind w:left="482" w:firstLine="0"/>
        <w:outlineLvl w:val="1"/>
        <w:rPr>
          <w:rFonts w:ascii="宋体" w:hAnsi="宋体"/>
          <w:b/>
          <w:color w:val="auto"/>
          <w:sz w:val="30"/>
          <w:szCs w:val="30"/>
        </w:rPr>
      </w:pPr>
      <w:bookmarkStart w:id="100" w:name="_Toc2121"/>
      <w:bookmarkStart w:id="101" w:name="_Toc21958"/>
      <w:bookmarkStart w:id="102" w:name="_Toc8203"/>
      <w:bookmarkStart w:id="103" w:name="_Toc16920"/>
      <w:bookmarkStart w:id="104" w:name="_Toc21276"/>
      <w:bookmarkStart w:id="105" w:name="_Toc5435"/>
      <w:bookmarkStart w:id="106" w:name="_Toc6612"/>
      <w:bookmarkStart w:id="107" w:name="_Toc517530665"/>
      <w:bookmarkStart w:id="108" w:name="_Toc517528610"/>
      <w:bookmarkStart w:id="109" w:name="_Toc22445"/>
      <w:bookmarkStart w:id="110" w:name="_Toc517531941"/>
      <w:bookmarkStart w:id="111" w:name="_Toc20138"/>
      <w:bookmarkStart w:id="112" w:name="_Toc517529703"/>
      <w:r>
        <w:rPr>
          <w:rFonts w:ascii="宋体" w:hAnsi="宋体"/>
          <w:b/>
          <w:color w:val="auto"/>
          <w:sz w:val="30"/>
          <w:szCs w:val="30"/>
        </w:rPr>
        <w:t>七、词语含义</w:t>
      </w:r>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ind w:firstLine="638"/>
        <w:rPr>
          <w:rFonts w:ascii="宋体" w:hAnsi="宋体"/>
          <w:bCs/>
          <w:color w:val="auto"/>
          <w:szCs w:val="21"/>
        </w:rPr>
      </w:pPr>
      <w:r>
        <w:rPr>
          <w:rFonts w:ascii="宋体" w:hAnsi="宋体"/>
          <w:bCs/>
          <w:color w:val="auto"/>
          <w:szCs w:val="21"/>
        </w:rPr>
        <w:t>本协议中有关词语含义与招标文件第二卷《通用合同条款》《专用合同条款》定义相同。</w:t>
      </w:r>
    </w:p>
    <w:p>
      <w:pPr>
        <w:numPr>
          <w:ilvl w:val="0"/>
          <w:numId w:val="0"/>
        </w:numPr>
        <w:spacing w:before="156" w:after="156" w:line="360" w:lineRule="auto"/>
        <w:ind w:left="482" w:firstLine="0"/>
        <w:outlineLvl w:val="1"/>
        <w:rPr>
          <w:rFonts w:ascii="宋体" w:hAnsi="宋体"/>
          <w:b/>
          <w:color w:val="auto"/>
          <w:sz w:val="30"/>
          <w:szCs w:val="30"/>
        </w:rPr>
      </w:pPr>
      <w:bookmarkStart w:id="113" w:name="_Toc26761"/>
      <w:bookmarkStart w:id="114" w:name="_Toc517529704"/>
      <w:bookmarkStart w:id="115" w:name="_Toc31334"/>
      <w:bookmarkStart w:id="116" w:name="_Toc1683"/>
      <w:bookmarkStart w:id="117" w:name="_Toc16804"/>
      <w:bookmarkStart w:id="118" w:name="_Toc517531942"/>
      <w:bookmarkStart w:id="119" w:name="_Toc26635"/>
      <w:bookmarkStart w:id="120" w:name="_Toc517528611"/>
      <w:bookmarkStart w:id="121" w:name="_Toc19946"/>
      <w:bookmarkStart w:id="122" w:name="_Toc20146"/>
      <w:bookmarkStart w:id="123" w:name="_Toc26736"/>
      <w:bookmarkStart w:id="124" w:name="_Toc14828"/>
      <w:bookmarkStart w:id="125" w:name="_Toc517530666"/>
      <w:r>
        <w:rPr>
          <w:rFonts w:ascii="宋体" w:hAnsi="宋体"/>
          <w:b/>
          <w:color w:val="auto"/>
          <w:sz w:val="30"/>
          <w:szCs w:val="30"/>
        </w:rPr>
        <w:t>八、双方承诺</w:t>
      </w:r>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80"/>
        <w:rPr>
          <w:rFonts w:ascii="宋体" w:hAnsi="宋体"/>
          <w:color w:val="auto"/>
          <w:szCs w:val="21"/>
        </w:rPr>
      </w:pPr>
      <w:r>
        <w:rPr>
          <w:rFonts w:ascii="宋体" w:hAnsi="宋体"/>
          <w:color w:val="auto"/>
          <w:szCs w:val="21"/>
        </w:rPr>
        <w:t>1、承包人向发包人承诺，按照合同约定进行施工、竣工，并在质量保修期内承担工程质量保修责任，并履行本合同所约定的全部义务。</w:t>
      </w:r>
    </w:p>
    <w:p>
      <w:pPr>
        <w:spacing w:line="360" w:lineRule="auto"/>
        <w:ind w:firstLine="480"/>
        <w:rPr>
          <w:rFonts w:ascii="宋体" w:hAnsi="宋体"/>
          <w:color w:val="auto"/>
          <w:szCs w:val="21"/>
        </w:rPr>
      </w:pPr>
      <w:r>
        <w:rPr>
          <w:rFonts w:ascii="宋体" w:hAnsi="宋体"/>
          <w:color w:val="auto"/>
          <w:szCs w:val="21"/>
        </w:rPr>
        <w:t>2、发包人向承包人承诺，按照合同约定的期限和方式支付合同价款及其他应当支付的款项，并履行本合同所约定的全部义务。</w:t>
      </w:r>
    </w:p>
    <w:p>
      <w:pPr>
        <w:numPr>
          <w:ilvl w:val="0"/>
          <w:numId w:val="0"/>
        </w:numPr>
        <w:spacing w:before="156" w:after="156" w:line="360" w:lineRule="auto"/>
        <w:ind w:left="482" w:firstLine="0"/>
        <w:outlineLvl w:val="1"/>
        <w:rPr>
          <w:rFonts w:ascii="宋体" w:hAnsi="宋体"/>
          <w:b/>
          <w:color w:val="auto"/>
          <w:sz w:val="30"/>
          <w:szCs w:val="30"/>
        </w:rPr>
      </w:pPr>
      <w:bookmarkStart w:id="126" w:name="_Toc31832"/>
      <w:bookmarkStart w:id="127" w:name="_Toc517528612"/>
      <w:bookmarkStart w:id="128" w:name="_Toc517530667"/>
      <w:bookmarkStart w:id="129" w:name="_Toc12745"/>
      <w:bookmarkStart w:id="130" w:name="_Toc31258"/>
      <w:bookmarkStart w:id="131" w:name="_Toc23902"/>
      <w:bookmarkStart w:id="132" w:name="_Toc517529705"/>
      <w:bookmarkStart w:id="133" w:name="_Toc18116"/>
      <w:bookmarkStart w:id="134" w:name="_Toc15014"/>
      <w:bookmarkStart w:id="135" w:name="_Toc517531943"/>
      <w:bookmarkStart w:id="136" w:name="_Toc6181"/>
      <w:bookmarkStart w:id="137" w:name="_Toc4480"/>
      <w:bookmarkStart w:id="138" w:name="_Toc13312"/>
      <w:r>
        <w:rPr>
          <w:rFonts w:ascii="宋体" w:hAnsi="宋体"/>
          <w:b/>
          <w:color w:val="auto"/>
          <w:sz w:val="30"/>
          <w:szCs w:val="30"/>
        </w:rPr>
        <w:t>九、合同份数</w:t>
      </w:r>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360" w:lineRule="auto"/>
        <w:ind w:firstLine="480"/>
        <w:rPr>
          <w:rFonts w:ascii="宋体" w:hAnsi="宋体"/>
          <w:color w:val="auto"/>
          <w:szCs w:val="21"/>
        </w:rPr>
      </w:pPr>
      <w:r>
        <w:rPr>
          <w:rFonts w:ascii="宋体" w:hAnsi="宋体"/>
          <w:color w:val="auto"/>
          <w:szCs w:val="21"/>
        </w:rPr>
        <w:t>本合同一式</w:t>
      </w:r>
      <w:r>
        <w:rPr>
          <w:rFonts w:ascii="宋体" w:hAnsi="宋体"/>
          <w:color w:val="auto"/>
          <w:szCs w:val="21"/>
          <w:u w:val="single"/>
        </w:rPr>
        <w:t xml:space="preserve">  </w:t>
      </w:r>
      <w:r>
        <w:rPr>
          <w:rFonts w:ascii="宋体" w:hAnsi="宋体"/>
          <w:color w:val="auto"/>
          <w:szCs w:val="21"/>
        </w:rPr>
        <w:t>份，正本</w:t>
      </w:r>
      <w:r>
        <w:rPr>
          <w:rFonts w:ascii="宋体" w:hAnsi="宋体"/>
          <w:color w:val="auto"/>
          <w:szCs w:val="21"/>
          <w:u w:val="single"/>
        </w:rPr>
        <w:t xml:space="preserve">   </w:t>
      </w:r>
      <w:r>
        <w:rPr>
          <w:rFonts w:ascii="宋体" w:hAnsi="宋体"/>
          <w:color w:val="auto"/>
          <w:szCs w:val="21"/>
        </w:rPr>
        <w:t>份，发包人</w:t>
      </w:r>
      <w:r>
        <w:rPr>
          <w:rFonts w:ascii="宋体" w:hAnsi="宋体"/>
          <w:color w:val="auto"/>
          <w:szCs w:val="21"/>
          <w:u w:val="single"/>
        </w:rPr>
        <w:t xml:space="preserve">   </w:t>
      </w:r>
      <w:r>
        <w:rPr>
          <w:rFonts w:ascii="宋体" w:hAnsi="宋体"/>
          <w:color w:val="auto"/>
          <w:szCs w:val="21"/>
        </w:rPr>
        <w:t>份，承包人</w:t>
      </w:r>
      <w:r>
        <w:rPr>
          <w:rFonts w:ascii="宋体" w:hAnsi="宋体"/>
          <w:color w:val="auto"/>
          <w:szCs w:val="21"/>
          <w:u w:val="single"/>
        </w:rPr>
        <w:t xml:space="preserve">   </w:t>
      </w:r>
      <w:r>
        <w:rPr>
          <w:rFonts w:ascii="宋体" w:hAnsi="宋体"/>
          <w:color w:val="auto"/>
          <w:szCs w:val="21"/>
        </w:rPr>
        <w:t>份，副本</w:t>
      </w:r>
      <w:r>
        <w:rPr>
          <w:rFonts w:ascii="宋体" w:hAnsi="宋体"/>
          <w:color w:val="auto"/>
          <w:szCs w:val="21"/>
          <w:u w:val="single"/>
        </w:rPr>
        <w:t xml:space="preserve">   </w:t>
      </w:r>
      <w:r>
        <w:rPr>
          <w:rFonts w:ascii="宋体" w:hAnsi="宋体"/>
          <w:color w:val="auto"/>
          <w:szCs w:val="21"/>
        </w:rPr>
        <w:t>份，发包人</w:t>
      </w:r>
      <w:r>
        <w:rPr>
          <w:rFonts w:ascii="宋体" w:hAnsi="宋体"/>
          <w:color w:val="auto"/>
          <w:szCs w:val="21"/>
          <w:u w:val="single"/>
        </w:rPr>
        <w:t xml:space="preserve">   </w:t>
      </w:r>
      <w:r>
        <w:rPr>
          <w:rFonts w:ascii="宋体" w:hAnsi="宋体"/>
          <w:color w:val="auto"/>
          <w:szCs w:val="21"/>
        </w:rPr>
        <w:t>份，承包人</w:t>
      </w:r>
      <w:r>
        <w:rPr>
          <w:rFonts w:ascii="宋体" w:hAnsi="宋体"/>
          <w:color w:val="auto"/>
          <w:szCs w:val="21"/>
          <w:u w:val="single"/>
        </w:rPr>
        <w:t xml:space="preserve">   </w:t>
      </w:r>
      <w:r>
        <w:rPr>
          <w:rFonts w:ascii="宋体" w:hAnsi="宋体"/>
          <w:color w:val="auto"/>
          <w:szCs w:val="21"/>
        </w:rPr>
        <w:t>份。</w:t>
      </w:r>
    </w:p>
    <w:p>
      <w:pPr>
        <w:numPr>
          <w:ilvl w:val="0"/>
          <w:numId w:val="0"/>
        </w:numPr>
        <w:spacing w:before="156" w:after="156" w:line="360" w:lineRule="auto"/>
        <w:ind w:left="482" w:firstLine="0"/>
        <w:outlineLvl w:val="1"/>
        <w:rPr>
          <w:rFonts w:ascii="宋体" w:hAnsi="宋体"/>
          <w:b/>
          <w:color w:val="auto"/>
          <w:sz w:val="30"/>
          <w:szCs w:val="30"/>
        </w:rPr>
      </w:pPr>
      <w:bookmarkStart w:id="139" w:name="_Toc29683"/>
      <w:bookmarkStart w:id="140" w:name="_Toc20562"/>
      <w:bookmarkStart w:id="141" w:name="_Toc4678"/>
      <w:bookmarkStart w:id="142" w:name="_Toc517530668"/>
      <w:bookmarkStart w:id="143" w:name="_Toc517531944"/>
      <w:bookmarkStart w:id="144" w:name="_Toc7987"/>
      <w:bookmarkStart w:id="145" w:name="_Toc517528613"/>
      <w:bookmarkStart w:id="146" w:name="_Toc22029"/>
      <w:bookmarkStart w:id="147" w:name="_Toc3560"/>
      <w:bookmarkStart w:id="148" w:name="_Toc9526"/>
      <w:bookmarkStart w:id="149" w:name="_Toc517529706"/>
      <w:bookmarkStart w:id="150" w:name="_Toc23161"/>
      <w:bookmarkStart w:id="151" w:name="_Toc9479"/>
      <w:r>
        <w:rPr>
          <w:rFonts w:ascii="宋体" w:hAnsi="宋体"/>
          <w:b/>
          <w:color w:val="auto"/>
          <w:sz w:val="30"/>
          <w:szCs w:val="30"/>
        </w:rPr>
        <w:t>十、合同生效</w:t>
      </w:r>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360" w:lineRule="auto"/>
        <w:ind w:firstLine="420"/>
        <w:rPr>
          <w:rFonts w:ascii="宋体" w:hAnsi="宋体"/>
          <w:color w:val="auto"/>
          <w:szCs w:val="21"/>
        </w:rPr>
      </w:pPr>
      <w:r>
        <w:rPr>
          <w:rFonts w:ascii="宋体" w:hAnsi="宋体"/>
          <w:color w:val="auto"/>
          <w:szCs w:val="21"/>
        </w:rPr>
        <w:t>合同订立时间：</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ascii="宋体" w:hAnsi="宋体"/>
          <w:color w:val="auto"/>
          <w:szCs w:val="21"/>
        </w:rPr>
        <w:t>日</w:t>
      </w:r>
    </w:p>
    <w:p>
      <w:pPr>
        <w:spacing w:line="360" w:lineRule="auto"/>
        <w:ind w:firstLine="420"/>
        <w:rPr>
          <w:rFonts w:ascii="宋体" w:hAnsi="宋体"/>
          <w:color w:val="auto"/>
          <w:szCs w:val="21"/>
        </w:rPr>
      </w:pPr>
      <w:r>
        <w:rPr>
          <w:rFonts w:ascii="宋体" w:hAnsi="宋体"/>
          <w:color w:val="auto"/>
          <w:szCs w:val="21"/>
        </w:rPr>
        <w:t xml:space="preserve">合同订立地点：         </w:t>
      </w:r>
      <w:r>
        <w:rPr>
          <w:rFonts w:ascii="宋体" w:hAnsi="宋体"/>
          <w:color w:val="auto"/>
          <w:szCs w:val="21"/>
          <w:u w:val="single"/>
        </w:rPr>
        <w:t xml:space="preserve">    </w:t>
      </w:r>
    </w:p>
    <w:p>
      <w:pPr>
        <w:spacing w:line="360" w:lineRule="auto"/>
        <w:ind w:firstLine="420"/>
        <w:rPr>
          <w:rFonts w:ascii="宋体" w:hAnsi="宋体"/>
          <w:color w:val="auto"/>
          <w:szCs w:val="21"/>
        </w:rPr>
      </w:pPr>
      <w:r>
        <w:rPr>
          <w:rFonts w:ascii="宋体" w:hAnsi="宋体"/>
          <w:color w:val="auto"/>
          <w:szCs w:val="21"/>
        </w:rPr>
        <w:t>本合同经双方法定代表人或其委托代理人签署并加盖公章后生效。</w:t>
      </w:r>
      <w:r>
        <w:rPr>
          <w:color w:val="auto"/>
        </w:rPr>
        <w:br w:type="page"/>
      </w:r>
    </w:p>
    <w:p>
      <w:pPr>
        <w:widowControl/>
        <w:jc w:val="left"/>
        <w:rPr>
          <w:rFonts w:ascii="宋体" w:hAnsi="宋体"/>
          <w:color w:val="auto"/>
          <w:szCs w:val="21"/>
        </w:rPr>
      </w:pPr>
      <w:r>
        <w:rPr>
          <w:rFonts w:ascii="宋体" w:hAnsi="宋体"/>
          <w:color w:val="auto"/>
          <w:szCs w:val="21"/>
        </w:rPr>
        <w:t xml:space="preserve">    发  包  人：（公章）                   承  包  人：（公章）</w:t>
      </w:r>
    </w:p>
    <w:p>
      <w:pPr>
        <w:spacing w:line="480" w:lineRule="auto"/>
        <w:ind w:firstLine="420"/>
        <w:rPr>
          <w:rFonts w:ascii="宋体" w:hAnsi="宋体"/>
          <w:color w:val="auto"/>
          <w:szCs w:val="21"/>
        </w:rPr>
      </w:pPr>
      <w:r>
        <w:rPr>
          <w:rFonts w:ascii="宋体" w:hAnsi="宋体"/>
          <w:color w:val="auto"/>
          <w:szCs w:val="21"/>
        </w:rPr>
        <w:t>住      所：                           住      所：</w:t>
      </w:r>
    </w:p>
    <w:p>
      <w:pPr>
        <w:spacing w:line="480" w:lineRule="auto"/>
        <w:ind w:firstLine="420"/>
        <w:rPr>
          <w:rFonts w:ascii="宋体" w:hAnsi="宋体"/>
          <w:color w:val="auto"/>
          <w:szCs w:val="21"/>
        </w:rPr>
      </w:pPr>
      <w:r>
        <w:rPr>
          <w:rFonts w:ascii="宋体" w:hAnsi="宋体"/>
          <w:color w:val="auto"/>
          <w:szCs w:val="21"/>
        </w:rPr>
        <w:t>法定代表人：                           法定代表人：</w:t>
      </w:r>
    </w:p>
    <w:p>
      <w:pPr>
        <w:spacing w:line="480" w:lineRule="auto"/>
        <w:ind w:firstLine="420"/>
        <w:rPr>
          <w:rFonts w:ascii="宋体" w:hAnsi="宋体"/>
          <w:color w:val="auto"/>
          <w:szCs w:val="21"/>
        </w:rPr>
      </w:pPr>
      <w:r>
        <w:rPr>
          <w:rFonts w:ascii="宋体" w:hAnsi="宋体"/>
          <w:color w:val="auto"/>
          <w:szCs w:val="21"/>
        </w:rPr>
        <w:t>委托代理人：                           委托代理人：</w:t>
      </w:r>
    </w:p>
    <w:p>
      <w:pPr>
        <w:spacing w:line="480" w:lineRule="auto"/>
        <w:ind w:firstLine="420"/>
        <w:rPr>
          <w:rFonts w:ascii="宋体" w:hAnsi="宋体"/>
          <w:color w:val="auto"/>
          <w:szCs w:val="21"/>
        </w:rPr>
      </w:pPr>
      <w:r>
        <w:rPr>
          <w:rFonts w:ascii="宋体" w:hAnsi="宋体"/>
          <w:color w:val="auto"/>
          <w:szCs w:val="21"/>
        </w:rPr>
        <w:t>电      话：                           电      话：</w:t>
      </w:r>
    </w:p>
    <w:p>
      <w:pPr>
        <w:spacing w:line="480" w:lineRule="auto"/>
        <w:ind w:firstLine="420"/>
        <w:rPr>
          <w:rFonts w:ascii="宋体" w:hAnsi="宋体"/>
          <w:color w:val="auto"/>
          <w:szCs w:val="21"/>
        </w:rPr>
      </w:pPr>
      <w:r>
        <w:rPr>
          <w:rFonts w:ascii="宋体" w:hAnsi="宋体"/>
          <w:color w:val="auto"/>
          <w:szCs w:val="21"/>
        </w:rPr>
        <w:t>传      真：                           传      真：</w:t>
      </w:r>
    </w:p>
    <w:p>
      <w:pPr>
        <w:spacing w:line="480" w:lineRule="auto"/>
        <w:ind w:firstLine="420"/>
        <w:rPr>
          <w:rFonts w:ascii="宋体" w:hAnsi="宋体"/>
          <w:color w:val="auto"/>
          <w:szCs w:val="21"/>
        </w:rPr>
      </w:pPr>
      <w:r>
        <w:rPr>
          <w:rFonts w:ascii="宋体" w:hAnsi="宋体"/>
          <w:color w:val="auto"/>
          <w:szCs w:val="21"/>
        </w:rPr>
        <w:t>开 户 银 行：                          开 户 银 行：</w:t>
      </w:r>
    </w:p>
    <w:p>
      <w:pPr>
        <w:spacing w:line="480" w:lineRule="auto"/>
        <w:ind w:firstLine="420"/>
        <w:rPr>
          <w:rFonts w:ascii="宋体" w:hAnsi="宋体"/>
          <w:color w:val="auto"/>
          <w:szCs w:val="21"/>
        </w:rPr>
      </w:pPr>
      <w:r>
        <w:rPr>
          <w:rFonts w:ascii="宋体" w:hAnsi="宋体"/>
          <w:color w:val="auto"/>
          <w:szCs w:val="21"/>
        </w:rPr>
        <w:t>账      号：                           账      号：</w:t>
      </w:r>
    </w:p>
    <w:p>
      <w:pPr>
        <w:spacing w:line="480" w:lineRule="auto"/>
        <w:ind w:firstLine="420"/>
        <w:rPr>
          <w:rFonts w:ascii="宋体" w:hAnsi="宋体"/>
          <w:color w:val="auto"/>
          <w:szCs w:val="21"/>
        </w:rPr>
      </w:pPr>
      <w:r>
        <w:rPr>
          <w:rFonts w:ascii="宋体" w:hAnsi="宋体"/>
          <w:color w:val="auto"/>
          <w:szCs w:val="21"/>
        </w:rPr>
        <w:t>邮 政 编 码：                          邮 政 编 码：</w:t>
      </w:r>
    </w:p>
    <w:p>
      <w:pPr>
        <w:spacing w:line="360" w:lineRule="auto"/>
        <w:ind w:firstLine="420"/>
        <w:rPr>
          <w:rFonts w:ascii="宋体" w:hAnsi="宋体"/>
          <w:color w:val="auto"/>
          <w:szCs w:val="21"/>
          <w:u w:val="single"/>
        </w:rPr>
      </w:pPr>
      <w:r>
        <w:rPr>
          <w:rFonts w:ascii="宋体" w:hAnsi="宋体"/>
          <w:color w:val="auto"/>
          <w:szCs w:val="21"/>
          <w:u w:val="single"/>
        </w:rPr>
        <w:t xml:space="preserve">                                                                   </w:t>
      </w:r>
    </w:p>
    <w:p>
      <w:pPr>
        <w:pStyle w:val="13"/>
        <w:spacing w:before="156" w:after="0" w:line="360" w:lineRule="auto"/>
        <w:jc w:val="left"/>
        <w:rPr>
          <w:rFonts w:ascii="宋体" w:hAnsi="宋体"/>
          <w:color w:val="auto"/>
          <w:szCs w:val="21"/>
        </w:rPr>
      </w:pPr>
    </w:p>
    <w:p>
      <w:pPr>
        <w:rPr>
          <w:color w:val="auto"/>
        </w:rPr>
      </w:pPr>
      <w:r>
        <w:rPr>
          <w:color w:val="auto"/>
        </w:rPr>
        <w:br w:type="page"/>
      </w:r>
    </w:p>
    <w:p>
      <w:pPr>
        <w:pStyle w:val="3"/>
        <w:numPr>
          <w:ilvl w:val="0"/>
          <w:numId w:val="0"/>
        </w:numPr>
        <w:rPr>
          <w:rFonts w:ascii="宋体" w:hAnsi="宋体" w:eastAsia="宋体" w:cs="宋体"/>
          <w:bCs/>
          <w:color w:val="auto"/>
          <w:szCs w:val="21"/>
        </w:rPr>
      </w:pPr>
      <w:bookmarkStart w:id="152" w:name="_Toc16926"/>
      <w:r>
        <w:rPr>
          <w:rFonts w:ascii="宋体" w:hAnsi="宋体" w:eastAsia="宋体" w:cs="宋体"/>
          <w:color w:val="auto"/>
        </w:rPr>
        <w:t>第二部分 合同通用条件</w:t>
      </w:r>
      <w:bookmarkEnd w:id="152"/>
    </w:p>
    <w:p>
      <w:pPr>
        <w:rPr>
          <w:color w:val="auto"/>
        </w:rPr>
      </w:pPr>
    </w:p>
    <w:p>
      <w:pPr>
        <w:keepNext/>
        <w:keepLines/>
        <w:numPr>
          <w:ilvl w:val="0"/>
          <w:numId w:val="0"/>
        </w:numPr>
        <w:spacing w:before="156" w:after="156" w:line="360" w:lineRule="auto"/>
        <w:ind w:firstLine="602"/>
        <w:outlineLvl w:val="1"/>
        <w:rPr>
          <w:rFonts w:ascii="宋体" w:hAnsi="宋体" w:eastAsia="宋体" w:cs="华文仿宋"/>
          <w:b/>
          <w:color w:val="auto"/>
          <w:sz w:val="30"/>
          <w:szCs w:val="30"/>
        </w:rPr>
      </w:pPr>
      <w:bookmarkStart w:id="153" w:name="_Toc296503027"/>
      <w:bookmarkStart w:id="154" w:name="_Toc351203495"/>
      <w:bookmarkStart w:id="155" w:name="_Toc296346528"/>
      <w:bookmarkStart w:id="156" w:name="_Toc11766"/>
      <w:bookmarkStart w:id="157" w:name="_Toc29283"/>
      <w:bookmarkStart w:id="158" w:name="_Toc18768"/>
      <w:bookmarkStart w:id="159" w:name="_Toc14264"/>
      <w:bookmarkStart w:id="160" w:name="_Toc19794"/>
      <w:bookmarkStart w:id="161" w:name="_Toc10110"/>
      <w:bookmarkStart w:id="162" w:name="_Toc14188"/>
      <w:bookmarkStart w:id="163" w:name="_Toc13267"/>
      <w:bookmarkStart w:id="164" w:name="_Toc517528641"/>
      <w:bookmarkStart w:id="165" w:name="_Toc20726"/>
      <w:bookmarkStart w:id="166" w:name="_Toc3920"/>
      <w:bookmarkStart w:id="167" w:name="_Toc517531972"/>
      <w:bookmarkStart w:id="168" w:name="_Toc517530696"/>
      <w:bookmarkStart w:id="169" w:name="_Toc26642"/>
      <w:bookmarkStart w:id="170" w:name="_Toc23490"/>
      <w:bookmarkStart w:id="171" w:name="_Toc7304"/>
      <w:bookmarkStart w:id="172" w:name="_Toc7132"/>
      <w:bookmarkStart w:id="173" w:name="_Toc2130"/>
      <w:bookmarkStart w:id="174" w:name="_Toc2304"/>
      <w:bookmarkStart w:id="175" w:name="_Toc517529734"/>
      <w:bookmarkStart w:id="176" w:name="_Toc13305"/>
      <w:bookmarkStart w:id="177" w:name="_Toc465237072"/>
      <w:bookmarkStart w:id="178" w:name="_Toc21451"/>
      <w:bookmarkStart w:id="179" w:name="_Toc465237170"/>
      <w:r>
        <w:rPr>
          <w:rFonts w:ascii="宋体" w:hAnsi="宋体" w:eastAsia="宋体" w:cs="华文仿宋"/>
          <w:b/>
          <w:color w:val="auto"/>
          <w:sz w:val="30"/>
          <w:szCs w:val="30"/>
        </w:rPr>
        <w:t>1.</w:t>
      </w:r>
      <w:bookmarkEnd w:id="153"/>
      <w:bookmarkEnd w:id="154"/>
      <w:bookmarkEnd w:id="155"/>
      <w:r>
        <w:rPr>
          <w:rFonts w:ascii="宋体" w:hAnsi="宋体" w:eastAsia="宋体" w:cs="华文仿宋"/>
          <w:b/>
          <w:color w:val="auto"/>
          <w:sz w:val="30"/>
          <w:szCs w:val="30"/>
        </w:rPr>
        <w:t xml:space="preserve"> </w:t>
      </w:r>
      <w:r>
        <w:rPr>
          <w:rFonts w:ascii="宋体" w:hAnsi="宋体" w:cs="华文仿宋"/>
          <w:b/>
          <w:color w:val="auto"/>
          <w:sz w:val="30"/>
          <w:szCs w:val="30"/>
        </w:rPr>
        <w:t>一般约定</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80" w:name="_Toc26776"/>
      <w:bookmarkStart w:id="181" w:name="_Toc12728"/>
      <w:bookmarkStart w:id="182" w:name="_Toc24788"/>
      <w:bookmarkStart w:id="183" w:name="_Toc16789"/>
      <w:bookmarkStart w:id="184" w:name="_Toc21"/>
      <w:bookmarkStart w:id="185" w:name="_Toc15314"/>
      <w:bookmarkStart w:id="186" w:name="_Toc9450"/>
      <w:bookmarkStart w:id="187" w:name="_Toc12991"/>
      <w:bookmarkStart w:id="188" w:name="_Toc1586"/>
      <w:bookmarkStart w:id="189" w:name="_Toc517528642"/>
      <w:bookmarkStart w:id="190" w:name="_Toc15102"/>
      <w:bookmarkStart w:id="191" w:name="_Toc23216"/>
      <w:bookmarkStart w:id="192" w:name="_Toc25588"/>
      <w:bookmarkStart w:id="193" w:name="_Toc465237171"/>
      <w:bookmarkStart w:id="194" w:name="_Toc25437"/>
      <w:bookmarkStart w:id="195" w:name="_Toc517530697"/>
      <w:bookmarkStart w:id="196" w:name="_Toc465237073"/>
      <w:bookmarkStart w:id="197" w:name="_Toc2050"/>
      <w:bookmarkStart w:id="198" w:name="_Toc2202"/>
      <w:bookmarkStart w:id="199" w:name="_Toc28730"/>
      <w:bookmarkStart w:id="200" w:name="_Toc11290"/>
      <w:bookmarkStart w:id="201" w:name="_Toc7841"/>
      <w:bookmarkStart w:id="202" w:name="_Toc517531973"/>
      <w:r>
        <w:rPr>
          <w:rFonts w:ascii="宋体" w:hAnsi="宋体" w:eastAsia="宋体" w:cs="华文仿宋"/>
          <w:b/>
          <w:bCs/>
          <w:color w:val="auto"/>
          <w:sz w:val="28"/>
          <w:szCs w:val="28"/>
        </w:rPr>
        <w:t>1.1</w:t>
      </w:r>
      <w:r>
        <w:rPr>
          <w:rFonts w:ascii="宋体" w:hAnsi="宋体" w:cs="华文仿宋"/>
          <w:b/>
          <w:bCs/>
          <w:color w:val="auto"/>
          <w:sz w:val="28"/>
          <w:szCs w:val="28"/>
        </w:rPr>
        <w:t>定义</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tabs>
          <w:tab w:val="left" w:pos="1050"/>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在本合同中，下列名词或术语，除文中另有要求和说明外，应具有本条所指的含义：</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03" w:name="_Toc29021"/>
      <w:bookmarkStart w:id="204" w:name="_Toc22656"/>
      <w:bookmarkStart w:id="205" w:name="_Toc517531974"/>
      <w:bookmarkStart w:id="206" w:name="_Toc517530698"/>
      <w:bookmarkStart w:id="207" w:name="_Toc25301"/>
      <w:bookmarkStart w:id="208" w:name="_Toc13051"/>
      <w:bookmarkStart w:id="209" w:name="_Toc27428"/>
      <w:bookmarkStart w:id="210" w:name="_Toc23326"/>
      <w:bookmarkStart w:id="211" w:name="_Toc27794"/>
      <w:bookmarkStart w:id="212" w:name="_Toc22585"/>
      <w:bookmarkStart w:id="213" w:name="_Toc10325"/>
      <w:bookmarkStart w:id="214" w:name="_Toc2259"/>
      <w:bookmarkStart w:id="215" w:name="_Toc12229"/>
      <w:bookmarkStart w:id="216" w:name="_Toc15190"/>
      <w:bookmarkStart w:id="217" w:name="_Toc13743"/>
      <w:bookmarkStart w:id="218" w:name="_Toc17818"/>
      <w:bookmarkStart w:id="219" w:name="_Toc4378"/>
      <w:bookmarkStart w:id="220" w:name="_Toc2906"/>
      <w:bookmarkStart w:id="221" w:name="_Toc20718"/>
      <w:bookmarkStart w:id="222" w:name="_Toc10179"/>
      <w:r>
        <w:rPr>
          <w:rFonts w:ascii="宋体" w:hAnsi="宋体" w:eastAsia="宋体" w:cs="华文仿宋"/>
          <w:b/>
          <w:bCs/>
          <w:color w:val="auto"/>
          <w:sz w:val="24"/>
          <w:szCs w:val="24"/>
        </w:rPr>
        <w:t xml:space="preserve">1.1.1 </w:t>
      </w:r>
      <w:r>
        <w:rPr>
          <w:rFonts w:ascii="宋体" w:hAnsi="宋体" w:cs="华文仿宋"/>
          <w:b/>
          <w:bCs/>
          <w:color w:val="auto"/>
          <w:sz w:val="24"/>
          <w:szCs w:val="24"/>
        </w:rPr>
        <w:t>合同</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tabs>
          <w:tab w:val="left" w:pos="1470"/>
        </w:tabs>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）“合同”指合同条款、技术规范、图纸、工程量清单、投标文件、中标通知书、合同协议书以及构成合同组成部分的其他文件。</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）“规范”指合同中约定的工程技术规范及对技术规范的有效修改或补充。</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）“图纸”指发包人按照合同约定提供或经发包人批准的设计文件、施工图、鸟瞰图及模型等，以及在合同履行过程中形成的图纸文件。图纸应当按照法律规定审查合格。</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）“工程量清单”指投标文件中已标价的工程量清单。</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）“投标文件”指承包人按照合同约定为实施并完成本合同工程及其缺陷的修复而向发包人提交的、包含了为中标通知书所接受的报价的相关文件。</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6</w:t>
      </w:r>
      <w:r>
        <w:rPr>
          <w:rFonts w:ascii="宋体" w:hAnsi="宋体" w:cs="华文仿宋"/>
          <w:color w:val="auto"/>
          <w:szCs w:val="21"/>
        </w:rPr>
        <w:t>）“中标通知书”指发包人对投标文件的正式接受函件。</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7</w:t>
      </w:r>
      <w:r>
        <w:rPr>
          <w:rFonts w:ascii="宋体" w:hAnsi="宋体" w:cs="华文仿宋"/>
          <w:color w:val="auto"/>
          <w:szCs w:val="21"/>
        </w:rPr>
        <w:t>）“合同协议书”指第</w:t>
      </w:r>
      <w:r>
        <w:rPr>
          <w:rFonts w:ascii="宋体" w:hAnsi="宋体" w:eastAsia="宋体" w:cs="华文仿宋"/>
          <w:color w:val="auto"/>
          <w:szCs w:val="21"/>
        </w:rPr>
        <w:t>3.1.1</w:t>
      </w:r>
      <w:r>
        <w:rPr>
          <w:rFonts w:ascii="宋体" w:hAnsi="宋体" w:cs="华文仿宋"/>
          <w:color w:val="auto"/>
          <w:szCs w:val="21"/>
        </w:rPr>
        <w:t>条所指的合同协议书。</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8</w:t>
      </w:r>
      <w:r>
        <w:rPr>
          <w:rFonts w:ascii="宋体" w:hAnsi="宋体" w:cs="华文仿宋"/>
          <w:color w:val="auto"/>
          <w:szCs w:val="21"/>
        </w:rPr>
        <w:t>）“投标函附件”指构成投标文件的附件。</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23" w:name="_Toc15129"/>
      <w:bookmarkStart w:id="224" w:name="_Toc27136"/>
      <w:bookmarkStart w:id="225" w:name="_Toc25830"/>
      <w:bookmarkStart w:id="226" w:name="_Toc20429"/>
      <w:bookmarkStart w:id="227" w:name="_Toc732"/>
      <w:bookmarkStart w:id="228" w:name="_Toc8204"/>
      <w:bookmarkStart w:id="229" w:name="_Toc7900"/>
      <w:bookmarkStart w:id="230" w:name="_Toc517530699"/>
      <w:bookmarkStart w:id="231" w:name="_Toc20499"/>
      <w:bookmarkStart w:id="232" w:name="_Toc517531975"/>
      <w:bookmarkStart w:id="233" w:name="_Toc3403"/>
      <w:bookmarkStart w:id="234" w:name="_Toc1904"/>
      <w:bookmarkStart w:id="235" w:name="_Toc5475"/>
      <w:bookmarkStart w:id="236" w:name="_Toc2147"/>
      <w:bookmarkStart w:id="237" w:name="_Toc18247"/>
      <w:bookmarkStart w:id="238" w:name="_Toc9937"/>
      <w:bookmarkStart w:id="239" w:name="_Toc18254"/>
      <w:bookmarkStart w:id="240" w:name="_Toc10233"/>
      <w:bookmarkStart w:id="241" w:name="_Toc12599"/>
      <w:r>
        <w:rPr>
          <w:rFonts w:ascii="宋体" w:hAnsi="宋体" w:eastAsia="宋体" w:cs="华文仿宋"/>
          <w:b/>
          <w:bCs/>
          <w:color w:val="auto"/>
          <w:sz w:val="24"/>
          <w:szCs w:val="24"/>
        </w:rPr>
        <w:t xml:space="preserve">1.1.2 </w:t>
      </w:r>
      <w:r>
        <w:rPr>
          <w:rFonts w:ascii="宋体" w:hAnsi="宋体" w:cs="华文仿宋"/>
          <w:b/>
          <w:bCs/>
          <w:color w:val="auto"/>
          <w:sz w:val="24"/>
          <w:szCs w:val="24"/>
        </w:rPr>
        <w:t>合同当事人及相关各方</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）“发包人”指本合同条款指名的执行本建设项目投资计划的单位或其他指定的负责管理本建设项目的代表机构。</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本合同的发包人是</w:t>
      </w:r>
      <w:r>
        <w:rPr>
          <w:rFonts w:ascii="宋体" w:hAnsi="宋体" w:cs="华文仿宋"/>
          <w:color w:val="auto"/>
          <w:szCs w:val="21"/>
          <w:u w:val="single"/>
        </w:rPr>
        <w:t>深圳市建筑工务署教育工程管理中心</w:t>
      </w:r>
      <w:r>
        <w:rPr>
          <w:rFonts w:ascii="宋体" w:hAnsi="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）“项目主任”指发包人派驻施工现场履行合同的代表。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）“承包人”指与发包人签订合同协议书的，具有相应工程施工承包资质的当事人及取得该当事人资格的合法继承人。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）“指定专业工程承包人”指与发包人签订了合同协议书承建本项目指定专业工程的单位，以及取得该当事人（单位）资格的合法继承人（单位）。</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）“分包人”指按照法律规定和合同约定，分包部分工程或工作，并与承包人签订分包合同的具有相应资质的当事人及取得该当事人资格的合法继承人。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6</w:t>
      </w:r>
      <w:r>
        <w:rPr>
          <w:rFonts w:ascii="宋体" w:hAnsi="宋体" w:cs="华文仿宋"/>
          <w:color w:val="auto"/>
          <w:szCs w:val="21"/>
        </w:rPr>
        <w:t>）“监理人”指在专用合同条款中指名的，受发包人委托按照法律规定进行工程监督管理的法人或其他组织。</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7</w:t>
      </w:r>
      <w:r>
        <w:rPr>
          <w:rFonts w:ascii="宋体" w:hAnsi="宋体" w:cs="华文仿宋"/>
          <w:color w:val="auto"/>
          <w:szCs w:val="21"/>
        </w:rPr>
        <w:t>）“总监理工程师”指由监理人任命并派驻施工现场进行工程监理的总负责人。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8</w:t>
      </w:r>
      <w:r>
        <w:rPr>
          <w:rFonts w:ascii="宋体" w:hAnsi="宋体" w:cs="华文仿宋"/>
          <w:color w:val="auto"/>
          <w:szCs w:val="21"/>
        </w:rPr>
        <w:t>）“项目经理”指由承包人书面委派常驻现场负责执行本合同和管理本合同工程的代表。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9</w:t>
      </w:r>
      <w:r>
        <w:rPr>
          <w:rFonts w:ascii="宋体" w:hAnsi="宋体" w:cs="华文仿宋"/>
          <w:color w:val="auto"/>
          <w:szCs w:val="21"/>
        </w:rPr>
        <w:t>）“项目技术负责人”指由承包人书面委派常驻现场负责管理本合同工程的总工程师或技术总负责人。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42" w:name="_Toc4500"/>
      <w:bookmarkStart w:id="243" w:name="_Toc16542"/>
      <w:bookmarkStart w:id="244" w:name="_Toc517530700"/>
      <w:bookmarkStart w:id="245" w:name="_Toc31407"/>
      <w:bookmarkStart w:id="246" w:name="_Toc14037"/>
      <w:bookmarkStart w:id="247" w:name="_Toc10966"/>
      <w:bookmarkStart w:id="248" w:name="_Toc802"/>
      <w:bookmarkStart w:id="249" w:name="_Toc28404"/>
      <w:bookmarkStart w:id="250" w:name="_Toc32093"/>
      <w:bookmarkStart w:id="251" w:name="_Toc20458"/>
      <w:bookmarkStart w:id="252" w:name="_Toc4911"/>
      <w:bookmarkStart w:id="253" w:name="_Toc15971"/>
      <w:bookmarkStart w:id="254" w:name="_Toc32144"/>
      <w:bookmarkStart w:id="255" w:name="_Toc11867"/>
      <w:bookmarkStart w:id="256" w:name="_Toc23194"/>
      <w:bookmarkStart w:id="257" w:name="_Toc17304"/>
      <w:bookmarkStart w:id="258" w:name="_Toc517531976"/>
      <w:bookmarkStart w:id="259" w:name="_Toc12197"/>
      <w:bookmarkStart w:id="260" w:name="_Toc28078"/>
      <w:bookmarkStart w:id="261" w:name="_Toc26029"/>
      <w:r>
        <w:rPr>
          <w:rFonts w:ascii="宋体" w:hAnsi="宋体" w:eastAsia="宋体" w:cs="华文仿宋"/>
          <w:b/>
          <w:bCs/>
          <w:color w:val="auto"/>
          <w:sz w:val="24"/>
          <w:szCs w:val="24"/>
        </w:rPr>
        <w:t xml:space="preserve">1.1.3 </w:t>
      </w:r>
      <w:r>
        <w:rPr>
          <w:rFonts w:ascii="宋体" w:hAnsi="宋体" w:cs="华文仿宋"/>
          <w:b/>
          <w:bCs/>
          <w:color w:val="auto"/>
          <w:sz w:val="24"/>
          <w:szCs w:val="24"/>
        </w:rPr>
        <w:t>工程与设备</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）“工程”指永久工程和（或）临时工程。</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）“永久工程”指根据合同规定应实施的永久性工程（包括下文所指的设备）。</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）“临时工程”指在实施和完成本合同工程及其缺陷的修复过程中所需的各种临时性工程（不包括下文所指的承包人装备）。</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）“建设项目工程”指一个建设项目的全部工程，它可由一个或若干个合同工程组成。</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）“合同工程”指本合同范围内的全部工程。</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6</w:t>
      </w:r>
      <w:r>
        <w:rPr>
          <w:rFonts w:ascii="宋体" w:hAnsi="宋体" w:cs="华文仿宋"/>
          <w:color w:val="auto"/>
          <w:szCs w:val="21"/>
        </w:rPr>
        <w:t>）“区段工程”指合同工程范围内，合同规定或能单独发挥效益的某一区段的全部工程。</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7</w:t>
      </w:r>
      <w:r>
        <w:rPr>
          <w:rFonts w:ascii="宋体" w:hAnsi="宋体" w:cs="华文仿宋"/>
          <w:color w:val="auto"/>
          <w:szCs w:val="21"/>
        </w:rPr>
        <w:t>）“单项工程”指合同工程范围内，合同规定或能单独发挥效益的某一独立的单项工程。</w:t>
      </w:r>
    </w:p>
    <w:p>
      <w:pPr>
        <w:spacing w:line="360" w:lineRule="auto"/>
        <w:ind w:firstLine="420"/>
        <w:jc w:val="left"/>
        <w:rPr>
          <w:rFonts w:ascii="宋体" w:hAnsi="宋体" w:eastAsia="宋体" w:cs="华文仿宋"/>
          <w:color w:val="auto"/>
          <w:szCs w:val="21"/>
        </w:rPr>
      </w:pPr>
      <w:bookmarkStart w:id="262" w:name="_Toc16164"/>
      <w:r>
        <w:rPr>
          <w:rFonts w:ascii="宋体" w:hAnsi="宋体" w:cs="华文仿宋"/>
          <w:color w:val="auto"/>
          <w:szCs w:val="21"/>
        </w:rPr>
        <w:t>（</w:t>
      </w:r>
      <w:r>
        <w:rPr>
          <w:rFonts w:ascii="宋体" w:hAnsi="宋体" w:eastAsia="宋体" w:cs="华文仿宋"/>
          <w:color w:val="auto"/>
          <w:szCs w:val="21"/>
        </w:rPr>
        <w:t>8</w:t>
      </w:r>
      <w:r>
        <w:rPr>
          <w:rFonts w:ascii="宋体" w:hAnsi="宋体" w:cs="华文仿宋"/>
          <w:color w:val="auto"/>
          <w:szCs w:val="21"/>
        </w:rPr>
        <w:t>）“设备”指预定构成或构成永久工程某部分的机械、仪器、装置以及诸如此类的设备。</w:t>
      </w:r>
      <w:bookmarkEnd w:id="26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9</w:t>
      </w:r>
      <w:r>
        <w:rPr>
          <w:rFonts w:ascii="宋体" w:hAnsi="宋体" w:cs="华文仿宋"/>
          <w:color w:val="auto"/>
          <w:szCs w:val="21"/>
        </w:rPr>
        <w:t>）“承包人装备”指属承包人所有（或租赁）的、为了实施和完成本合同及其缺陷修复所需的机械、器具或物品。</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10</w:t>
      </w:r>
      <w:r>
        <w:rPr>
          <w:rFonts w:ascii="宋体" w:hAnsi="宋体" w:cs="华文仿宋"/>
          <w:color w:val="auto"/>
          <w:szCs w:val="21"/>
        </w:rPr>
        <w:t>）“现场”指由发包人提供的本合同工程实施所在地的场所，及在合同中具体指定构成现场一部分的其他场所。</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11</w:t>
      </w:r>
      <w:r>
        <w:rPr>
          <w:rFonts w:ascii="宋体" w:hAnsi="宋体" w:cs="华文仿宋"/>
          <w:color w:val="auto"/>
          <w:szCs w:val="21"/>
        </w:rPr>
        <w:t>）“永久占地”指为实施本合同工程而需要的一切永久占用的土地。</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12</w:t>
      </w:r>
      <w:r>
        <w:rPr>
          <w:rFonts w:ascii="宋体" w:hAnsi="宋体" w:cs="华文仿宋"/>
          <w:color w:val="auto"/>
          <w:szCs w:val="21"/>
        </w:rPr>
        <w:t>）“临时占地”指为实施本合同工程而需要的一切临时占用土地，包括施工所用的临时支线、便道、便桥和现场的临时出入通道，以及生产、生活等临时设施用地等。</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63" w:name="_Toc19995"/>
      <w:bookmarkStart w:id="264" w:name="_Toc4083"/>
      <w:bookmarkStart w:id="265" w:name="_Toc517530701"/>
      <w:bookmarkStart w:id="266" w:name="_Toc5838"/>
      <w:bookmarkStart w:id="267" w:name="_Toc5187"/>
      <w:bookmarkStart w:id="268" w:name="_Toc7825"/>
      <w:bookmarkStart w:id="269" w:name="_Toc6422"/>
      <w:bookmarkStart w:id="270" w:name="_Toc29939"/>
      <w:bookmarkStart w:id="271" w:name="_Toc16658"/>
      <w:bookmarkStart w:id="272" w:name="_Toc20844"/>
      <w:bookmarkStart w:id="273" w:name="_Toc8264"/>
      <w:bookmarkStart w:id="274" w:name="_Toc13861"/>
      <w:bookmarkStart w:id="275" w:name="_Toc517531977"/>
      <w:bookmarkStart w:id="276" w:name="_Toc12396"/>
      <w:bookmarkStart w:id="277" w:name="_Toc13588"/>
      <w:bookmarkStart w:id="278" w:name="_Toc26786"/>
      <w:bookmarkStart w:id="279" w:name="_Toc5896"/>
      <w:bookmarkStart w:id="280" w:name="_Toc4773"/>
      <w:bookmarkStart w:id="281" w:name="_Toc12615"/>
      <w:bookmarkStart w:id="282" w:name="_Toc25808"/>
      <w:r>
        <w:rPr>
          <w:rFonts w:ascii="宋体" w:hAnsi="宋体" w:eastAsia="宋体" w:cs="华文仿宋"/>
          <w:b/>
          <w:bCs/>
          <w:color w:val="auto"/>
          <w:sz w:val="24"/>
          <w:szCs w:val="24"/>
        </w:rPr>
        <w:t xml:space="preserve">1.1.4 </w:t>
      </w:r>
      <w:r>
        <w:rPr>
          <w:rFonts w:ascii="宋体" w:hAnsi="宋体" w:cs="华文仿宋"/>
          <w:b/>
          <w:bCs/>
          <w:color w:val="auto"/>
          <w:sz w:val="24"/>
          <w:szCs w:val="24"/>
        </w:rPr>
        <w:t>日期与期限</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）“开工期”指投标书附件中规定的开工期限。</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）“开工日期”指发包人和承包人在开工期限内约定的、在开工通知书写明的日期。</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）“竣工日期”包括计划竣工日期和实际竣工日期。计划竣工日期是指合同协议书约定的竣工日期；实际竣工日期按照第</w:t>
      </w:r>
      <w:r>
        <w:rPr>
          <w:rFonts w:ascii="宋体" w:hAnsi="宋体" w:eastAsia="宋体" w:cs="华文仿宋"/>
          <w:color w:val="auto"/>
          <w:szCs w:val="21"/>
        </w:rPr>
        <w:t>13</w:t>
      </w:r>
      <w:r>
        <w:rPr>
          <w:rFonts w:ascii="宋体" w:hAnsi="宋体" w:cs="华文仿宋"/>
          <w:color w:val="auto"/>
          <w:szCs w:val="21"/>
        </w:rPr>
        <w:t>条确定。</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）“工期”是指在合同中约定的承包人完成工程所需的期限，包括按照合同约定所做的期限变更。</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）“履约期”指发包人和承包人就本工程实施和竣工后继续履行合同而约定的期限，其开始日期从合同协议书约定的合同生效日起到工程保修书约定的质量保证金退还之日止。</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6</w:t>
      </w:r>
      <w:r>
        <w:rPr>
          <w:rFonts w:ascii="宋体" w:hAnsi="宋体" w:cs="华文仿宋"/>
          <w:color w:val="auto"/>
          <w:szCs w:val="21"/>
        </w:rPr>
        <w:t>）“缺陷责任期”指承包人按照合同约定承担缺陷修复义务，且发包人预留质量保证金的期限，自工程实际竣工日期起计算，缺陷责任期为</w:t>
      </w:r>
      <w:r>
        <w:rPr>
          <w:rFonts w:ascii="宋体" w:hAnsi="宋体" w:eastAsia="宋体" w:cs="华文仿宋"/>
          <w:color w:val="auto"/>
          <w:szCs w:val="21"/>
        </w:rPr>
        <w:t>24</w:t>
      </w:r>
      <w:r>
        <w:rPr>
          <w:rFonts w:ascii="宋体" w:hAnsi="宋体" w:cs="华文仿宋"/>
          <w:color w:val="auto"/>
          <w:szCs w:val="21"/>
        </w:rPr>
        <w:t>个月。</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7</w:t>
      </w:r>
      <w:r>
        <w:rPr>
          <w:rFonts w:ascii="宋体" w:hAnsi="宋体" w:cs="华文仿宋"/>
          <w:color w:val="auto"/>
          <w:szCs w:val="21"/>
        </w:rPr>
        <w:t>）“保修期”指在投标书附件中指定的保修期，其时间从交接证书中写明的竣工日期算起。</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83" w:name="_Toc2390"/>
      <w:bookmarkStart w:id="284" w:name="_Toc27539"/>
      <w:bookmarkStart w:id="285" w:name="_Toc11440"/>
      <w:bookmarkStart w:id="286" w:name="_Toc4639"/>
      <w:bookmarkStart w:id="287" w:name="_Toc23940"/>
      <w:bookmarkStart w:id="288" w:name="_Toc1973"/>
      <w:bookmarkStart w:id="289" w:name="_Toc30631"/>
      <w:bookmarkStart w:id="290" w:name="_Toc517531978"/>
      <w:bookmarkStart w:id="291" w:name="_Toc517530702"/>
      <w:bookmarkStart w:id="292" w:name="_Toc1652"/>
      <w:bookmarkStart w:id="293" w:name="_Toc20088"/>
      <w:bookmarkStart w:id="294" w:name="_Toc8736"/>
      <w:bookmarkStart w:id="295" w:name="_Toc9508"/>
      <w:bookmarkStart w:id="296" w:name="_Toc18309"/>
      <w:bookmarkStart w:id="297" w:name="_Toc21764"/>
      <w:bookmarkStart w:id="298" w:name="_Toc15268"/>
      <w:bookmarkStart w:id="299" w:name="_Toc6480"/>
      <w:bookmarkStart w:id="300" w:name="_Toc27546"/>
      <w:bookmarkStart w:id="301" w:name="_Toc5876"/>
      <w:bookmarkStart w:id="302" w:name="_Toc10471"/>
      <w:r>
        <w:rPr>
          <w:rFonts w:ascii="宋体" w:hAnsi="宋体" w:eastAsia="宋体" w:cs="华文仿宋"/>
          <w:b/>
          <w:bCs/>
          <w:color w:val="auto"/>
          <w:sz w:val="24"/>
          <w:szCs w:val="24"/>
        </w:rPr>
        <w:t xml:space="preserve">1.1.5 </w:t>
      </w:r>
      <w:r>
        <w:rPr>
          <w:rFonts w:ascii="宋体" w:hAnsi="宋体" w:cs="华文仿宋"/>
          <w:b/>
          <w:bCs/>
          <w:color w:val="auto"/>
          <w:sz w:val="24"/>
          <w:szCs w:val="24"/>
        </w:rPr>
        <w:t>证书</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）“履约证书”指承包人在履约期内完成合同工程及合同约定的义务后得到的履约证明。</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）“交接证书”指本合同工程或合同工程中规定有单独工期的区段或单项工程竣工后，根据第</w:t>
      </w:r>
      <w:r>
        <w:rPr>
          <w:rFonts w:ascii="宋体" w:hAnsi="宋体" w:eastAsia="宋体" w:cs="华文仿宋"/>
          <w:color w:val="auto"/>
          <w:szCs w:val="21"/>
        </w:rPr>
        <w:t>13.1</w:t>
      </w:r>
      <w:r>
        <w:rPr>
          <w:rFonts w:ascii="宋体" w:hAnsi="宋体" w:cs="华文仿宋"/>
          <w:color w:val="auto"/>
          <w:szCs w:val="21"/>
        </w:rPr>
        <w:t>、</w:t>
      </w:r>
      <w:r>
        <w:rPr>
          <w:rFonts w:ascii="宋体" w:hAnsi="宋体" w:eastAsia="宋体" w:cs="华文仿宋"/>
          <w:color w:val="auto"/>
          <w:szCs w:val="21"/>
        </w:rPr>
        <w:t>13.2</w:t>
      </w:r>
      <w:r>
        <w:rPr>
          <w:rFonts w:ascii="宋体" w:hAnsi="宋体" w:cs="华文仿宋"/>
          <w:color w:val="auto"/>
          <w:szCs w:val="21"/>
        </w:rPr>
        <w:t>条规定签发的证书。</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3" w:name="_Toc8340"/>
      <w:bookmarkStart w:id="304" w:name="_Toc32349"/>
      <w:bookmarkStart w:id="305" w:name="_Toc517531979"/>
      <w:bookmarkStart w:id="306" w:name="_Toc517530703"/>
      <w:bookmarkStart w:id="307" w:name="_Toc31444"/>
      <w:bookmarkStart w:id="308" w:name="_Toc24653"/>
      <w:bookmarkStart w:id="309" w:name="_Toc24144"/>
      <w:bookmarkStart w:id="310" w:name="_Toc20560"/>
      <w:bookmarkStart w:id="311" w:name="_Toc22226"/>
      <w:bookmarkStart w:id="312" w:name="_Toc9293"/>
      <w:bookmarkStart w:id="313" w:name="_Toc19179"/>
      <w:bookmarkStart w:id="314" w:name="_Toc27482"/>
      <w:bookmarkStart w:id="315" w:name="_Toc23435"/>
      <w:bookmarkStart w:id="316" w:name="_Toc30114"/>
      <w:bookmarkStart w:id="317" w:name="_Toc5612"/>
      <w:bookmarkStart w:id="318" w:name="_Toc7509"/>
      <w:bookmarkStart w:id="319" w:name="_Toc29104"/>
      <w:bookmarkStart w:id="320" w:name="_Toc25721"/>
      <w:bookmarkStart w:id="321" w:name="_Toc1499"/>
      <w:bookmarkStart w:id="322" w:name="_Toc21592"/>
      <w:r>
        <w:rPr>
          <w:rFonts w:ascii="宋体" w:hAnsi="宋体" w:eastAsia="宋体" w:cs="华文仿宋"/>
          <w:b/>
          <w:bCs/>
          <w:color w:val="auto"/>
          <w:sz w:val="24"/>
          <w:szCs w:val="24"/>
        </w:rPr>
        <w:t xml:space="preserve">1.1.6 </w:t>
      </w:r>
      <w:r>
        <w:rPr>
          <w:rFonts w:ascii="宋体" w:hAnsi="宋体" w:cs="华文仿宋"/>
          <w:b/>
          <w:bCs/>
          <w:color w:val="auto"/>
          <w:sz w:val="24"/>
          <w:szCs w:val="24"/>
        </w:rPr>
        <w:t>合同价格与费用</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）“合同价格”指在中标通知书中写明的、承包人按合同规定实施和完成本合同工程及其缺陷的修复应得到的支付价款总额。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）“质量保证金”指发包人根据第</w:t>
      </w:r>
      <w:r>
        <w:rPr>
          <w:rFonts w:ascii="宋体" w:hAnsi="宋体" w:eastAsia="宋体" w:cs="华文仿宋"/>
          <w:color w:val="auto"/>
          <w:szCs w:val="21"/>
        </w:rPr>
        <w:t>15.6</w:t>
      </w:r>
      <w:r>
        <w:rPr>
          <w:rFonts w:ascii="宋体" w:hAnsi="宋体" w:cs="华文仿宋"/>
          <w:color w:val="auto"/>
          <w:szCs w:val="21"/>
        </w:rPr>
        <w:t>款扣留的款额。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情形的费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）“专业工程暂估价”是招标人在工程量清单中提供的用于支付必然发生但暂时不能确定的专业工程金额。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）“材料设备暂估价”是指招标人在工程量清单中提供的用于支付必然发生但暂时不能确定价格的材料、设备的单价。</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6</w:t>
      </w:r>
      <w:r>
        <w:rPr>
          <w:rFonts w:ascii="宋体" w:hAnsi="宋体" w:cs="华文仿宋"/>
          <w:color w:val="auto"/>
          <w:szCs w:val="21"/>
        </w:rPr>
        <w:t>）“费用”指承包人现场内外已发生或将要发生的合理支出，包括管理费和其他类似的支出，但不包括利润。</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23" w:name="_Toc16147"/>
      <w:bookmarkStart w:id="324" w:name="_Toc7016"/>
      <w:bookmarkStart w:id="325" w:name="_Toc16015"/>
      <w:bookmarkStart w:id="326" w:name="_Toc21685"/>
      <w:bookmarkStart w:id="327" w:name="_Toc31188"/>
      <w:bookmarkStart w:id="328" w:name="_Toc12059"/>
      <w:bookmarkStart w:id="329" w:name="_Toc11832"/>
      <w:bookmarkStart w:id="330" w:name="_Toc9022"/>
      <w:bookmarkStart w:id="331" w:name="_Toc8639"/>
      <w:bookmarkStart w:id="332" w:name="_Toc4137"/>
      <w:bookmarkStart w:id="333" w:name="_Toc19779"/>
      <w:bookmarkStart w:id="334" w:name="_Toc8008"/>
      <w:bookmarkStart w:id="335" w:name="_Toc20461"/>
      <w:bookmarkStart w:id="336" w:name="_Toc517531980"/>
      <w:bookmarkStart w:id="337" w:name="_Toc517530704"/>
      <w:bookmarkStart w:id="338" w:name="_Toc12132"/>
      <w:bookmarkStart w:id="339" w:name="_Toc26299"/>
      <w:bookmarkStart w:id="340" w:name="_Toc1787"/>
      <w:bookmarkStart w:id="341" w:name="_Toc14164"/>
      <w:bookmarkStart w:id="342" w:name="_Toc4929"/>
      <w:r>
        <w:rPr>
          <w:rFonts w:ascii="宋体" w:hAnsi="宋体" w:eastAsia="宋体" w:cs="华文仿宋"/>
          <w:b/>
          <w:bCs/>
          <w:color w:val="auto"/>
          <w:sz w:val="24"/>
          <w:szCs w:val="24"/>
        </w:rPr>
        <w:t xml:space="preserve">1.1.7 </w:t>
      </w:r>
      <w:r>
        <w:rPr>
          <w:rFonts w:ascii="宋体" w:hAnsi="宋体" w:cs="华文仿宋"/>
          <w:b/>
          <w:bCs/>
          <w:color w:val="auto"/>
          <w:sz w:val="24"/>
          <w:szCs w:val="24"/>
        </w:rPr>
        <w:t>其他</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1</w:t>
      </w:r>
      <w:r>
        <w:rPr>
          <w:rFonts w:ascii="宋体" w:hAnsi="宋体" w:cs="华文仿宋"/>
          <w:color w:val="auto"/>
          <w:szCs w:val="21"/>
        </w:rPr>
        <w:t>）“天”指日历天，“年”、“月”、“日”按公历计算。</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）“国家”指中华人民共和国。</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3</w:t>
      </w:r>
      <w:r>
        <w:rPr>
          <w:rFonts w:ascii="宋体" w:hAnsi="宋体" w:cs="华文仿宋"/>
          <w:color w:val="auto"/>
          <w:szCs w:val="21"/>
        </w:rPr>
        <w:t>）“当地”指本合同工程所在地及其附近。</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）“书面”指手书、打字或印刷的通信函电，包括传真、电报、电传及电子邮件等数据电文。</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43" w:name="_Toc18940"/>
      <w:bookmarkStart w:id="344" w:name="_Toc465237172"/>
      <w:bookmarkStart w:id="345" w:name="_Toc19280"/>
      <w:bookmarkStart w:id="346" w:name="_Toc28258"/>
      <w:bookmarkStart w:id="347" w:name="_Toc22138"/>
      <w:bookmarkStart w:id="348" w:name="_Toc517531981"/>
      <w:bookmarkStart w:id="349" w:name="_Toc14241"/>
      <w:bookmarkStart w:id="350" w:name="_Toc12309"/>
      <w:bookmarkStart w:id="351" w:name="_Toc21667"/>
      <w:bookmarkStart w:id="352" w:name="_Toc1808"/>
      <w:bookmarkStart w:id="353" w:name="_Toc517530705"/>
      <w:bookmarkStart w:id="354" w:name="_Toc28049"/>
      <w:bookmarkStart w:id="355" w:name="_Toc31874"/>
      <w:bookmarkStart w:id="356" w:name="_Toc15498"/>
      <w:bookmarkStart w:id="357" w:name="_Toc517528643"/>
      <w:bookmarkStart w:id="358" w:name="_Toc19556"/>
      <w:bookmarkStart w:id="359" w:name="_Toc24557"/>
      <w:bookmarkStart w:id="360" w:name="_Toc859"/>
      <w:bookmarkStart w:id="361" w:name="_Toc465237074"/>
      <w:bookmarkStart w:id="362" w:name="_Toc27258"/>
      <w:bookmarkStart w:id="363" w:name="_Toc4914"/>
      <w:bookmarkStart w:id="364" w:name="_Toc9940"/>
      <w:bookmarkStart w:id="365" w:name="_Toc27584"/>
      <w:r>
        <w:rPr>
          <w:rFonts w:ascii="宋体" w:hAnsi="宋体" w:eastAsia="宋体" w:cs="华文仿宋"/>
          <w:b/>
          <w:bCs/>
          <w:color w:val="auto"/>
          <w:sz w:val="28"/>
          <w:szCs w:val="28"/>
        </w:rPr>
        <w:t>1.2</w:t>
      </w:r>
      <w:r>
        <w:rPr>
          <w:rFonts w:ascii="宋体" w:hAnsi="宋体" w:cs="华文仿宋"/>
          <w:b/>
          <w:bCs/>
          <w:color w:val="auto"/>
          <w:sz w:val="28"/>
          <w:szCs w:val="28"/>
        </w:rPr>
        <w:t>标题和边注</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本合同条款中标题和边注不视为本合同的部分，在合同条款或合同本身的解释中也不考虑这些标题和边注。</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66" w:name="_Toc465237173"/>
      <w:bookmarkStart w:id="367" w:name="_Toc465237075"/>
      <w:bookmarkStart w:id="368" w:name="_Toc24459"/>
      <w:bookmarkStart w:id="369" w:name="_Toc19030"/>
      <w:bookmarkStart w:id="370" w:name="_Toc27268"/>
      <w:bookmarkStart w:id="371" w:name="_Toc32653"/>
      <w:bookmarkStart w:id="372" w:name="_Toc15859"/>
      <w:bookmarkStart w:id="373" w:name="_Toc26940"/>
      <w:bookmarkStart w:id="374" w:name="_Toc517528644"/>
      <w:bookmarkStart w:id="375" w:name="_Toc1522"/>
      <w:bookmarkStart w:id="376" w:name="_Toc20907"/>
      <w:bookmarkStart w:id="377" w:name="_Toc2548"/>
      <w:bookmarkStart w:id="378" w:name="_Toc28738"/>
      <w:bookmarkStart w:id="379" w:name="_Toc27753"/>
      <w:bookmarkStart w:id="380" w:name="_Toc26862"/>
      <w:bookmarkStart w:id="381" w:name="_Toc18136"/>
      <w:bookmarkStart w:id="382" w:name="_Toc29440"/>
      <w:bookmarkStart w:id="383" w:name="_Toc23133"/>
      <w:bookmarkStart w:id="384" w:name="_Toc14386"/>
      <w:bookmarkStart w:id="385" w:name="_Toc517530706"/>
      <w:bookmarkStart w:id="386" w:name="_Toc18986"/>
      <w:bookmarkStart w:id="387" w:name="_Toc517531982"/>
      <w:bookmarkStart w:id="388" w:name="_Toc29023"/>
      <w:r>
        <w:rPr>
          <w:rFonts w:ascii="宋体" w:hAnsi="宋体" w:eastAsia="宋体" w:cs="华文仿宋"/>
          <w:b/>
          <w:bCs/>
          <w:color w:val="auto"/>
          <w:sz w:val="28"/>
          <w:szCs w:val="28"/>
        </w:rPr>
        <w:t>1.3</w:t>
      </w:r>
      <w:r>
        <w:rPr>
          <w:rFonts w:ascii="宋体" w:hAnsi="宋体" w:cs="华文仿宋"/>
          <w:b/>
          <w:bCs/>
          <w:color w:val="auto"/>
          <w:sz w:val="28"/>
          <w:szCs w:val="28"/>
        </w:rPr>
        <w:t>法律</w:t>
      </w:r>
      <w:bookmarkEnd w:id="366"/>
      <w:bookmarkEnd w:id="367"/>
      <w:r>
        <w:rPr>
          <w:rFonts w:ascii="宋体" w:hAnsi="宋体" w:cs="华文仿宋"/>
          <w:b/>
          <w:bCs/>
          <w:color w:val="auto"/>
          <w:sz w:val="28"/>
          <w:szCs w:val="28"/>
        </w:rPr>
        <w:t>和法规</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本合同必须遵守国家现行法律和法规；合同所称法律和法规是指中华人民共和国法律、行政法规、部门规章，以及工程所在地的地方性法规、自治条例、单行条例和地方政府规章等。</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合同的解释应以现行法律和法规为准。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89" w:name="_Toc31930"/>
      <w:bookmarkStart w:id="390" w:name="_Toc465237076"/>
      <w:bookmarkStart w:id="391" w:name="_Toc17499"/>
      <w:bookmarkStart w:id="392" w:name="_Toc6738"/>
      <w:bookmarkStart w:id="393" w:name="_Toc465237174"/>
      <w:bookmarkStart w:id="394" w:name="_Toc5764"/>
      <w:bookmarkStart w:id="395" w:name="_Toc32030"/>
      <w:bookmarkStart w:id="396" w:name="_Toc28044"/>
      <w:bookmarkStart w:id="397" w:name="_Toc517530707"/>
      <w:bookmarkStart w:id="398" w:name="_Toc15073"/>
      <w:bookmarkStart w:id="399" w:name="_Toc3245"/>
      <w:bookmarkStart w:id="400" w:name="_Toc12653"/>
      <w:bookmarkStart w:id="401" w:name="_Toc32238"/>
      <w:bookmarkStart w:id="402" w:name="_Toc28765"/>
      <w:bookmarkStart w:id="403" w:name="_Toc517528645"/>
      <w:bookmarkStart w:id="404" w:name="_Toc10008"/>
      <w:bookmarkStart w:id="405" w:name="_Toc31054"/>
      <w:bookmarkStart w:id="406" w:name="_Toc15157"/>
      <w:bookmarkStart w:id="407" w:name="_Toc26651"/>
      <w:bookmarkStart w:id="408" w:name="_Toc9530"/>
      <w:bookmarkStart w:id="409" w:name="_Toc11466"/>
      <w:bookmarkStart w:id="410" w:name="_Toc3204"/>
      <w:bookmarkStart w:id="411" w:name="_Toc517531983"/>
      <w:r>
        <w:rPr>
          <w:rFonts w:ascii="宋体" w:hAnsi="宋体" w:eastAsia="宋体" w:cs="华文仿宋"/>
          <w:b/>
          <w:bCs/>
          <w:color w:val="auto"/>
          <w:sz w:val="28"/>
          <w:szCs w:val="28"/>
        </w:rPr>
        <w:t xml:space="preserve">1.4 </w:t>
      </w:r>
      <w:r>
        <w:rPr>
          <w:rFonts w:ascii="宋体" w:hAnsi="宋体" w:cs="华文仿宋"/>
          <w:b/>
          <w:bCs/>
          <w:color w:val="auto"/>
          <w:sz w:val="28"/>
          <w:szCs w:val="28"/>
        </w:rPr>
        <w:t>技术标准和管理规范</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2" w:name="_Toc9251"/>
      <w:bookmarkStart w:id="413" w:name="_Toc517531984"/>
      <w:bookmarkStart w:id="414" w:name="_Toc15143"/>
      <w:bookmarkStart w:id="415" w:name="_Toc17237"/>
      <w:bookmarkStart w:id="416" w:name="_Toc14287"/>
      <w:bookmarkStart w:id="417" w:name="_Toc24207"/>
      <w:bookmarkStart w:id="418" w:name="_Toc9825"/>
      <w:bookmarkStart w:id="419" w:name="_Toc517530708"/>
      <w:bookmarkStart w:id="420" w:name="_Toc15607"/>
      <w:bookmarkStart w:id="421" w:name="_Toc20255"/>
      <w:bookmarkStart w:id="422" w:name="_Toc5817"/>
      <w:r>
        <w:rPr>
          <w:rFonts w:ascii="宋体" w:hAnsi="宋体" w:eastAsia="宋体" w:cs="华文仿宋"/>
          <w:b/>
          <w:bCs/>
          <w:color w:val="auto"/>
          <w:sz w:val="24"/>
          <w:szCs w:val="24"/>
        </w:rPr>
        <w:t>1.4.1</w:t>
      </w:r>
      <w:r>
        <w:rPr>
          <w:rFonts w:ascii="宋体" w:hAnsi="宋体" w:cs="华文仿宋"/>
          <w:b/>
          <w:bCs/>
          <w:color w:val="auto"/>
          <w:sz w:val="24"/>
          <w:szCs w:val="24"/>
        </w:rPr>
        <w:t>发包人制定的标准</w:t>
      </w:r>
      <w:bookmarkEnd w:id="412"/>
      <w:bookmarkEnd w:id="413"/>
      <w:bookmarkEnd w:id="414"/>
      <w:bookmarkEnd w:id="415"/>
      <w:bookmarkEnd w:id="416"/>
      <w:bookmarkEnd w:id="417"/>
      <w:bookmarkEnd w:id="418"/>
      <w:bookmarkEnd w:id="419"/>
      <w:bookmarkEnd w:id="420"/>
      <w:bookmarkEnd w:id="421"/>
      <w:bookmarkEnd w:id="422"/>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合同专用条款附件为发包人制定的有关政府工程项目管理的规范性文件，承包人须按照发包人的管理程序和流程办理工程业务（应符合发包人信息化管理的要求），附件有关规定视为发包人与承包人合同的有效组成部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23" w:name="_Toc7734"/>
      <w:bookmarkStart w:id="424" w:name="_Toc17815"/>
      <w:bookmarkStart w:id="425" w:name="_Toc517530709"/>
      <w:bookmarkStart w:id="426" w:name="_Toc517531985"/>
      <w:bookmarkStart w:id="427" w:name="_Toc24282"/>
      <w:bookmarkStart w:id="428" w:name="_Toc23286"/>
      <w:bookmarkStart w:id="429" w:name="_Toc18380"/>
      <w:bookmarkStart w:id="430" w:name="_Toc13982"/>
      <w:bookmarkStart w:id="431" w:name="_Toc15041"/>
      <w:bookmarkStart w:id="432" w:name="_Toc490"/>
      <w:bookmarkStart w:id="433" w:name="_Toc15838"/>
      <w:r>
        <w:rPr>
          <w:rFonts w:ascii="宋体" w:hAnsi="宋体" w:eastAsia="宋体" w:cs="华文仿宋"/>
          <w:b/>
          <w:bCs/>
          <w:color w:val="auto"/>
          <w:sz w:val="24"/>
          <w:szCs w:val="24"/>
        </w:rPr>
        <w:t>1.4.2</w:t>
      </w:r>
      <w:r>
        <w:rPr>
          <w:rFonts w:ascii="宋体" w:hAnsi="宋体" w:cs="华文仿宋"/>
          <w:b/>
          <w:bCs/>
          <w:color w:val="auto"/>
          <w:sz w:val="24"/>
          <w:szCs w:val="24"/>
        </w:rPr>
        <w:t>外国标准</w:t>
      </w:r>
      <w:bookmarkEnd w:id="423"/>
      <w:bookmarkEnd w:id="424"/>
      <w:bookmarkEnd w:id="425"/>
      <w:bookmarkEnd w:id="426"/>
      <w:bookmarkEnd w:id="427"/>
      <w:bookmarkEnd w:id="428"/>
      <w:bookmarkEnd w:id="429"/>
      <w:bookmarkEnd w:id="430"/>
      <w:bookmarkEnd w:id="431"/>
      <w:bookmarkEnd w:id="432"/>
      <w:bookmarkEnd w:id="433"/>
    </w:p>
    <w:p>
      <w:pPr>
        <w:snapToGrid w:val="0"/>
        <w:spacing w:line="360" w:lineRule="auto"/>
        <w:ind w:firstLine="420"/>
        <w:jc w:val="left"/>
        <w:rPr>
          <w:rFonts w:ascii="宋体" w:hAnsi="宋体" w:eastAsia="宋体" w:cs="华文仿宋"/>
          <w:color w:val="auto"/>
          <w:szCs w:val="21"/>
        </w:rPr>
      </w:pPr>
      <w:r>
        <w:rPr>
          <w:rFonts w:ascii="宋体" w:hAnsi="宋体" w:cs="华文仿宋"/>
          <w:color w:val="auto"/>
          <w:kern w:val="0"/>
          <w:szCs w:val="21"/>
        </w:rPr>
        <w:t>发包人要求使用国外标准、规范的，发包人负责提供原文版本和中文译本，并在专用合同条款中约定提供标准规范的名称、份数和时间。若发包人提供的中文译本与原文版本不一致，以原文版本为准。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34" w:name="_Toc11087"/>
      <w:bookmarkStart w:id="435" w:name="_Toc12811"/>
      <w:bookmarkStart w:id="436" w:name="_Toc465237175"/>
      <w:bookmarkStart w:id="437" w:name="_Toc13341"/>
      <w:bookmarkStart w:id="438" w:name="_Toc724"/>
      <w:bookmarkStart w:id="439" w:name="_Toc6886"/>
      <w:bookmarkStart w:id="440" w:name="_Toc14572"/>
      <w:bookmarkStart w:id="441" w:name="_Toc517528646"/>
      <w:bookmarkStart w:id="442" w:name="_Toc13672"/>
      <w:bookmarkStart w:id="443" w:name="_Toc12454"/>
      <w:bookmarkStart w:id="444" w:name="_Toc29416"/>
      <w:bookmarkStart w:id="445" w:name="_Toc3865"/>
      <w:bookmarkStart w:id="446" w:name="_Toc517531986"/>
      <w:bookmarkStart w:id="447" w:name="_Toc26672"/>
      <w:bookmarkStart w:id="448" w:name="_Toc31870"/>
      <w:bookmarkStart w:id="449" w:name="_Toc517530710"/>
      <w:bookmarkStart w:id="450" w:name="_Toc16776"/>
      <w:bookmarkStart w:id="451" w:name="_Toc9247"/>
      <w:bookmarkStart w:id="452" w:name="_Toc18139"/>
      <w:bookmarkStart w:id="453" w:name="_Toc4600"/>
      <w:bookmarkStart w:id="454" w:name="_Toc1167"/>
      <w:bookmarkStart w:id="455" w:name="_Toc13509"/>
      <w:bookmarkStart w:id="456" w:name="_Toc465237077"/>
      <w:r>
        <w:rPr>
          <w:rFonts w:ascii="宋体" w:hAnsi="宋体" w:eastAsia="宋体" w:cs="华文仿宋"/>
          <w:b/>
          <w:bCs/>
          <w:color w:val="auto"/>
          <w:sz w:val="28"/>
          <w:szCs w:val="28"/>
        </w:rPr>
        <w:t>1.5</w:t>
      </w:r>
      <w:r>
        <w:rPr>
          <w:rFonts w:ascii="宋体" w:hAnsi="宋体" w:cs="华文仿宋"/>
          <w:b/>
          <w:bCs/>
          <w:color w:val="auto"/>
          <w:sz w:val="28"/>
          <w:szCs w:val="28"/>
        </w:rPr>
        <w:t>合同文件的优先次序</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组成合同的各个文件应该认为是一个整体，彼此相互解释，相互补充。如果出现含糊不清或相互矛盾的情况，由监理人做出解释和调整。在这种情况下，除非合同另有规定，组成合同的文件的优先顺序应依次如下：</w:t>
      </w:r>
    </w:p>
    <w:p>
      <w:pPr>
        <w:numPr>
          <w:ilvl w:val="0"/>
          <w:numId w:val="11"/>
        </w:numPr>
        <w:spacing w:line="360" w:lineRule="auto"/>
        <w:ind w:firstLine="420"/>
        <w:jc w:val="left"/>
        <w:rPr>
          <w:rFonts w:ascii="宋体" w:hAnsi="宋体" w:eastAsia="宋体" w:cs="华文仿宋"/>
          <w:color w:val="auto"/>
          <w:szCs w:val="21"/>
        </w:rPr>
      </w:pPr>
      <w:r>
        <w:rPr>
          <w:rFonts w:ascii="宋体" w:hAnsi="宋体" w:cs="华文仿宋"/>
          <w:color w:val="auto"/>
          <w:szCs w:val="21"/>
        </w:rPr>
        <w:t>合同协议书及双方签认的补充协议；</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中标通知书；</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投标函及其附件（含承包人在评标期间和合同谈判过程中递交和确认并经发包人同意的对有关问题的补充资料和澄清文件等，如果有）；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招标文件中的投标报价规定；</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专用合同条款（含招标文件补遗书中与此有关的部分，如果有）；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(f)</w:t>
      </w:r>
      <w:r>
        <w:rPr>
          <w:rFonts w:ascii="宋体" w:hAnsi="宋体" w:cs="华文仿宋"/>
          <w:color w:val="auto"/>
          <w:szCs w:val="21"/>
        </w:rPr>
        <w:t>通用合同条款；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(g)</w:t>
      </w:r>
      <w:r>
        <w:rPr>
          <w:rFonts w:ascii="宋体" w:hAnsi="宋体" w:cs="华文仿宋"/>
          <w:color w:val="auto"/>
          <w:szCs w:val="21"/>
        </w:rPr>
        <w:t>技术标准和规范（含招标文件补遗书中与此有关的部分，如果有）；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(h)</w:t>
      </w:r>
      <w:r>
        <w:rPr>
          <w:rFonts w:ascii="宋体" w:hAnsi="宋体" w:cs="华文仿宋"/>
          <w:color w:val="auto"/>
          <w:szCs w:val="21"/>
        </w:rPr>
        <w:t>图纸（含招标文件补遗书中与此有关的部分，如果有）；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(i)</w:t>
      </w:r>
      <w:r>
        <w:rPr>
          <w:rFonts w:ascii="宋体" w:hAnsi="宋体" w:cs="华文仿宋"/>
          <w:color w:val="auto"/>
          <w:szCs w:val="21"/>
        </w:rPr>
        <w:t>标价的工程量清单；</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(j)</w:t>
      </w:r>
      <w:r>
        <w:rPr>
          <w:rFonts w:ascii="宋体" w:hAnsi="宋体" w:cs="华文仿宋"/>
          <w:color w:val="auto"/>
          <w:szCs w:val="21"/>
        </w:rPr>
        <w:t>工程质量保修书；</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(k)</w:t>
      </w:r>
      <w:r>
        <w:rPr>
          <w:rFonts w:ascii="宋体" w:hAnsi="宋体" w:cs="华文仿宋"/>
          <w:color w:val="auto"/>
          <w:szCs w:val="21"/>
        </w:rPr>
        <w:t>双方认为应作为合同构成的其它文件。</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上述各项合同文件包括合同当事人就该项合同文件所作出的补充和修改，属于同一类内容的文件，应该以最新签署的为准。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在合同订立及履行过程中形成的与合同有关的文件均构成合同文件组成部分，并根据其性质确定优先解释顺序。</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57" w:name="_Toc23223"/>
      <w:bookmarkStart w:id="458" w:name="_Toc517531987"/>
      <w:bookmarkStart w:id="459" w:name="_Toc5037"/>
      <w:bookmarkStart w:id="460" w:name="_Toc4282"/>
      <w:bookmarkStart w:id="461" w:name="_Toc517528647"/>
      <w:bookmarkStart w:id="462" w:name="_Toc32379"/>
      <w:bookmarkStart w:id="463" w:name="_Toc21034"/>
      <w:bookmarkStart w:id="464" w:name="_Toc3221"/>
      <w:bookmarkStart w:id="465" w:name="_Toc26714"/>
      <w:bookmarkStart w:id="466" w:name="_Toc8718"/>
      <w:bookmarkStart w:id="467" w:name="_Toc26706"/>
      <w:bookmarkStart w:id="468" w:name="_Toc19731"/>
      <w:bookmarkStart w:id="469" w:name="_Toc26286"/>
      <w:bookmarkStart w:id="470" w:name="_Toc15994"/>
      <w:bookmarkStart w:id="471" w:name="_Toc9866"/>
      <w:bookmarkStart w:id="472" w:name="_Toc6309"/>
      <w:bookmarkStart w:id="473" w:name="_Toc20978"/>
      <w:bookmarkStart w:id="474" w:name="_Toc30783"/>
      <w:bookmarkStart w:id="475" w:name="_Toc465237176"/>
      <w:bookmarkStart w:id="476" w:name="_Toc517530711"/>
      <w:bookmarkStart w:id="477" w:name="_Toc7678"/>
      <w:bookmarkStart w:id="478" w:name="_Toc465237078"/>
      <w:bookmarkStart w:id="479" w:name="_Toc28206"/>
      <w:r>
        <w:rPr>
          <w:rFonts w:ascii="宋体" w:hAnsi="宋体" w:eastAsia="宋体" w:cs="华文仿宋"/>
          <w:b/>
          <w:bCs/>
          <w:color w:val="auto"/>
          <w:sz w:val="28"/>
          <w:szCs w:val="28"/>
        </w:rPr>
        <w:t>1.6</w:t>
      </w:r>
      <w:r>
        <w:rPr>
          <w:rFonts w:ascii="宋体" w:hAnsi="宋体" w:cs="华文仿宋"/>
          <w:b/>
          <w:bCs/>
          <w:color w:val="auto"/>
          <w:sz w:val="28"/>
          <w:szCs w:val="28"/>
        </w:rPr>
        <w:t>图纸和承包人文件</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Start w:id="480" w:name="_Toc337558732"/>
      <w:bookmarkEnd w:id="480"/>
      <w:bookmarkStart w:id="481" w:name="_Toc296346533"/>
      <w:bookmarkEnd w:id="481"/>
      <w:bookmarkStart w:id="482" w:name="_Toc296503032"/>
      <w:bookmarkEnd w:id="482"/>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83" w:name="_Toc11504"/>
      <w:bookmarkStart w:id="484" w:name="_Toc517531988"/>
      <w:bookmarkStart w:id="485" w:name="_Toc2636"/>
      <w:bookmarkStart w:id="486" w:name="_Toc6992"/>
      <w:bookmarkStart w:id="487" w:name="_Toc13028"/>
      <w:bookmarkStart w:id="488" w:name="_Toc14983"/>
      <w:bookmarkStart w:id="489" w:name="_Toc368"/>
      <w:bookmarkStart w:id="490" w:name="_Toc14543"/>
      <w:bookmarkStart w:id="491" w:name="_Toc22954"/>
      <w:bookmarkStart w:id="492" w:name="_Toc15570"/>
      <w:bookmarkStart w:id="493" w:name="_Toc15776"/>
      <w:bookmarkStart w:id="494" w:name="_Toc4658"/>
      <w:bookmarkStart w:id="495" w:name="_Toc325"/>
      <w:bookmarkStart w:id="496" w:name="_Toc27372"/>
      <w:bookmarkStart w:id="497" w:name="_Toc28018"/>
      <w:bookmarkStart w:id="498" w:name="_Toc22323"/>
      <w:bookmarkStart w:id="499" w:name="_Toc17024"/>
      <w:bookmarkStart w:id="500" w:name="_Toc24999"/>
      <w:bookmarkStart w:id="501" w:name="_Toc4515"/>
      <w:bookmarkStart w:id="502" w:name="_Toc517530712"/>
      <w:r>
        <w:rPr>
          <w:rFonts w:ascii="宋体" w:hAnsi="宋体" w:eastAsia="宋体" w:cs="华文仿宋"/>
          <w:b/>
          <w:bCs/>
          <w:color w:val="auto"/>
          <w:sz w:val="24"/>
          <w:szCs w:val="24"/>
        </w:rPr>
        <w:t>1.6.1</w:t>
      </w:r>
      <w:r>
        <w:rPr>
          <w:rFonts w:ascii="宋体" w:hAnsi="宋体" w:cs="华文仿宋"/>
          <w:b/>
          <w:bCs/>
          <w:color w:val="auto"/>
          <w:sz w:val="24"/>
          <w:szCs w:val="24"/>
        </w:rPr>
        <w:t>图纸和技术资料的提供</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监理人应在发包人发出中标通知书之后</w:t>
      </w:r>
      <w:r>
        <w:rPr>
          <w:rFonts w:ascii="宋体" w:hAnsi="宋体" w:eastAsia="宋体" w:cs="华文仿宋"/>
          <w:color w:val="auto"/>
          <w:szCs w:val="21"/>
          <w:u w:val="single"/>
        </w:rPr>
        <w:t>42</w:t>
      </w:r>
      <w:r>
        <w:rPr>
          <w:rFonts w:ascii="宋体" w:hAnsi="宋体" w:cs="华文仿宋"/>
          <w:color w:val="auto"/>
          <w:szCs w:val="21"/>
        </w:rPr>
        <w:t>天内，向承包人免费提供由发包人或其委托的设计单位设计的全部图纸和其他技术资料</w:t>
      </w:r>
      <w:r>
        <w:rPr>
          <w:rFonts w:ascii="宋体" w:hAnsi="宋体" w:eastAsia="宋体" w:cs="华文仿宋"/>
          <w:color w:val="auto"/>
          <w:szCs w:val="21"/>
          <w:u w:val="single"/>
        </w:rPr>
        <w:t>4</w:t>
      </w:r>
      <w:r>
        <w:rPr>
          <w:rFonts w:ascii="宋体" w:hAnsi="宋体" w:cs="华文仿宋"/>
          <w:color w:val="auto"/>
          <w:szCs w:val="21"/>
        </w:rPr>
        <w:t>份，并组织向承包人进行技术交底和图纸会审。承包人需要更多份数时，应自费复制。未经监理人同意，承包人不得将上述图纸和其他技术资料提供给与本工程施工无关的第三方。</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03" w:name="_Toc3334"/>
      <w:bookmarkStart w:id="504" w:name="_Toc27167"/>
      <w:bookmarkStart w:id="505" w:name="_Toc18277"/>
      <w:bookmarkStart w:id="506" w:name="_Toc2461"/>
      <w:bookmarkStart w:id="507" w:name="_Toc6274"/>
      <w:bookmarkStart w:id="508" w:name="_Toc17779"/>
      <w:bookmarkStart w:id="509" w:name="_Toc517530713"/>
      <w:bookmarkStart w:id="510" w:name="_Toc1408"/>
      <w:bookmarkStart w:id="511" w:name="_Toc17535"/>
      <w:bookmarkStart w:id="512" w:name="_Toc19428"/>
      <w:bookmarkStart w:id="513" w:name="_Toc9012"/>
      <w:bookmarkStart w:id="514" w:name="_Toc2595"/>
      <w:bookmarkStart w:id="515" w:name="_Toc16137"/>
      <w:bookmarkStart w:id="516" w:name="_Toc7918"/>
      <w:bookmarkStart w:id="517" w:name="_Toc21548"/>
      <w:bookmarkStart w:id="518" w:name="_Toc28409"/>
      <w:bookmarkStart w:id="519" w:name="_Toc517531989"/>
      <w:bookmarkStart w:id="520" w:name="_Toc24857"/>
      <w:bookmarkStart w:id="521" w:name="_Toc17824"/>
      <w:r>
        <w:rPr>
          <w:rFonts w:ascii="宋体" w:hAnsi="宋体" w:eastAsia="宋体" w:cs="华文仿宋"/>
          <w:b/>
          <w:bCs/>
          <w:color w:val="auto"/>
          <w:sz w:val="24"/>
          <w:szCs w:val="24"/>
        </w:rPr>
        <w:t>1.6.2</w:t>
      </w:r>
      <w:r>
        <w:rPr>
          <w:rFonts w:ascii="宋体" w:hAnsi="宋体" w:cs="华文仿宋"/>
          <w:b/>
          <w:bCs/>
          <w:color w:val="auto"/>
          <w:sz w:val="24"/>
          <w:szCs w:val="24"/>
        </w:rPr>
        <w:t>临时工程图纸</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当监理人认为需要时，承包人应提交临时工程的设计图纸</w:t>
      </w:r>
      <w:r>
        <w:rPr>
          <w:rFonts w:ascii="宋体" w:hAnsi="宋体" w:eastAsia="宋体" w:cs="华文仿宋"/>
          <w:color w:val="auto"/>
          <w:szCs w:val="21"/>
          <w:u w:val="single"/>
        </w:rPr>
        <w:t>4</w:t>
      </w:r>
      <w:r>
        <w:rPr>
          <w:rFonts w:ascii="宋体" w:hAnsi="宋体" w:cs="华文仿宋"/>
          <w:color w:val="auto"/>
          <w:szCs w:val="21"/>
        </w:rPr>
        <w:t>份，供监理人批准，必要时承包人应就其临时工程的设计征得有关第三方的批准。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22" w:name="_Toc517530714"/>
      <w:bookmarkStart w:id="523" w:name="_Toc30508"/>
      <w:bookmarkStart w:id="524" w:name="_Toc28046"/>
      <w:bookmarkStart w:id="525" w:name="_Toc8690"/>
      <w:bookmarkStart w:id="526" w:name="_Toc6251"/>
      <w:bookmarkStart w:id="527" w:name="_Toc2851"/>
      <w:bookmarkStart w:id="528" w:name="_Toc13589"/>
      <w:bookmarkStart w:id="529" w:name="_Toc24016"/>
      <w:bookmarkStart w:id="530" w:name="_Toc4781"/>
      <w:bookmarkStart w:id="531" w:name="_Toc19993"/>
      <w:bookmarkStart w:id="532" w:name="_Toc517531990"/>
      <w:bookmarkStart w:id="533" w:name="_Toc23926"/>
      <w:bookmarkStart w:id="534" w:name="_Toc32461"/>
      <w:bookmarkStart w:id="535" w:name="_Toc8802"/>
      <w:bookmarkStart w:id="536" w:name="_Toc26636"/>
      <w:bookmarkStart w:id="537" w:name="_Toc5522"/>
      <w:bookmarkStart w:id="538" w:name="_Toc962"/>
      <w:bookmarkStart w:id="539" w:name="_Toc27497"/>
      <w:bookmarkStart w:id="540" w:name="_Toc22852"/>
      <w:r>
        <w:rPr>
          <w:rFonts w:ascii="宋体" w:hAnsi="宋体" w:eastAsia="宋体" w:cs="华文仿宋"/>
          <w:b/>
          <w:bCs/>
          <w:color w:val="auto"/>
          <w:sz w:val="24"/>
          <w:szCs w:val="24"/>
        </w:rPr>
        <w:t>1.6.3</w:t>
      </w:r>
      <w:r>
        <w:rPr>
          <w:rFonts w:ascii="宋体" w:hAnsi="宋体" w:cs="华文仿宋"/>
          <w:b/>
          <w:bCs/>
          <w:color w:val="auto"/>
          <w:sz w:val="24"/>
          <w:szCs w:val="24"/>
        </w:rPr>
        <w:t>补充图纸</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监理人有权根据合同约定随时向承包人发出为满足本合同工程的实施和修复所需的补充图纸和指令，承包人应予执行，并受其约束。</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41" w:name="_Toc12896"/>
      <w:bookmarkStart w:id="542" w:name="_Toc22754"/>
      <w:bookmarkStart w:id="543" w:name="_Toc261"/>
      <w:bookmarkStart w:id="544" w:name="_Toc1830"/>
      <w:bookmarkStart w:id="545" w:name="_Toc13590"/>
      <w:bookmarkStart w:id="546" w:name="_Toc30330"/>
      <w:bookmarkStart w:id="547" w:name="_Toc26226"/>
      <w:bookmarkStart w:id="548" w:name="_Toc16094"/>
      <w:bookmarkStart w:id="549" w:name="_Toc17623"/>
      <w:bookmarkStart w:id="550" w:name="_Toc14981"/>
      <w:bookmarkStart w:id="551" w:name="_Toc517530715"/>
      <w:bookmarkStart w:id="552" w:name="_Toc26396"/>
      <w:bookmarkStart w:id="553" w:name="_Toc20745"/>
      <w:bookmarkStart w:id="554" w:name="_Toc16093"/>
      <w:bookmarkStart w:id="555" w:name="_Toc29829"/>
      <w:bookmarkStart w:id="556" w:name="_Toc3736"/>
      <w:bookmarkStart w:id="557" w:name="_Toc517531991"/>
      <w:bookmarkStart w:id="558" w:name="_Toc1205"/>
      <w:bookmarkStart w:id="559" w:name="_Toc3535"/>
      <w:bookmarkStart w:id="560" w:name="_Toc29685"/>
      <w:r>
        <w:rPr>
          <w:rFonts w:ascii="宋体" w:hAnsi="宋体" w:eastAsia="宋体" w:cs="华文仿宋"/>
          <w:b/>
          <w:bCs/>
          <w:color w:val="auto"/>
          <w:sz w:val="24"/>
          <w:szCs w:val="24"/>
        </w:rPr>
        <w:t>1.6.4</w:t>
      </w:r>
      <w:r>
        <w:rPr>
          <w:rFonts w:ascii="宋体" w:hAnsi="宋体" w:cs="华文仿宋"/>
          <w:b/>
          <w:bCs/>
          <w:color w:val="auto"/>
          <w:sz w:val="24"/>
          <w:szCs w:val="24"/>
        </w:rPr>
        <w:t>提交图纸延误</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施工过程中，监理人如未在合理的时间内提供进一步施工所需要的图纸和指令，且有可能因此打乱工程计划延误工期时，承包人应向监理人发出通知，并抄送发包人，提出所需的图纸或指令、需要的时间和理由，以及说明由于图纸或指令延误可能造成的影响和损失。</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如因监理人未能在合理的时间内向承包人提供所需图纸、发出指令而造成承包人施工进度拖延和费用增加，则监理人在与承包人协商并报发包人批准后，承包人有权获得：</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根据第</w:t>
      </w:r>
      <w:r>
        <w:rPr>
          <w:rFonts w:ascii="宋体" w:hAnsi="宋体" w:eastAsia="宋体" w:cs="华文仿宋"/>
          <w:color w:val="auto"/>
          <w:szCs w:val="21"/>
        </w:rPr>
        <w:t>7.6.1</w:t>
      </w:r>
      <w:r>
        <w:rPr>
          <w:rFonts w:ascii="宋体" w:hAnsi="宋体" w:cs="华文仿宋"/>
          <w:color w:val="auto"/>
          <w:szCs w:val="21"/>
        </w:rPr>
        <w:t>、</w:t>
      </w:r>
      <w:r>
        <w:rPr>
          <w:rFonts w:ascii="宋体" w:hAnsi="宋体" w:eastAsia="宋体" w:cs="华文仿宋"/>
          <w:color w:val="auto"/>
          <w:szCs w:val="21"/>
        </w:rPr>
        <w:t>7.6.2</w:t>
      </w:r>
      <w:r>
        <w:rPr>
          <w:rFonts w:ascii="宋体" w:hAnsi="宋体" w:cs="华文仿宋"/>
          <w:color w:val="auto"/>
          <w:szCs w:val="21"/>
        </w:rPr>
        <w:t>、</w:t>
      </w:r>
      <w:r>
        <w:rPr>
          <w:rFonts w:ascii="宋体" w:hAnsi="宋体" w:eastAsia="宋体" w:cs="华文仿宋"/>
          <w:color w:val="auto"/>
          <w:szCs w:val="21"/>
        </w:rPr>
        <w:t>7.6.3</w:t>
      </w:r>
      <w:r>
        <w:rPr>
          <w:rFonts w:ascii="宋体" w:hAnsi="宋体" w:cs="华文仿宋"/>
          <w:color w:val="auto"/>
          <w:szCs w:val="21"/>
        </w:rPr>
        <w:t>条规定承包人应得的延长工期；</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应该加到合同价格上的费用款额；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并通知承包人，抄送发包人。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如果监理人未能在合理时间内提供图纸或发出指令，是因为承包人未能按照合同规定提交应该提交的图纸、技术规范或其他技术资料所致，则监理人在根据前款规定作出确定时应考虑上述因素。</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61" w:name="_Toc18099"/>
      <w:bookmarkStart w:id="562" w:name="_Toc12691"/>
      <w:bookmarkStart w:id="563" w:name="_Toc19363"/>
      <w:bookmarkStart w:id="564" w:name="_Toc640"/>
      <w:bookmarkStart w:id="565" w:name="_Toc22625"/>
      <w:bookmarkStart w:id="566" w:name="_Toc8318"/>
      <w:bookmarkStart w:id="567" w:name="_Toc878"/>
      <w:bookmarkStart w:id="568" w:name="_Toc135"/>
      <w:bookmarkStart w:id="569" w:name="_Toc18610"/>
      <w:bookmarkStart w:id="570" w:name="_Toc2182"/>
      <w:bookmarkStart w:id="571" w:name="_Toc24595"/>
      <w:bookmarkStart w:id="572" w:name="_Toc9192"/>
      <w:bookmarkStart w:id="573" w:name="_Toc1651"/>
      <w:bookmarkStart w:id="574" w:name="_Toc23120"/>
      <w:bookmarkStart w:id="575" w:name="_Toc6350"/>
      <w:bookmarkStart w:id="576" w:name="_Toc32458"/>
      <w:bookmarkStart w:id="577" w:name="_Toc517530716"/>
      <w:bookmarkStart w:id="578" w:name="_Toc212"/>
      <w:bookmarkStart w:id="579" w:name="_Toc31716"/>
      <w:bookmarkStart w:id="580" w:name="_Toc517531992"/>
      <w:r>
        <w:rPr>
          <w:rFonts w:ascii="宋体" w:hAnsi="宋体" w:eastAsia="宋体" w:cs="华文仿宋"/>
          <w:b/>
          <w:bCs/>
          <w:color w:val="auto"/>
          <w:sz w:val="24"/>
          <w:szCs w:val="24"/>
        </w:rPr>
        <w:t>1.6.5</w:t>
      </w:r>
      <w:r>
        <w:rPr>
          <w:rFonts w:ascii="宋体" w:hAnsi="宋体" w:cs="华文仿宋"/>
          <w:b/>
          <w:bCs/>
          <w:color w:val="auto"/>
          <w:sz w:val="24"/>
          <w:szCs w:val="24"/>
        </w:rPr>
        <w:t>图纸和承包人文件的保管</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除专用合同条款另有约定外，承包人应在施工现场另外保存一套完整的图纸和承包人文件，供发包人、监理人及有关人员进行工程检查时使用。</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81" w:name="_Toc517528648"/>
      <w:bookmarkStart w:id="582" w:name="_Toc19088"/>
      <w:bookmarkStart w:id="583" w:name="_Toc29745"/>
      <w:bookmarkStart w:id="584" w:name="_Toc29892"/>
      <w:bookmarkStart w:id="585" w:name="_Toc30644"/>
      <w:bookmarkStart w:id="586" w:name="_Toc517531993"/>
      <w:bookmarkStart w:id="587" w:name="_Toc3188"/>
      <w:bookmarkStart w:id="588" w:name="_Toc2254"/>
      <w:bookmarkStart w:id="589" w:name="_Toc14199"/>
      <w:bookmarkStart w:id="590" w:name="_Toc24772"/>
      <w:bookmarkStart w:id="591" w:name="_Toc28403"/>
      <w:bookmarkStart w:id="592" w:name="_Toc16380"/>
      <w:bookmarkStart w:id="593" w:name="_Toc23368"/>
      <w:bookmarkStart w:id="594" w:name="_Toc13451"/>
      <w:bookmarkStart w:id="595" w:name="_Toc1889"/>
      <w:bookmarkStart w:id="596" w:name="_Toc465237079"/>
      <w:bookmarkStart w:id="597" w:name="_Toc3019"/>
      <w:bookmarkStart w:id="598" w:name="_Toc30779"/>
      <w:bookmarkStart w:id="599" w:name="_Toc18501"/>
      <w:bookmarkStart w:id="600" w:name="_Toc517530717"/>
      <w:bookmarkStart w:id="601" w:name="_Toc10890"/>
      <w:bookmarkStart w:id="602" w:name="_Toc465237177"/>
      <w:bookmarkStart w:id="603" w:name="_Toc23720"/>
      <w:r>
        <w:rPr>
          <w:rFonts w:ascii="宋体" w:hAnsi="宋体" w:eastAsia="宋体" w:cs="华文仿宋"/>
          <w:b/>
          <w:bCs/>
          <w:color w:val="auto"/>
          <w:sz w:val="28"/>
          <w:szCs w:val="28"/>
        </w:rPr>
        <w:t>1.7</w:t>
      </w:r>
      <w:r>
        <w:rPr>
          <w:rFonts w:ascii="宋体" w:hAnsi="宋体" w:cs="华文仿宋"/>
          <w:b/>
          <w:bCs/>
          <w:color w:val="auto"/>
          <w:sz w:val="28"/>
          <w:szCs w:val="28"/>
        </w:rPr>
        <w:t>联络</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604" w:name="_Toc517530718"/>
      <w:bookmarkStart w:id="605" w:name="_Toc20847"/>
      <w:bookmarkStart w:id="606" w:name="_Toc29229"/>
      <w:bookmarkStart w:id="607" w:name="_Toc10397"/>
      <w:bookmarkStart w:id="608" w:name="_Toc10926"/>
      <w:bookmarkStart w:id="609" w:name="_Toc22719"/>
      <w:bookmarkStart w:id="610" w:name="_Toc30505"/>
      <w:bookmarkStart w:id="611" w:name="_Toc10827"/>
      <w:bookmarkStart w:id="612" w:name="_Toc15900"/>
      <w:bookmarkStart w:id="613" w:name="_Toc18265"/>
      <w:bookmarkStart w:id="614" w:name="_Toc8077"/>
      <w:bookmarkStart w:id="615" w:name="_Toc237"/>
      <w:bookmarkStart w:id="616" w:name="_Toc2341"/>
      <w:bookmarkStart w:id="617" w:name="_Toc13349"/>
      <w:bookmarkStart w:id="618" w:name="_Toc15163"/>
      <w:bookmarkStart w:id="619" w:name="_Toc10390"/>
      <w:bookmarkStart w:id="620" w:name="_Toc31479"/>
      <w:bookmarkStart w:id="621" w:name="_Toc9735"/>
      <w:bookmarkStart w:id="622" w:name="_Toc517531994"/>
      <w:bookmarkStart w:id="623" w:name="_Toc29061"/>
      <w:r>
        <w:rPr>
          <w:rFonts w:ascii="宋体" w:hAnsi="宋体" w:eastAsia="宋体" w:cs="华文仿宋"/>
          <w:b/>
          <w:bCs/>
          <w:color w:val="auto"/>
          <w:sz w:val="24"/>
          <w:szCs w:val="24"/>
        </w:rPr>
        <w:t>1.7.1</w:t>
      </w:r>
      <w:r>
        <w:rPr>
          <w:rFonts w:ascii="宋体" w:hAnsi="宋体" w:cs="华文仿宋"/>
          <w:b/>
          <w:bCs/>
          <w:color w:val="auto"/>
          <w:sz w:val="24"/>
          <w:szCs w:val="24"/>
        </w:rPr>
        <w:t>书面通知</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除另有规定外，在合同中任何单位或个人作出的意思表示均应采用书面形式且不应被无理扣压或拖延。收件方应在回执上签署姓名和收到时间。</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624" w:name="_Toc30289"/>
      <w:bookmarkStart w:id="625" w:name="_Toc30316"/>
      <w:bookmarkStart w:id="626" w:name="_Toc6222"/>
      <w:bookmarkStart w:id="627" w:name="_Toc15180"/>
      <w:bookmarkStart w:id="628" w:name="_Toc8270"/>
      <w:bookmarkStart w:id="629" w:name="_Toc31095"/>
      <w:bookmarkStart w:id="630" w:name="_Toc27484"/>
      <w:bookmarkStart w:id="631" w:name="_Toc517530719"/>
      <w:bookmarkStart w:id="632" w:name="_Toc4006"/>
      <w:bookmarkStart w:id="633" w:name="_Toc14802"/>
      <w:bookmarkStart w:id="634" w:name="_Toc9931"/>
      <w:bookmarkStart w:id="635" w:name="_Toc13627"/>
      <w:bookmarkStart w:id="636" w:name="_Toc21794"/>
      <w:bookmarkStart w:id="637" w:name="_Toc17534"/>
      <w:bookmarkStart w:id="638" w:name="_Toc517531995"/>
      <w:bookmarkStart w:id="639" w:name="_Toc20597"/>
      <w:bookmarkStart w:id="640" w:name="_Toc21511"/>
      <w:bookmarkStart w:id="641" w:name="_Toc26335"/>
      <w:bookmarkStart w:id="642" w:name="_Toc21703"/>
      <w:bookmarkStart w:id="643" w:name="_Toc24533"/>
      <w:r>
        <w:rPr>
          <w:rFonts w:ascii="宋体" w:hAnsi="宋体" w:eastAsia="宋体" w:cs="华文仿宋"/>
          <w:b/>
          <w:bCs/>
          <w:color w:val="auto"/>
          <w:sz w:val="24"/>
          <w:szCs w:val="24"/>
        </w:rPr>
        <w:t>1.7.2</w:t>
      </w:r>
      <w:r>
        <w:rPr>
          <w:rFonts w:ascii="宋体" w:hAnsi="宋体" w:cs="华文仿宋"/>
          <w:b/>
          <w:bCs/>
          <w:color w:val="auto"/>
          <w:sz w:val="24"/>
          <w:szCs w:val="24"/>
        </w:rPr>
        <w:t>通知的送达</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根据本合同条款由发包人或监理人发给承包人的一切证书、通知或指令均应通过书面形式发送到专用合同条款中指定的项目经理或联系人地址。</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承包人根据本合同条款致发包人或监理人的通知均应通过书面形式送达专用合同条款中指定的地址。</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644" w:name="_Toc25062"/>
      <w:bookmarkStart w:id="645" w:name="_Toc2499"/>
      <w:bookmarkStart w:id="646" w:name="_Toc18533"/>
      <w:bookmarkStart w:id="647" w:name="_Toc7470"/>
      <w:bookmarkStart w:id="648" w:name="_Toc8575"/>
      <w:bookmarkStart w:id="649" w:name="_Toc16190"/>
      <w:bookmarkStart w:id="650" w:name="_Toc9894"/>
      <w:bookmarkStart w:id="651" w:name="_Toc5274"/>
      <w:bookmarkStart w:id="652" w:name="_Toc517531996"/>
      <w:bookmarkStart w:id="653" w:name="_Toc2080"/>
      <w:bookmarkStart w:id="654" w:name="_Toc13029"/>
      <w:bookmarkStart w:id="655" w:name="_Toc14989"/>
      <w:bookmarkStart w:id="656" w:name="_Toc26603"/>
      <w:bookmarkStart w:id="657" w:name="_Toc18701"/>
      <w:bookmarkStart w:id="658" w:name="_Toc19632"/>
      <w:bookmarkStart w:id="659" w:name="_Toc20960"/>
      <w:bookmarkStart w:id="660" w:name="_Toc4034"/>
      <w:bookmarkStart w:id="661" w:name="_Toc28591"/>
      <w:bookmarkStart w:id="662" w:name="_Toc517530720"/>
      <w:bookmarkStart w:id="663" w:name="_Toc16262"/>
      <w:r>
        <w:rPr>
          <w:rFonts w:ascii="宋体" w:hAnsi="宋体" w:eastAsia="宋体" w:cs="华文仿宋"/>
          <w:b/>
          <w:bCs/>
          <w:color w:val="auto"/>
          <w:sz w:val="24"/>
          <w:szCs w:val="24"/>
        </w:rPr>
        <w:t>1.7.3</w:t>
      </w:r>
      <w:r>
        <w:rPr>
          <w:rFonts w:ascii="宋体" w:hAnsi="宋体" w:cs="华文仿宋"/>
          <w:b/>
          <w:bCs/>
          <w:color w:val="auto"/>
          <w:sz w:val="24"/>
          <w:szCs w:val="24"/>
        </w:rPr>
        <w:t>送达地址的变更</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合同双方提前以书面形式通知对方可更改联系地址，并抄送监理人。监理人事先通知合同双方，也可更改其地址。</w:t>
      </w:r>
      <w:bookmarkStart w:id="664" w:name="_Toc337558733"/>
      <w:bookmarkEnd w:id="664"/>
      <w:bookmarkStart w:id="665" w:name="_Toc296503033"/>
      <w:bookmarkEnd w:id="665"/>
      <w:bookmarkStart w:id="666" w:name="_Toc296346534"/>
      <w:bookmarkEnd w:id="666"/>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667" w:name="_Toc17217"/>
      <w:bookmarkStart w:id="668" w:name="_Toc16972"/>
      <w:bookmarkStart w:id="669" w:name="_Toc22274"/>
      <w:bookmarkStart w:id="670" w:name="_Toc27893"/>
      <w:bookmarkStart w:id="671" w:name="_Toc3381"/>
      <w:bookmarkStart w:id="672" w:name="_Toc6541"/>
      <w:bookmarkStart w:id="673" w:name="_Toc517531997"/>
      <w:bookmarkStart w:id="674" w:name="_Toc17724"/>
      <w:bookmarkStart w:id="675" w:name="_Toc23209"/>
      <w:bookmarkStart w:id="676" w:name="_Toc465237178"/>
      <w:bookmarkStart w:id="677" w:name="_Toc23290"/>
      <w:bookmarkStart w:id="678" w:name="_Toc29392"/>
      <w:bookmarkStart w:id="679" w:name="_Toc27061"/>
      <w:bookmarkStart w:id="680" w:name="_Toc465237080"/>
      <w:bookmarkStart w:id="681" w:name="_Toc14254"/>
      <w:bookmarkStart w:id="682" w:name="_Toc8231"/>
      <w:bookmarkStart w:id="683" w:name="_Toc517528649"/>
      <w:bookmarkStart w:id="684" w:name="_Toc517530721"/>
      <w:bookmarkStart w:id="685" w:name="_Toc1088"/>
      <w:bookmarkStart w:id="686" w:name="_Toc10143"/>
      <w:bookmarkStart w:id="687" w:name="_Toc17566"/>
      <w:bookmarkStart w:id="688" w:name="_Toc8050"/>
      <w:bookmarkStart w:id="689" w:name="_Toc7482"/>
      <w:r>
        <w:rPr>
          <w:rFonts w:ascii="宋体" w:hAnsi="宋体" w:eastAsia="宋体" w:cs="华文仿宋"/>
          <w:b/>
          <w:bCs/>
          <w:color w:val="auto"/>
          <w:sz w:val="28"/>
          <w:szCs w:val="28"/>
        </w:rPr>
        <w:t>1.8</w:t>
      </w:r>
      <w:r>
        <w:rPr>
          <w:rFonts w:ascii="宋体" w:hAnsi="宋体" w:cs="华文仿宋"/>
          <w:b/>
          <w:bCs/>
          <w:color w:val="auto"/>
          <w:sz w:val="28"/>
          <w:szCs w:val="28"/>
        </w:rPr>
        <w:t>严禁贿赂</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反商业贿赂：如果承包人在合同实施过程中有商业贿赂或欺诈行为，用行贿、送礼或其他不正当手段企图获得或已经获得额外费用，如经查实将追究有关单位和人员的法律责任，因承包人的上述行为造成工程损害、发包人经济损失等，承包人应承担一切责任，并予赔偿。情节严重者，发包人有权终止承包人在本合同项下的承包，本合同条款第</w:t>
      </w:r>
      <w:r>
        <w:rPr>
          <w:rFonts w:ascii="宋体" w:hAnsi="宋体" w:eastAsia="宋体" w:cs="华文仿宋"/>
          <w:color w:val="auto"/>
          <w:szCs w:val="21"/>
        </w:rPr>
        <w:t>16.2</w:t>
      </w:r>
      <w:r>
        <w:rPr>
          <w:rFonts w:ascii="宋体" w:hAnsi="宋体" w:cs="华文仿宋"/>
          <w:color w:val="auto"/>
          <w:szCs w:val="21"/>
        </w:rPr>
        <w:t>条的各项规定将随之适用。本条款中</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）“商业贿赂行为”是指在合同履行期间，通过提供、给予、接受或索要任何财产或财产性利益或其他法律禁止的行为从而影响公职人员工作的行为；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）“欺诈行为”是指通过提供虚假证明材料影响合同履行从而损害发包人、业主或第三人利益的行为。</w:t>
      </w:r>
      <w:bookmarkStart w:id="690" w:name="_Toc296346536"/>
      <w:bookmarkEnd w:id="690"/>
      <w:bookmarkStart w:id="691" w:name="_Toc337558734"/>
      <w:bookmarkEnd w:id="691"/>
      <w:bookmarkStart w:id="692" w:name="_Toc296503035"/>
      <w:bookmarkEnd w:id="692"/>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693" w:name="_Toc465237179"/>
      <w:bookmarkStart w:id="694" w:name="_Toc465237081"/>
      <w:bookmarkStart w:id="695" w:name="_Toc31902"/>
      <w:bookmarkStart w:id="696" w:name="_Toc22037"/>
      <w:bookmarkStart w:id="697" w:name="_Toc29346"/>
      <w:bookmarkStart w:id="698" w:name="_Toc32098"/>
      <w:bookmarkStart w:id="699" w:name="_Toc28920"/>
      <w:bookmarkStart w:id="700" w:name="_Toc4120"/>
      <w:bookmarkStart w:id="701" w:name="_Toc3776"/>
      <w:bookmarkStart w:id="702" w:name="_Toc2614"/>
      <w:bookmarkStart w:id="703" w:name="_Toc18202"/>
      <w:bookmarkStart w:id="704" w:name="_Toc25"/>
      <w:bookmarkStart w:id="705" w:name="_Toc1260"/>
      <w:bookmarkStart w:id="706" w:name="_Toc5007"/>
      <w:bookmarkStart w:id="707" w:name="_Toc517531998"/>
      <w:bookmarkStart w:id="708" w:name="_Toc3872"/>
      <w:bookmarkStart w:id="709" w:name="_Toc517530722"/>
      <w:bookmarkStart w:id="710" w:name="_Toc11120"/>
      <w:bookmarkStart w:id="711" w:name="_Toc23875"/>
      <w:bookmarkStart w:id="712" w:name="_Toc30545"/>
      <w:bookmarkStart w:id="713" w:name="_Toc3598"/>
      <w:bookmarkStart w:id="714" w:name="_Toc517528650"/>
      <w:bookmarkStart w:id="715" w:name="_Toc26450"/>
      <w:r>
        <w:rPr>
          <w:rFonts w:ascii="宋体" w:hAnsi="宋体" w:eastAsia="宋体" w:cs="华文仿宋"/>
          <w:b/>
          <w:bCs/>
          <w:color w:val="auto"/>
          <w:sz w:val="28"/>
          <w:szCs w:val="28"/>
        </w:rPr>
        <w:t>1.9</w:t>
      </w:r>
      <w:r>
        <w:rPr>
          <w:rFonts w:ascii="宋体" w:hAnsi="宋体" w:cs="华文仿宋"/>
          <w:b/>
          <w:bCs/>
          <w:color w:val="auto"/>
          <w:sz w:val="28"/>
          <w:szCs w:val="28"/>
        </w:rPr>
        <w:t>文物</w:t>
      </w:r>
      <w:bookmarkEnd w:id="693"/>
      <w:bookmarkEnd w:id="694"/>
      <w:r>
        <w:rPr>
          <w:rFonts w:ascii="宋体" w:hAnsi="宋体" w:cs="华文仿宋"/>
          <w:b/>
          <w:bCs/>
          <w:color w:val="auto"/>
          <w:sz w:val="28"/>
          <w:szCs w:val="28"/>
        </w:rPr>
        <w:t>、化石与遗迹</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发包人、监理人和承包人应按有关政府行政管理部门要求采取妥善的保护措施，由此增加的费用和（或）延误的工期由发包人和承包人协商后确定：</w:t>
      </w:r>
    </w:p>
    <w:p>
      <w:pPr>
        <w:spacing w:line="360" w:lineRule="auto"/>
        <w:ind w:firstLine="420"/>
        <w:jc w:val="left"/>
        <w:rPr>
          <w:rFonts w:ascii="宋体" w:hAnsi="宋体" w:eastAsia="宋体" w:cs="华文仿宋"/>
          <w:color w:val="auto"/>
          <w:kern w:val="0"/>
          <w:szCs w:val="21"/>
        </w:rPr>
      </w:pPr>
      <w:r>
        <w:rPr>
          <w:rFonts w:ascii="宋体" w:hAnsi="宋体" w:eastAsia="宋体" w:cs="华文仿宋"/>
          <w:color w:val="auto"/>
          <w:kern w:val="0"/>
          <w:szCs w:val="21"/>
        </w:rPr>
        <w:t>(a)</w:t>
      </w:r>
      <w:r>
        <w:rPr>
          <w:rFonts w:ascii="宋体" w:hAnsi="宋体" w:cs="华文仿宋"/>
          <w:color w:val="auto"/>
          <w:kern w:val="0"/>
          <w:szCs w:val="21"/>
        </w:rPr>
        <w:t>根据第</w:t>
      </w:r>
      <w:r>
        <w:rPr>
          <w:rFonts w:ascii="宋体" w:hAnsi="宋体" w:eastAsia="宋体" w:cs="华文仿宋"/>
          <w:color w:val="auto"/>
          <w:kern w:val="0"/>
          <w:szCs w:val="21"/>
        </w:rPr>
        <w:t>7.6.1</w:t>
      </w:r>
      <w:r>
        <w:rPr>
          <w:rFonts w:ascii="宋体" w:hAnsi="宋体" w:cs="华文仿宋"/>
          <w:color w:val="auto"/>
          <w:kern w:val="0"/>
          <w:szCs w:val="21"/>
        </w:rPr>
        <w:t>条规定承包人应得的延长工期；以及</w:t>
      </w:r>
    </w:p>
    <w:p>
      <w:pPr>
        <w:spacing w:line="360" w:lineRule="auto"/>
        <w:ind w:firstLine="420"/>
        <w:jc w:val="left"/>
        <w:rPr>
          <w:rFonts w:ascii="宋体" w:hAnsi="宋体" w:eastAsia="宋体" w:cs="华文仿宋"/>
          <w:color w:val="auto"/>
          <w:kern w:val="0"/>
          <w:szCs w:val="21"/>
        </w:rPr>
      </w:pPr>
      <w:r>
        <w:rPr>
          <w:rFonts w:ascii="宋体" w:hAnsi="宋体" w:eastAsia="宋体" w:cs="华文仿宋"/>
          <w:color w:val="auto"/>
          <w:kern w:val="0"/>
          <w:szCs w:val="21"/>
        </w:rPr>
        <w:t>(b)</w:t>
      </w:r>
      <w:r>
        <w:rPr>
          <w:rFonts w:ascii="宋体" w:hAnsi="宋体" w:cs="华文仿宋"/>
          <w:color w:val="auto"/>
          <w:kern w:val="0"/>
          <w:szCs w:val="21"/>
        </w:rPr>
        <w:t>应加到合同价格上的上述损失的费用款额。</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承包人发现文物后不及时报告或隐瞒不报，致使文物丢失或损坏的，应赔偿损失，并承担相应的法律责任。</w:t>
      </w:r>
      <w:bookmarkStart w:id="716" w:name="_Toc337558735"/>
      <w:bookmarkEnd w:id="716"/>
      <w:bookmarkStart w:id="717" w:name="_Toc296503036"/>
      <w:bookmarkEnd w:id="717"/>
      <w:bookmarkStart w:id="718" w:name="_Toc296346537"/>
      <w:bookmarkEnd w:id="718"/>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719" w:name="_Toc23806"/>
      <w:bookmarkStart w:id="720" w:name="_Toc11594"/>
      <w:bookmarkStart w:id="721" w:name="_Toc12018"/>
      <w:bookmarkStart w:id="722" w:name="_Toc18012"/>
      <w:bookmarkStart w:id="723" w:name="_Toc23397"/>
      <w:bookmarkStart w:id="724" w:name="_Toc28286"/>
      <w:bookmarkStart w:id="725" w:name="_Toc6985"/>
      <w:bookmarkStart w:id="726" w:name="_Toc11835"/>
      <w:bookmarkStart w:id="727" w:name="_Toc16600"/>
      <w:bookmarkStart w:id="728" w:name="_Toc24056"/>
      <w:bookmarkStart w:id="729" w:name="_Toc29255"/>
      <w:bookmarkStart w:id="730" w:name="_Toc517530723"/>
      <w:bookmarkStart w:id="731" w:name="_Toc6958"/>
      <w:bookmarkStart w:id="732" w:name="_Toc6835"/>
      <w:bookmarkStart w:id="733" w:name="_Toc1612"/>
      <w:bookmarkStart w:id="734" w:name="_Toc28740"/>
      <w:bookmarkStart w:id="735" w:name="_Toc517531999"/>
      <w:bookmarkStart w:id="736" w:name="_Toc517528651"/>
      <w:bookmarkStart w:id="737" w:name="_Toc7892"/>
      <w:bookmarkStart w:id="738" w:name="_Toc465237180"/>
      <w:bookmarkStart w:id="739" w:name="_Toc465237082"/>
      <w:bookmarkStart w:id="740" w:name="_Toc18023"/>
      <w:bookmarkStart w:id="741" w:name="_Toc32239"/>
      <w:r>
        <w:rPr>
          <w:rFonts w:ascii="宋体" w:hAnsi="宋体" w:eastAsia="宋体" w:cs="华文仿宋"/>
          <w:b/>
          <w:bCs/>
          <w:color w:val="auto"/>
          <w:sz w:val="28"/>
          <w:szCs w:val="28"/>
        </w:rPr>
        <w:t>1.10</w:t>
      </w:r>
      <w:r>
        <w:rPr>
          <w:rFonts w:ascii="宋体" w:hAnsi="宋体" w:cs="华文仿宋"/>
          <w:b/>
          <w:bCs/>
          <w:color w:val="auto"/>
          <w:sz w:val="28"/>
          <w:szCs w:val="28"/>
        </w:rPr>
        <w:t>交通运输</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742" w:name="_Toc32174"/>
      <w:bookmarkStart w:id="743" w:name="_Toc14402"/>
      <w:bookmarkStart w:id="744" w:name="_Toc5240"/>
      <w:bookmarkStart w:id="745" w:name="_Toc377"/>
      <w:bookmarkStart w:id="746" w:name="_Toc20520"/>
      <w:bookmarkStart w:id="747" w:name="_Toc517530724"/>
      <w:bookmarkStart w:id="748" w:name="_Toc16352"/>
      <w:bookmarkStart w:id="749" w:name="_Toc20696"/>
      <w:bookmarkStart w:id="750" w:name="_Toc25833"/>
      <w:bookmarkStart w:id="751" w:name="_Toc10434"/>
      <w:bookmarkStart w:id="752" w:name="_Toc517532000"/>
      <w:bookmarkStart w:id="753" w:name="_Toc25545"/>
      <w:bookmarkStart w:id="754" w:name="_Toc22844"/>
      <w:bookmarkStart w:id="755" w:name="_Toc1449"/>
      <w:bookmarkStart w:id="756" w:name="_Toc17311"/>
      <w:bookmarkStart w:id="757" w:name="_Toc15194"/>
      <w:bookmarkStart w:id="758" w:name="_Toc14708"/>
      <w:bookmarkStart w:id="759" w:name="_Toc2923"/>
      <w:bookmarkStart w:id="760" w:name="_Toc25761"/>
      <w:bookmarkStart w:id="761" w:name="_Toc7511"/>
      <w:r>
        <w:rPr>
          <w:rFonts w:ascii="宋体" w:hAnsi="宋体" w:eastAsia="宋体" w:cs="华文仿宋"/>
          <w:b/>
          <w:bCs/>
          <w:color w:val="auto"/>
          <w:sz w:val="24"/>
          <w:szCs w:val="24"/>
        </w:rPr>
        <w:t>1.10.1</w:t>
      </w:r>
      <w:r>
        <w:rPr>
          <w:rFonts w:ascii="宋体" w:hAnsi="宋体" w:cs="华文仿宋"/>
          <w:b/>
          <w:bCs/>
          <w:color w:val="auto"/>
          <w:sz w:val="24"/>
          <w:szCs w:val="24"/>
        </w:rPr>
        <w:t>避免损坏道路</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审慎选择运输路线和运输车辆，采取前置限制和分配载运重量等一切合理措施，防止承包人或其分包人的运输车辆因超过载重限制或操作不当而损坏所通行的道路或桥梁。大型施工装备和超重件的运输，应事先取得公路管理部门的许可方能启运。如果采用上述措施后，仍超过所通行的桥梁或道路的载重限制而又必须通过时，除合同另有规定外，承包人应与公路管理部门协商，取得同意和协助，并承担所通行路线上的桥梁加固或改建、道路改线或改善及其他特殊许可的费用。发包人不承担上述费用以及由于承包人原因而引起的一切费用或赔偿责任。</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实施和完成本合同工程及缺陷修复工作中的一切施工作业时，应保证发包人免于承担因承包人借用、占用或进出当地道路或其他交通设施所造成的损失，包括但不限于损害赔偿金、违约金、诉讼费、仲裁费、律师费等一切相关费用及损失。</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762" w:name="_Toc18594"/>
      <w:bookmarkStart w:id="763" w:name="_Toc17530"/>
      <w:bookmarkStart w:id="764" w:name="_Toc11694"/>
      <w:bookmarkStart w:id="765" w:name="_Toc28807"/>
      <w:bookmarkStart w:id="766" w:name="_Toc17638"/>
      <w:bookmarkStart w:id="767" w:name="_Toc4683"/>
      <w:bookmarkStart w:id="768" w:name="_Toc517530725"/>
      <w:bookmarkStart w:id="769" w:name="_Toc11674"/>
      <w:bookmarkStart w:id="770" w:name="_Toc16180"/>
      <w:bookmarkStart w:id="771" w:name="_Toc5977"/>
      <w:bookmarkStart w:id="772" w:name="_Toc15420"/>
      <w:bookmarkStart w:id="773" w:name="_Toc7656"/>
      <w:bookmarkStart w:id="774" w:name="_Toc3626"/>
      <w:bookmarkStart w:id="775" w:name="_Toc25517"/>
      <w:bookmarkStart w:id="776" w:name="_Toc13223"/>
      <w:bookmarkStart w:id="777" w:name="_Toc517532001"/>
      <w:bookmarkStart w:id="778" w:name="_Toc11642"/>
      <w:bookmarkStart w:id="779" w:name="_Toc20921"/>
      <w:bookmarkStart w:id="780" w:name="_Toc20046"/>
      <w:bookmarkStart w:id="781" w:name="_Toc6865"/>
      <w:r>
        <w:rPr>
          <w:rFonts w:ascii="宋体" w:hAnsi="宋体" w:eastAsia="宋体" w:cs="华文仿宋"/>
          <w:b/>
          <w:bCs/>
          <w:color w:val="auto"/>
          <w:sz w:val="24"/>
          <w:szCs w:val="24"/>
        </w:rPr>
        <w:t>1.10.2</w:t>
      </w:r>
      <w:r>
        <w:rPr>
          <w:rFonts w:ascii="宋体" w:hAnsi="宋体" w:cs="华文仿宋"/>
          <w:b/>
          <w:bCs/>
          <w:color w:val="auto"/>
          <w:sz w:val="24"/>
          <w:szCs w:val="24"/>
        </w:rPr>
        <w:t>临时道路</w:t>
      </w:r>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除合同另有规定外，承包人为了出入现场和施工运输，应养护由承包人修建和使用的所有临时道路和桥梁，其费用由承包人承担。</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782" w:name="_Toc26446"/>
      <w:bookmarkStart w:id="783" w:name="_Toc11245"/>
      <w:bookmarkStart w:id="784" w:name="_Toc18911"/>
      <w:bookmarkStart w:id="785" w:name="_Toc19832"/>
      <w:bookmarkStart w:id="786" w:name="_Toc16690"/>
      <w:bookmarkStart w:id="787" w:name="_Toc30877"/>
      <w:bookmarkStart w:id="788" w:name="_Toc517532002"/>
      <w:bookmarkStart w:id="789" w:name="_Toc11386"/>
      <w:bookmarkStart w:id="790" w:name="_Toc28077"/>
      <w:bookmarkStart w:id="791" w:name="_Toc22313"/>
      <w:bookmarkStart w:id="792" w:name="_Toc22222"/>
      <w:bookmarkStart w:id="793" w:name="_Toc8215"/>
      <w:bookmarkStart w:id="794" w:name="_Toc517530726"/>
      <w:bookmarkStart w:id="795" w:name="_Toc23518"/>
      <w:bookmarkStart w:id="796" w:name="_Toc4855"/>
      <w:bookmarkStart w:id="797" w:name="_Toc26738"/>
      <w:bookmarkStart w:id="798" w:name="_Toc2573"/>
      <w:bookmarkStart w:id="799" w:name="_Toc6619"/>
      <w:bookmarkStart w:id="800" w:name="_Toc4838"/>
      <w:bookmarkStart w:id="801" w:name="_Toc11201"/>
      <w:r>
        <w:rPr>
          <w:rFonts w:ascii="宋体" w:hAnsi="宋体" w:eastAsia="宋体" w:cs="华文仿宋"/>
          <w:b/>
          <w:bCs/>
          <w:color w:val="auto"/>
          <w:sz w:val="24"/>
          <w:szCs w:val="24"/>
        </w:rPr>
        <w:t>1.10.3</w:t>
      </w:r>
      <w:r>
        <w:rPr>
          <w:rFonts w:ascii="宋体" w:hAnsi="宋体" w:cs="华文仿宋"/>
          <w:b/>
          <w:bCs/>
          <w:color w:val="auto"/>
          <w:sz w:val="24"/>
          <w:szCs w:val="24"/>
        </w:rPr>
        <w:t>水运</w:t>
      </w:r>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在工程性质要求承包人使用水路运输的条件下：“道路”一词的含意包括船闸、码头、海堤或与水路有关的其他结构物；“运输车辆”包括船舶。</w:t>
      </w:r>
      <w:bookmarkStart w:id="802" w:name="_Toc337558736"/>
      <w:bookmarkEnd w:id="802"/>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803" w:name="_Toc517532003"/>
      <w:bookmarkStart w:id="804" w:name="_Toc32439"/>
      <w:bookmarkStart w:id="805" w:name="_Toc20702"/>
      <w:bookmarkStart w:id="806" w:name="_Toc465237083"/>
      <w:bookmarkStart w:id="807" w:name="_Toc465237181"/>
      <w:bookmarkStart w:id="808" w:name="_Toc27425"/>
      <w:bookmarkStart w:id="809" w:name="_Toc797"/>
      <w:bookmarkStart w:id="810" w:name="_Toc8744"/>
      <w:bookmarkStart w:id="811" w:name="_Toc32571"/>
      <w:bookmarkStart w:id="812" w:name="_Toc517530727"/>
      <w:bookmarkStart w:id="813" w:name="_Toc9663"/>
      <w:bookmarkStart w:id="814" w:name="_Toc26196"/>
      <w:bookmarkStart w:id="815" w:name="_Toc25574"/>
      <w:bookmarkStart w:id="816" w:name="_Toc22727"/>
      <w:bookmarkStart w:id="817" w:name="_Toc5677"/>
      <w:bookmarkStart w:id="818" w:name="_Toc31390"/>
      <w:bookmarkStart w:id="819" w:name="_Toc6263"/>
      <w:bookmarkStart w:id="820" w:name="_Toc24942"/>
      <w:bookmarkStart w:id="821" w:name="_Toc517528652"/>
      <w:bookmarkStart w:id="822" w:name="_Toc21009"/>
      <w:bookmarkStart w:id="823" w:name="_Toc18207"/>
      <w:bookmarkStart w:id="824" w:name="_Toc9307"/>
      <w:bookmarkStart w:id="825" w:name="_Toc9892"/>
      <w:r>
        <w:rPr>
          <w:rFonts w:ascii="宋体" w:hAnsi="宋体" w:eastAsia="宋体" w:cs="华文仿宋"/>
          <w:b/>
          <w:bCs/>
          <w:color w:val="auto"/>
          <w:sz w:val="28"/>
          <w:szCs w:val="28"/>
        </w:rPr>
        <w:t>1.11</w:t>
      </w:r>
      <w:r>
        <w:rPr>
          <w:rFonts w:ascii="宋体" w:hAnsi="宋体" w:cs="华文仿宋"/>
          <w:b/>
          <w:bCs/>
          <w:color w:val="auto"/>
          <w:sz w:val="28"/>
          <w:szCs w:val="28"/>
        </w:rPr>
        <w:t>知识产权</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实施本合同工程和其缺陷修复过程中所采用的施工工艺、进场的装备和材料、设备等，如果因在其商标、图案、施工工艺、新材料的使用过程中发生侵犯知识产权的行为，并引起索赔或诉讼，则一切与此有关的一切费用和赔偿责任，均由承包人负责。若因此给发包人造成损失，承包人应予以赔偿，赔偿范围包括但不限于损害赔偿金、违约金、诉讼费、仲裁费、律师费等一切相关费用及损失。但凡是因遵守发包人或监理人提供的设计或规范而造成的侵权，则属例外。</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除专用合同条款另有约定外，承包人在合同签订前和签订时已确定采用的专利、专有技术、技术秘密的使用费已包含在签约合同价中。</w:t>
      </w:r>
      <w:bookmarkStart w:id="826" w:name="_Toc296503037"/>
      <w:bookmarkEnd w:id="826"/>
      <w:bookmarkStart w:id="827" w:name="_Toc296346538"/>
      <w:bookmarkEnd w:id="827"/>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828" w:name="_Toc351203509"/>
      <w:bookmarkStart w:id="829" w:name="_Toc4727"/>
      <w:bookmarkStart w:id="830" w:name="_Toc5320"/>
      <w:bookmarkStart w:id="831" w:name="_Toc25625"/>
      <w:bookmarkStart w:id="832" w:name="_Toc465237182"/>
      <w:bookmarkStart w:id="833" w:name="_Toc21858"/>
      <w:bookmarkStart w:id="834" w:name="_Toc1130"/>
      <w:bookmarkStart w:id="835" w:name="_Toc8749"/>
      <w:bookmarkStart w:id="836" w:name="_Toc6976"/>
      <w:bookmarkStart w:id="837" w:name="_Toc6607"/>
      <w:bookmarkStart w:id="838" w:name="_Toc517532004"/>
      <w:bookmarkStart w:id="839" w:name="_Toc8940"/>
      <w:bookmarkStart w:id="840" w:name="_Toc517530728"/>
      <w:bookmarkStart w:id="841" w:name="_Toc397"/>
      <w:bookmarkStart w:id="842" w:name="_Toc23113"/>
      <w:bookmarkStart w:id="843" w:name="_Toc2891"/>
      <w:bookmarkStart w:id="844" w:name="_Toc11109"/>
      <w:bookmarkStart w:id="845" w:name="_Toc517529735"/>
      <w:bookmarkStart w:id="846" w:name="_Toc4803"/>
      <w:bookmarkStart w:id="847" w:name="_Toc23202"/>
      <w:bookmarkStart w:id="848" w:name="_Toc517528653"/>
      <w:bookmarkStart w:id="849" w:name="_Toc9323"/>
      <w:bookmarkStart w:id="850" w:name="_Toc29911"/>
      <w:bookmarkStart w:id="851" w:name="_Toc465237084"/>
      <w:bookmarkStart w:id="852" w:name="_Toc7208"/>
      <w:r>
        <w:rPr>
          <w:rFonts w:ascii="宋体" w:hAnsi="宋体" w:eastAsia="宋体" w:cs="华文仿宋"/>
          <w:b/>
          <w:bCs/>
          <w:color w:val="auto"/>
          <w:sz w:val="30"/>
          <w:szCs w:val="30"/>
        </w:rPr>
        <w:t>2.</w:t>
      </w:r>
      <w:bookmarkEnd w:id="828"/>
      <w:r>
        <w:rPr>
          <w:rFonts w:ascii="宋体" w:hAnsi="宋体" w:eastAsia="宋体" w:cs="华文仿宋"/>
          <w:b/>
          <w:bCs/>
          <w:color w:val="auto"/>
          <w:sz w:val="30"/>
          <w:szCs w:val="30"/>
        </w:rPr>
        <w:t xml:space="preserve"> </w:t>
      </w:r>
      <w:r>
        <w:rPr>
          <w:rFonts w:ascii="宋体" w:hAnsi="宋体" w:cs="华文仿宋"/>
          <w:b/>
          <w:bCs/>
          <w:color w:val="auto"/>
          <w:sz w:val="30"/>
          <w:szCs w:val="30"/>
        </w:rPr>
        <w:t>发包人</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Start w:id="853" w:name="_Toc296346539"/>
      <w:bookmarkEnd w:id="853"/>
      <w:bookmarkStart w:id="854" w:name="_Toc296503038"/>
      <w:bookmarkEnd w:id="854"/>
      <w:bookmarkStart w:id="855" w:name="_Toc337558739"/>
      <w:bookmarkEnd w:id="855"/>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856" w:name="_Toc20086"/>
      <w:bookmarkStart w:id="857" w:name="_Toc8336"/>
      <w:bookmarkStart w:id="858" w:name="_Toc465237085"/>
      <w:bookmarkStart w:id="859" w:name="_Toc11682"/>
      <w:bookmarkStart w:id="860" w:name="_Toc465237183"/>
      <w:bookmarkStart w:id="861" w:name="_Toc26930"/>
      <w:bookmarkStart w:id="862" w:name="_Toc27660"/>
      <w:bookmarkStart w:id="863" w:name="_Toc460"/>
      <w:bookmarkStart w:id="864" w:name="_Toc186"/>
      <w:bookmarkStart w:id="865" w:name="_Toc2890"/>
      <w:bookmarkStart w:id="866" w:name="_Toc19412"/>
      <w:bookmarkStart w:id="867" w:name="_Toc6657"/>
      <w:bookmarkStart w:id="868" w:name="_Toc10454"/>
      <w:bookmarkStart w:id="869" w:name="_Toc6970"/>
      <w:bookmarkStart w:id="870" w:name="_Toc21747"/>
      <w:bookmarkStart w:id="871" w:name="_Toc517532005"/>
      <w:bookmarkStart w:id="872" w:name="_Toc517530729"/>
      <w:bookmarkStart w:id="873" w:name="_Toc10845"/>
      <w:bookmarkStart w:id="874" w:name="_Toc18998"/>
      <w:bookmarkStart w:id="875" w:name="_Toc11157"/>
      <w:bookmarkStart w:id="876" w:name="_Toc517528654"/>
      <w:bookmarkStart w:id="877" w:name="_Toc21977"/>
      <w:bookmarkStart w:id="878" w:name="_Toc20037"/>
      <w:r>
        <w:rPr>
          <w:rFonts w:ascii="宋体" w:hAnsi="宋体" w:eastAsia="宋体" w:cs="华文仿宋"/>
          <w:b/>
          <w:bCs/>
          <w:color w:val="auto"/>
          <w:sz w:val="28"/>
          <w:szCs w:val="28"/>
        </w:rPr>
        <w:t>2.1</w:t>
      </w:r>
      <w:bookmarkEnd w:id="856"/>
      <w:bookmarkEnd w:id="857"/>
      <w:bookmarkEnd w:id="858"/>
      <w:bookmarkEnd w:id="859"/>
      <w:bookmarkEnd w:id="860"/>
      <w:bookmarkEnd w:id="861"/>
      <w:bookmarkEnd w:id="862"/>
      <w:bookmarkEnd w:id="863"/>
      <w:bookmarkEnd w:id="864"/>
      <w:bookmarkEnd w:id="865"/>
      <w:bookmarkEnd w:id="866"/>
      <w:r>
        <w:rPr>
          <w:rFonts w:ascii="宋体" w:hAnsi="宋体" w:cs="华文仿宋"/>
          <w:b/>
          <w:bCs/>
          <w:color w:val="auto"/>
          <w:sz w:val="28"/>
          <w:szCs w:val="28"/>
        </w:rPr>
        <w:t>许可或批准</w:t>
      </w:r>
      <w:bookmarkEnd w:id="867"/>
      <w:bookmarkEnd w:id="868"/>
      <w:bookmarkEnd w:id="869"/>
      <w:bookmarkEnd w:id="870"/>
      <w:bookmarkEnd w:id="871"/>
      <w:bookmarkEnd w:id="872"/>
      <w:bookmarkEnd w:id="873"/>
      <w:bookmarkEnd w:id="874"/>
      <w:bookmarkEnd w:id="875"/>
      <w:bookmarkEnd w:id="876"/>
      <w:bookmarkEnd w:id="877"/>
      <w:bookmarkEnd w:id="878"/>
    </w:p>
    <w:p>
      <w:pPr>
        <w:spacing w:line="360" w:lineRule="auto"/>
        <w:ind w:firstLine="420"/>
        <w:rPr>
          <w:rFonts w:ascii="宋体" w:hAnsi="宋体" w:eastAsia="宋体" w:cs="华文仿宋"/>
          <w:color w:val="auto"/>
          <w:szCs w:val="21"/>
        </w:rPr>
      </w:pPr>
      <w:r>
        <w:rPr>
          <w:rFonts w:ascii="宋体" w:hAnsi="宋体" w:cs="华文仿宋"/>
          <w:color w:val="auto"/>
          <w:szCs w:val="21"/>
        </w:rPr>
        <w:t>发包人应遵守法律，并办理法律规定由其办理的许可、批准或备案，包括但不限于建设用地规划许可证、建设工程规划许可证、建设工程施工许可证、施工所需的其他许可和批准。</w:t>
      </w:r>
    </w:p>
    <w:p>
      <w:pPr>
        <w:spacing w:line="360" w:lineRule="auto"/>
        <w:ind w:firstLine="420"/>
        <w:rPr>
          <w:rFonts w:ascii="宋体" w:hAnsi="宋体" w:eastAsia="宋体" w:cs="华文仿宋"/>
          <w:color w:val="auto"/>
          <w:szCs w:val="21"/>
        </w:rPr>
      </w:pPr>
      <w:r>
        <w:rPr>
          <w:rFonts w:ascii="宋体" w:hAnsi="宋体" w:cs="华文仿宋"/>
          <w:color w:val="auto"/>
          <w:szCs w:val="21"/>
        </w:rPr>
        <w:t>发包人应协助承包人办理法律规定的有关施工证件和批件。</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879" w:name="_Toc28845"/>
      <w:bookmarkStart w:id="880" w:name="_Toc5397"/>
      <w:bookmarkStart w:id="881" w:name="_Toc21500"/>
      <w:bookmarkStart w:id="882" w:name="_Toc20898"/>
      <w:bookmarkStart w:id="883" w:name="_Toc517530730"/>
      <w:bookmarkStart w:id="884" w:name="_Toc13514"/>
      <w:bookmarkStart w:id="885" w:name="_Toc517532006"/>
      <w:bookmarkStart w:id="886" w:name="_Toc517528655"/>
      <w:bookmarkStart w:id="887" w:name="_Toc31453"/>
      <w:bookmarkStart w:id="888" w:name="_Toc28801"/>
      <w:bookmarkStart w:id="889" w:name="_Toc10134"/>
      <w:bookmarkStart w:id="890" w:name="_Toc2654"/>
      <w:r>
        <w:rPr>
          <w:rFonts w:ascii="宋体" w:hAnsi="宋体" w:eastAsia="宋体" w:cs="华文仿宋"/>
          <w:b/>
          <w:bCs/>
          <w:color w:val="auto"/>
          <w:sz w:val="28"/>
          <w:szCs w:val="28"/>
        </w:rPr>
        <w:t>2.2</w:t>
      </w:r>
      <w:r>
        <w:rPr>
          <w:rFonts w:ascii="宋体" w:hAnsi="宋体" w:cs="华文仿宋"/>
          <w:b/>
          <w:bCs/>
          <w:color w:val="auto"/>
          <w:sz w:val="28"/>
          <w:szCs w:val="28"/>
        </w:rPr>
        <w:t>项目主任</w:t>
      </w:r>
      <w:bookmarkEnd w:id="879"/>
      <w:bookmarkEnd w:id="880"/>
      <w:bookmarkEnd w:id="881"/>
      <w:bookmarkEnd w:id="882"/>
      <w:bookmarkEnd w:id="883"/>
      <w:bookmarkEnd w:id="884"/>
      <w:bookmarkEnd w:id="885"/>
      <w:bookmarkEnd w:id="886"/>
      <w:bookmarkEnd w:id="887"/>
      <w:bookmarkEnd w:id="888"/>
      <w:bookmarkEnd w:id="889"/>
      <w:bookmarkEnd w:id="89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项目主任为发包人派驻施工现场履行合同的代表。项目主任的职权：</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）审批工程设计变更；</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）批准承包人项目经理及有关人员的调换；</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）参与工程质量、安全、投资、进度的管理及各有关协作单位的协调；</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）参与审核工程进度款的支付和确认工程结算款；</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e</w:t>
      </w:r>
      <w:r>
        <w:rPr>
          <w:rFonts w:ascii="宋体" w:hAnsi="宋体" w:cs="华文仿宋"/>
          <w:color w:val="auto"/>
          <w:szCs w:val="21"/>
        </w:rPr>
        <w:t>）其它。</w:t>
      </w:r>
      <w:bookmarkStart w:id="891" w:name="_Toc296503039"/>
      <w:bookmarkEnd w:id="891"/>
      <w:bookmarkStart w:id="892" w:name="_Toc337558740"/>
      <w:bookmarkEnd w:id="892"/>
      <w:bookmarkStart w:id="893" w:name="OLE_LINK1"/>
      <w:bookmarkEnd w:id="893"/>
      <w:bookmarkStart w:id="894" w:name="OLE_LINK2"/>
      <w:bookmarkEnd w:id="894"/>
      <w:bookmarkStart w:id="895" w:name="_Toc296346540"/>
      <w:bookmarkEnd w:id="895"/>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896" w:name="_Toc2323"/>
      <w:bookmarkStart w:id="897" w:name="_Toc24823"/>
      <w:bookmarkStart w:id="898" w:name="_Toc16823"/>
      <w:bookmarkStart w:id="899" w:name="_Toc517528656"/>
      <w:bookmarkStart w:id="900" w:name="_Toc7316"/>
      <w:bookmarkStart w:id="901" w:name="_Toc13605"/>
      <w:bookmarkStart w:id="902" w:name="_Toc517532007"/>
      <w:bookmarkStart w:id="903" w:name="_Toc9075"/>
      <w:bookmarkStart w:id="904" w:name="_Toc11351"/>
      <w:bookmarkStart w:id="905" w:name="_Toc4261"/>
      <w:bookmarkStart w:id="906" w:name="_Toc465237088"/>
      <w:bookmarkStart w:id="907" w:name="_Toc465237186"/>
      <w:bookmarkStart w:id="908" w:name="_Toc13557"/>
      <w:bookmarkStart w:id="909" w:name="_Toc25895"/>
      <w:bookmarkStart w:id="910" w:name="_Toc517530731"/>
      <w:bookmarkStart w:id="911" w:name="_Toc30299"/>
      <w:bookmarkStart w:id="912" w:name="_Toc26440"/>
      <w:bookmarkStart w:id="913" w:name="_Toc5416"/>
      <w:bookmarkStart w:id="914" w:name="_Toc6631"/>
      <w:bookmarkStart w:id="915" w:name="_Toc30731"/>
      <w:bookmarkStart w:id="916" w:name="_Toc9759"/>
      <w:bookmarkStart w:id="917" w:name="_Toc7287"/>
      <w:bookmarkStart w:id="918" w:name="_Toc10022"/>
      <w:r>
        <w:rPr>
          <w:rFonts w:ascii="宋体" w:hAnsi="宋体" w:eastAsia="宋体" w:cs="华文仿宋"/>
          <w:b/>
          <w:bCs/>
          <w:color w:val="auto"/>
          <w:sz w:val="28"/>
          <w:szCs w:val="28"/>
        </w:rPr>
        <w:t>2.3</w:t>
      </w:r>
      <w:r>
        <w:rPr>
          <w:rFonts w:ascii="宋体" w:hAnsi="宋体" w:cs="华文仿宋"/>
          <w:b/>
          <w:bCs/>
          <w:color w:val="auto"/>
          <w:sz w:val="28"/>
          <w:szCs w:val="28"/>
        </w:rPr>
        <w:t>履约评价</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根据发包人《合同履约评价管理办法》及《合同履约评价实施细则》的有关规定，在本工程履约过程中，发包人将对承包人进行履约评价，评价结果将影响承包人在工务署（包含直属单位）负责建设的其他项目的投标。</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919" w:name="_Toc4901"/>
      <w:bookmarkStart w:id="920" w:name="_Toc31520"/>
      <w:bookmarkStart w:id="921" w:name="_Toc30810"/>
      <w:bookmarkStart w:id="922" w:name="_Toc517530732"/>
      <w:bookmarkStart w:id="923" w:name="_Toc29927"/>
      <w:bookmarkStart w:id="924" w:name="_Toc8360"/>
      <w:bookmarkStart w:id="925" w:name="_Toc21739"/>
      <w:bookmarkStart w:id="926" w:name="_Toc32074"/>
      <w:bookmarkStart w:id="927" w:name="_Toc16737"/>
      <w:bookmarkStart w:id="928" w:name="_Toc15805"/>
      <w:bookmarkStart w:id="929" w:name="_Toc517532008"/>
      <w:bookmarkStart w:id="930" w:name="_Toc517528657"/>
      <w:r>
        <w:rPr>
          <w:rFonts w:ascii="宋体" w:hAnsi="宋体" w:eastAsia="宋体" w:cs="华文仿宋"/>
          <w:b/>
          <w:bCs/>
          <w:color w:val="auto"/>
          <w:sz w:val="28"/>
          <w:szCs w:val="28"/>
        </w:rPr>
        <w:t>2.4</w:t>
      </w:r>
      <w:r>
        <w:rPr>
          <w:rFonts w:ascii="宋体" w:hAnsi="宋体" w:cs="华文仿宋"/>
          <w:b/>
          <w:bCs/>
          <w:color w:val="auto"/>
          <w:sz w:val="28"/>
          <w:szCs w:val="28"/>
        </w:rPr>
        <w:t>支付合同价款</w:t>
      </w:r>
      <w:bookmarkEnd w:id="919"/>
      <w:bookmarkEnd w:id="920"/>
      <w:bookmarkEnd w:id="921"/>
      <w:bookmarkEnd w:id="922"/>
      <w:bookmarkEnd w:id="923"/>
      <w:bookmarkEnd w:id="924"/>
      <w:bookmarkEnd w:id="925"/>
      <w:bookmarkEnd w:id="926"/>
      <w:bookmarkEnd w:id="927"/>
      <w:bookmarkEnd w:id="928"/>
      <w:bookmarkEnd w:id="929"/>
      <w:bookmarkEnd w:id="930"/>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发包人应按合同约定向承包人支付合同价款。</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931" w:name="_Toc32285"/>
      <w:bookmarkStart w:id="932" w:name="_Toc9181"/>
      <w:bookmarkStart w:id="933" w:name="_Toc517528658"/>
      <w:bookmarkStart w:id="934" w:name="_Toc517530733"/>
      <w:bookmarkStart w:id="935" w:name="_Toc2700"/>
      <w:bookmarkStart w:id="936" w:name="_Toc517532009"/>
      <w:bookmarkStart w:id="937" w:name="_Toc61"/>
      <w:bookmarkStart w:id="938" w:name="_Toc28033"/>
      <w:bookmarkStart w:id="939" w:name="_Toc21783"/>
      <w:bookmarkStart w:id="940" w:name="_Toc3572"/>
      <w:bookmarkStart w:id="941" w:name="_Toc9286"/>
      <w:bookmarkStart w:id="942" w:name="_Toc22381"/>
      <w:r>
        <w:rPr>
          <w:rFonts w:ascii="宋体" w:hAnsi="宋体" w:eastAsia="宋体" w:cs="华文仿宋"/>
          <w:b/>
          <w:bCs/>
          <w:color w:val="auto"/>
          <w:sz w:val="28"/>
          <w:szCs w:val="28"/>
        </w:rPr>
        <w:t>2.5</w:t>
      </w:r>
      <w:r>
        <w:rPr>
          <w:rFonts w:ascii="宋体" w:hAnsi="宋体" w:cs="华文仿宋"/>
          <w:b/>
          <w:bCs/>
          <w:color w:val="auto"/>
          <w:sz w:val="28"/>
          <w:szCs w:val="28"/>
        </w:rPr>
        <w:t>组织竣工验收</w:t>
      </w:r>
      <w:bookmarkEnd w:id="931"/>
      <w:bookmarkEnd w:id="932"/>
      <w:bookmarkEnd w:id="933"/>
      <w:bookmarkEnd w:id="934"/>
      <w:bookmarkEnd w:id="935"/>
      <w:bookmarkEnd w:id="936"/>
      <w:bookmarkEnd w:id="937"/>
      <w:bookmarkEnd w:id="938"/>
      <w:bookmarkEnd w:id="939"/>
      <w:bookmarkEnd w:id="940"/>
      <w:bookmarkEnd w:id="941"/>
      <w:bookmarkEnd w:id="942"/>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发包人应按合同约定及时组织竣工验收。</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943" w:name="_Toc5418"/>
      <w:bookmarkStart w:id="944" w:name="_Toc517528659"/>
      <w:bookmarkStart w:id="945" w:name="_Toc517532010"/>
      <w:bookmarkStart w:id="946" w:name="_Toc9555"/>
      <w:bookmarkStart w:id="947" w:name="_Toc13167"/>
      <w:bookmarkStart w:id="948" w:name="_Toc517530734"/>
      <w:bookmarkStart w:id="949" w:name="_Toc19923"/>
      <w:bookmarkStart w:id="950" w:name="_Toc5432"/>
      <w:bookmarkStart w:id="951" w:name="_Toc27995"/>
      <w:bookmarkStart w:id="952" w:name="_Toc6002"/>
      <w:bookmarkStart w:id="953" w:name="_Toc5935"/>
      <w:r>
        <w:rPr>
          <w:rFonts w:ascii="宋体" w:hAnsi="宋体" w:eastAsia="宋体" w:cs="华文仿宋"/>
          <w:b/>
          <w:bCs/>
          <w:color w:val="auto"/>
          <w:sz w:val="28"/>
          <w:szCs w:val="28"/>
        </w:rPr>
        <w:t>2.6</w:t>
      </w:r>
      <w:r>
        <w:rPr>
          <w:rFonts w:ascii="宋体" w:hAnsi="宋体" w:cs="华文仿宋"/>
          <w:b/>
          <w:bCs/>
          <w:color w:val="auto"/>
          <w:sz w:val="28"/>
          <w:szCs w:val="28"/>
        </w:rPr>
        <w:t>支付担保的提交与退还</w:t>
      </w:r>
      <w:bookmarkEnd w:id="943"/>
      <w:bookmarkEnd w:id="944"/>
      <w:bookmarkEnd w:id="945"/>
      <w:bookmarkEnd w:id="946"/>
      <w:bookmarkEnd w:id="947"/>
      <w:bookmarkEnd w:id="948"/>
      <w:bookmarkEnd w:id="949"/>
      <w:bookmarkEnd w:id="950"/>
      <w:bookmarkEnd w:id="951"/>
      <w:bookmarkEnd w:id="952"/>
      <w:bookmarkEnd w:id="95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发包人在承包人提交履约担保的同时，向承包人提供本工程支付担保。支付担保的提交与退还按照专用条款的约定执行。</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954" w:name="_Toc351203518"/>
      <w:bookmarkStart w:id="955" w:name="_Toc517530735"/>
      <w:bookmarkStart w:id="956" w:name="_Toc3398"/>
      <w:bookmarkStart w:id="957" w:name="_Toc32500"/>
      <w:bookmarkStart w:id="958" w:name="_Toc18387"/>
      <w:bookmarkStart w:id="959" w:name="_Toc15181"/>
      <w:bookmarkStart w:id="960" w:name="_Toc22015"/>
      <w:bookmarkStart w:id="961" w:name="_Toc517529736"/>
      <w:bookmarkStart w:id="962" w:name="_Toc57"/>
      <w:bookmarkStart w:id="963" w:name="_Toc28188"/>
      <w:bookmarkStart w:id="964" w:name="_Toc2398"/>
      <w:bookmarkStart w:id="965" w:name="_Toc27071"/>
      <w:bookmarkStart w:id="966" w:name="_Toc22881"/>
      <w:bookmarkStart w:id="967" w:name="_Toc4273"/>
      <w:bookmarkStart w:id="968" w:name="_Toc517532011"/>
      <w:bookmarkStart w:id="969" w:name="_Toc465237187"/>
      <w:bookmarkStart w:id="970" w:name="_Toc517528660"/>
      <w:bookmarkStart w:id="971" w:name="_Toc19659"/>
      <w:bookmarkStart w:id="972" w:name="_Toc19231"/>
      <w:bookmarkStart w:id="973" w:name="_Toc27152"/>
      <w:bookmarkStart w:id="974" w:name="_Toc465237089"/>
      <w:bookmarkStart w:id="975" w:name="_Toc19455"/>
      <w:bookmarkStart w:id="976" w:name="_Toc24310"/>
      <w:bookmarkStart w:id="977" w:name="_Toc16258"/>
      <w:bookmarkStart w:id="978" w:name="_Toc11278"/>
      <w:r>
        <w:rPr>
          <w:rFonts w:ascii="宋体" w:hAnsi="宋体" w:eastAsia="宋体" w:cs="华文仿宋"/>
          <w:b/>
          <w:bCs/>
          <w:color w:val="auto"/>
          <w:sz w:val="30"/>
          <w:szCs w:val="30"/>
        </w:rPr>
        <w:t>3.</w:t>
      </w:r>
      <w:bookmarkEnd w:id="954"/>
      <w:r>
        <w:rPr>
          <w:rFonts w:ascii="宋体" w:hAnsi="宋体" w:eastAsia="宋体" w:cs="华文仿宋"/>
          <w:b/>
          <w:bCs/>
          <w:color w:val="auto"/>
          <w:sz w:val="30"/>
          <w:szCs w:val="30"/>
        </w:rPr>
        <w:t xml:space="preserve"> </w:t>
      </w:r>
      <w:r>
        <w:rPr>
          <w:rFonts w:ascii="宋体" w:hAnsi="宋体" w:cs="华文仿宋"/>
          <w:b/>
          <w:bCs/>
          <w:color w:val="auto"/>
          <w:sz w:val="30"/>
          <w:szCs w:val="30"/>
        </w:rPr>
        <w:t>承包人</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Start w:id="979" w:name="_Toc296346546"/>
      <w:bookmarkEnd w:id="979"/>
      <w:bookmarkStart w:id="980" w:name="_Toc337558746"/>
      <w:bookmarkEnd w:id="980"/>
      <w:bookmarkStart w:id="981" w:name="_Toc296503045"/>
      <w:bookmarkEnd w:id="981"/>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982" w:name="_Toc3832"/>
      <w:bookmarkStart w:id="983" w:name="_Toc3617"/>
      <w:bookmarkStart w:id="984" w:name="_Toc25154"/>
      <w:bookmarkStart w:id="985" w:name="_Toc14367"/>
      <w:bookmarkStart w:id="986" w:name="_Toc465237090"/>
      <w:bookmarkStart w:id="987" w:name="_Toc262"/>
      <w:bookmarkStart w:id="988" w:name="_Toc23168"/>
      <w:bookmarkStart w:id="989" w:name="_Toc30748"/>
      <w:bookmarkStart w:id="990" w:name="_Toc517528661"/>
      <w:bookmarkStart w:id="991" w:name="_Toc30856"/>
      <w:bookmarkStart w:id="992" w:name="_Toc517532012"/>
      <w:bookmarkStart w:id="993" w:name="_Toc26355"/>
      <w:bookmarkStart w:id="994" w:name="_Toc23624"/>
      <w:bookmarkStart w:id="995" w:name="_Toc1158"/>
      <w:bookmarkStart w:id="996" w:name="_Toc26991"/>
      <w:bookmarkStart w:id="997" w:name="_Toc465237188"/>
      <w:bookmarkStart w:id="998" w:name="_Toc5412"/>
      <w:bookmarkStart w:id="999" w:name="_Toc11031"/>
      <w:bookmarkStart w:id="1000" w:name="_Toc18718"/>
      <w:bookmarkStart w:id="1001" w:name="_Toc27066"/>
      <w:bookmarkStart w:id="1002" w:name="_Toc18975"/>
      <w:bookmarkStart w:id="1003" w:name="_Toc7695"/>
      <w:bookmarkStart w:id="1004" w:name="_Toc517530736"/>
      <w:r>
        <w:rPr>
          <w:rFonts w:ascii="宋体" w:hAnsi="宋体" w:eastAsia="宋体" w:cs="华文仿宋"/>
          <w:b/>
          <w:bCs/>
          <w:color w:val="auto"/>
          <w:sz w:val="28"/>
          <w:szCs w:val="28"/>
        </w:rPr>
        <w:t xml:space="preserve">3.1 </w:t>
      </w:r>
      <w:r>
        <w:rPr>
          <w:rFonts w:ascii="宋体" w:hAnsi="宋体" w:cs="华文仿宋"/>
          <w:b/>
          <w:bCs/>
          <w:color w:val="auto"/>
          <w:sz w:val="28"/>
          <w:szCs w:val="28"/>
        </w:rPr>
        <w:t>承包人的一般义务</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005" w:name="_Toc17437"/>
      <w:bookmarkStart w:id="1006" w:name="_Toc21815"/>
      <w:bookmarkStart w:id="1007" w:name="_Toc26792"/>
      <w:bookmarkStart w:id="1008" w:name="_Toc28454"/>
      <w:bookmarkStart w:id="1009" w:name="_Toc1757"/>
      <w:bookmarkStart w:id="1010" w:name="_Toc16919"/>
      <w:bookmarkStart w:id="1011" w:name="_Toc6186"/>
      <w:bookmarkStart w:id="1012" w:name="_Toc23352"/>
      <w:bookmarkStart w:id="1013" w:name="_Toc25602"/>
      <w:bookmarkStart w:id="1014" w:name="_Toc13296"/>
      <w:bookmarkStart w:id="1015" w:name="_Toc2333"/>
      <w:bookmarkStart w:id="1016" w:name="_Toc21559"/>
      <w:bookmarkStart w:id="1017" w:name="_Toc19419"/>
      <w:bookmarkStart w:id="1018" w:name="_Toc20423"/>
      <w:bookmarkStart w:id="1019" w:name="_Toc517530737"/>
      <w:bookmarkStart w:id="1020" w:name="_Toc25586"/>
      <w:bookmarkStart w:id="1021" w:name="_Toc517532013"/>
      <w:bookmarkStart w:id="1022" w:name="_Toc11754"/>
      <w:bookmarkStart w:id="1023" w:name="_Toc29809"/>
      <w:bookmarkStart w:id="1024" w:name="_Toc18086"/>
      <w:r>
        <w:rPr>
          <w:rFonts w:ascii="宋体" w:hAnsi="宋体" w:eastAsia="宋体" w:cs="华文仿宋"/>
          <w:b/>
          <w:bCs/>
          <w:color w:val="auto"/>
          <w:sz w:val="24"/>
          <w:szCs w:val="24"/>
        </w:rPr>
        <w:t>3.1.1</w:t>
      </w:r>
      <w:r>
        <w:rPr>
          <w:rFonts w:ascii="宋体" w:hAnsi="宋体" w:cs="华文仿宋"/>
          <w:b/>
          <w:bCs/>
          <w:color w:val="auto"/>
          <w:sz w:val="24"/>
          <w:szCs w:val="24"/>
        </w:rPr>
        <w:t>签署合同协议书</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承包人应签订并履行合同协议书，该协议书采用招标文件所附格式。</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025" w:name="_Toc30718"/>
      <w:bookmarkStart w:id="1026" w:name="_Toc25598"/>
      <w:bookmarkStart w:id="1027" w:name="_Toc25002"/>
      <w:bookmarkStart w:id="1028" w:name="_Toc16867"/>
      <w:bookmarkStart w:id="1029" w:name="_Toc4250"/>
      <w:bookmarkStart w:id="1030" w:name="_Toc2083"/>
      <w:bookmarkStart w:id="1031" w:name="_Toc517530738"/>
      <w:bookmarkStart w:id="1032" w:name="_Toc27720"/>
      <w:bookmarkStart w:id="1033" w:name="_Toc517532014"/>
      <w:bookmarkStart w:id="1034" w:name="_Toc9746"/>
      <w:bookmarkStart w:id="1035" w:name="_Toc6513"/>
      <w:bookmarkStart w:id="1036" w:name="_Toc107"/>
      <w:bookmarkStart w:id="1037" w:name="_Toc15538"/>
      <w:bookmarkStart w:id="1038" w:name="_Toc2278"/>
      <w:bookmarkStart w:id="1039" w:name="_Toc20574"/>
      <w:bookmarkStart w:id="1040" w:name="_Toc8587"/>
      <w:bookmarkStart w:id="1041" w:name="_Toc20317"/>
      <w:bookmarkStart w:id="1042" w:name="_Toc155"/>
      <w:bookmarkStart w:id="1043" w:name="_Toc32289"/>
      <w:bookmarkStart w:id="1044" w:name="_Toc25847"/>
      <w:r>
        <w:rPr>
          <w:rFonts w:ascii="宋体" w:hAnsi="宋体" w:eastAsia="宋体" w:cs="华文仿宋"/>
          <w:b/>
          <w:bCs/>
          <w:color w:val="auto"/>
          <w:sz w:val="24"/>
          <w:szCs w:val="24"/>
        </w:rPr>
        <w:t>3.1.2</w:t>
      </w:r>
      <w:r>
        <w:rPr>
          <w:rFonts w:ascii="宋体" w:hAnsi="宋体" w:cs="华文仿宋"/>
          <w:b/>
          <w:bCs/>
          <w:color w:val="auto"/>
          <w:sz w:val="24"/>
          <w:szCs w:val="24"/>
        </w:rPr>
        <w:t>合同文件中的差错</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查阅合同文件或在本合同工程实施过程中，应尽到合理的注意义务，其有责任对工程设计、技术规范与补充技术规范、图纸或其他资料进行复核，如发现其中有任何差错、遗漏或缺陷，应在其有关的单项工程开工前及时书面通知监理人，否则承包人对其应能发现但未能发现的错误造成工程的损失应承担相应的责任。监理人在接到承包人上述通知后，应立即就此作出决定，并通知承包人，抄送发包人。</w:t>
      </w:r>
      <w:bookmarkStart w:id="1045" w:name="_Toc296503046"/>
      <w:bookmarkEnd w:id="1045"/>
      <w:bookmarkStart w:id="1046" w:name="_Toc337558747"/>
      <w:bookmarkEnd w:id="1046"/>
      <w:bookmarkStart w:id="1047" w:name="_Toc296346547"/>
      <w:bookmarkEnd w:id="1047"/>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048" w:name="_Toc9278"/>
      <w:bookmarkStart w:id="1049" w:name="_Toc4347"/>
      <w:bookmarkStart w:id="1050" w:name="_Toc14675"/>
      <w:bookmarkStart w:id="1051" w:name="_Toc23800"/>
      <w:bookmarkStart w:id="1052" w:name="_Toc21750"/>
      <w:bookmarkStart w:id="1053" w:name="_Toc811"/>
      <w:bookmarkStart w:id="1054" w:name="_Toc8843"/>
      <w:bookmarkStart w:id="1055" w:name="_Toc19101"/>
      <w:bookmarkStart w:id="1056" w:name="_Toc517532015"/>
      <w:bookmarkStart w:id="1057" w:name="_Toc15382"/>
      <w:bookmarkStart w:id="1058" w:name="_Toc22587"/>
      <w:bookmarkStart w:id="1059" w:name="_Toc8447"/>
      <w:bookmarkStart w:id="1060" w:name="_Toc517530739"/>
      <w:bookmarkStart w:id="1061" w:name="_Toc19125"/>
      <w:bookmarkStart w:id="1062" w:name="_Toc25351"/>
      <w:bookmarkStart w:id="1063" w:name="_Toc19284"/>
      <w:bookmarkStart w:id="1064" w:name="_Toc25950"/>
      <w:bookmarkStart w:id="1065" w:name="_Toc29547"/>
      <w:bookmarkStart w:id="1066" w:name="_Toc199"/>
      <w:bookmarkStart w:id="1067" w:name="_Toc31055"/>
      <w:r>
        <w:rPr>
          <w:rFonts w:ascii="宋体" w:hAnsi="宋体" w:eastAsia="宋体" w:cs="华文仿宋"/>
          <w:b/>
          <w:bCs/>
          <w:color w:val="auto"/>
          <w:sz w:val="24"/>
          <w:szCs w:val="24"/>
        </w:rPr>
        <w:t>3.1.3</w:t>
      </w:r>
      <w:r>
        <w:rPr>
          <w:rFonts w:ascii="宋体" w:hAnsi="宋体" w:cs="华文仿宋"/>
          <w:b/>
          <w:bCs/>
          <w:color w:val="auto"/>
          <w:sz w:val="24"/>
          <w:szCs w:val="24"/>
        </w:rPr>
        <w:t>设计与施工</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keepNext/>
        <w:keepLines/>
        <w:numPr>
          <w:ilvl w:val="0"/>
          <w:numId w:val="0"/>
        </w:numPr>
        <w:spacing w:line="360" w:lineRule="auto"/>
        <w:ind w:firstLine="422"/>
        <w:outlineLvl w:val="4"/>
        <w:rPr>
          <w:rFonts w:ascii="宋体" w:hAnsi="宋体" w:eastAsia="宋体" w:cs="华文仿宋"/>
          <w:b/>
          <w:bCs/>
          <w:color w:val="auto"/>
          <w:szCs w:val="21"/>
        </w:rPr>
      </w:pPr>
      <w:bookmarkStart w:id="1068" w:name="_Toc517532016"/>
      <w:bookmarkStart w:id="1069" w:name="_Toc517530740"/>
      <w:r>
        <w:rPr>
          <w:rFonts w:ascii="宋体" w:hAnsi="宋体" w:cs="华文仿宋"/>
          <w:b/>
          <w:bCs/>
          <w:color w:val="auto"/>
          <w:szCs w:val="21"/>
        </w:rPr>
        <w:t>（</w:t>
      </w:r>
      <w:r>
        <w:rPr>
          <w:rFonts w:ascii="宋体" w:hAnsi="宋体" w:eastAsia="宋体" w:cs="华文仿宋"/>
          <w:b/>
          <w:bCs/>
          <w:color w:val="auto"/>
          <w:szCs w:val="21"/>
        </w:rPr>
        <w:t>1</w:t>
      </w:r>
      <w:r>
        <w:rPr>
          <w:rFonts w:ascii="宋体" w:hAnsi="宋体" w:cs="华文仿宋"/>
          <w:b/>
          <w:bCs/>
          <w:color w:val="auto"/>
          <w:szCs w:val="21"/>
        </w:rPr>
        <w:t>）承包人的一般责任</w:t>
      </w:r>
      <w:bookmarkEnd w:id="1068"/>
      <w:bookmarkEnd w:id="106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根据合同的各项规定，承包人应负责做好合同规定的设计（如有），精心组织施工，按时完成本合同工程及其缺陷的修复。为此，承包人应提供所需的全部监督管理、劳务、材料、设备、施工装备和其他物品。</w:t>
      </w:r>
    </w:p>
    <w:p>
      <w:pPr>
        <w:keepNext/>
        <w:keepLines/>
        <w:numPr>
          <w:ilvl w:val="0"/>
          <w:numId w:val="0"/>
        </w:numPr>
        <w:spacing w:line="360" w:lineRule="auto"/>
        <w:ind w:firstLine="422"/>
        <w:outlineLvl w:val="4"/>
        <w:rPr>
          <w:rFonts w:ascii="宋体" w:hAnsi="宋体" w:eastAsia="宋体" w:cs="华文仿宋"/>
          <w:b/>
          <w:bCs/>
          <w:color w:val="auto"/>
          <w:szCs w:val="21"/>
        </w:rPr>
      </w:pPr>
      <w:bookmarkStart w:id="1070" w:name="_Toc517530741"/>
      <w:bookmarkStart w:id="1071" w:name="_Toc517532017"/>
      <w:r>
        <w:rPr>
          <w:rFonts w:ascii="宋体" w:hAnsi="宋体" w:cs="华文仿宋"/>
          <w:b/>
          <w:bCs/>
          <w:color w:val="auto"/>
          <w:szCs w:val="21"/>
        </w:rPr>
        <w:t>（</w:t>
      </w:r>
      <w:r>
        <w:rPr>
          <w:rFonts w:ascii="宋体" w:hAnsi="宋体" w:eastAsia="宋体" w:cs="华文仿宋"/>
          <w:b/>
          <w:bCs/>
          <w:color w:val="auto"/>
          <w:szCs w:val="21"/>
        </w:rPr>
        <w:t>2</w:t>
      </w:r>
      <w:r>
        <w:rPr>
          <w:rFonts w:ascii="宋体" w:hAnsi="宋体" w:cs="华文仿宋"/>
          <w:b/>
          <w:bCs/>
          <w:color w:val="auto"/>
          <w:szCs w:val="21"/>
        </w:rPr>
        <w:t>）现场作业和施工方法</w:t>
      </w:r>
      <w:bookmarkEnd w:id="1070"/>
      <w:bookmarkEnd w:id="107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对全部现场作业和施工方法的适应、稳妥和安全性承担全部责任。但是，承包人对于非由其负责的永久工程和临时工程的设计与规范，不应承担责任（另有协议者除外）。如果合同明确规定部分永久工程由承包人设计，则即使有监理人的批准，承包人仍应对该部分永久工程负全部责任。</w:t>
      </w:r>
    </w:p>
    <w:p>
      <w:pPr>
        <w:keepNext/>
        <w:keepLines/>
        <w:numPr>
          <w:ilvl w:val="0"/>
          <w:numId w:val="0"/>
        </w:numPr>
        <w:spacing w:line="360" w:lineRule="auto"/>
        <w:ind w:firstLine="422"/>
        <w:outlineLvl w:val="4"/>
        <w:rPr>
          <w:rFonts w:ascii="宋体" w:hAnsi="宋体" w:eastAsia="宋体" w:cs="华文仿宋"/>
          <w:b/>
          <w:bCs/>
          <w:color w:val="auto"/>
          <w:szCs w:val="21"/>
        </w:rPr>
      </w:pPr>
      <w:bookmarkStart w:id="1072" w:name="_Toc517530742"/>
      <w:bookmarkStart w:id="1073" w:name="_Toc517532018"/>
      <w:r>
        <w:rPr>
          <w:rFonts w:ascii="宋体" w:hAnsi="宋体" w:cs="华文仿宋"/>
          <w:b/>
          <w:bCs/>
          <w:color w:val="auto"/>
          <w:szCs w:val="21"/>
        </w:rPr>
        <w:t>（</w:t>
      </w:r>
      <w:r>
        <w:rPr>
          <w:rFonts w:ascii="宋体" w:hAnsi="宋体" w:eastAsia="宋体" w:cs="华文仿宋"/>
          <w:b/>
          <w:bCs/>
          <w:color w:val="auto"/>
          <w:szCs w:val="21"/>
        </w:rPr>
        <w:t>3</w:t>
      </w:r>
      <w:r>
        <w:rPr>
          <w:rFonts w:ascii="宋体" w:hAnsi="宋体" w:cs="华文仿宋"/>
          <w:b/>
          <w:bCs/>
          <w:color w:val="auto"/>
          <w:szCs w:val="21"/>
        </w:rPr>
        <w:t>）承包人设计的永久工程</w:t>
      </w:r>
      <w:bookmarkEnd w:id="1072"/>
      <w:bookmarkEnd w:id="107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如果合同规定部分永久工程由承包人设计或要求承包人完成施工图设计，则承包人应向监理人提交并要求批准以下文件：</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为使该永久工程达到符合合同约定的标准而需要的图纸、技术规范、计算书和其他资料；</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安装设备的使用和维护手册。</w:t>
      </w:r>
    </w:p>
    <w:p>
      <w:pPr>
        <w:keepNext/>
        <w:keepLines/>
        <w:numPr>
          <w:ilvl w:val="0"/>
          <w:numId w:val="0"/>
        </w:numPr>
        <w:spacing w:line="360" w:lineRule="auto"/>
        <w:ind w:firstLine="422"/>
        <w:outlineLvl w:val="4"/>
        <w:rPr>
          <w:rFonts w:ascii="宋体" w:hAnsi="宋体" w:eastAsia="宋体" w:cs="华文仿宋"/>
          <w:b/>
          <w:bCs/>
          <w:color w:val="auto"/>
          <w:szCs w:val="21"/>
        </w:rPr>
      </w:pPr>
      <w:bookmarkStart w:id="1074" w:name="_Toc517530743"/>
      <w:bookmarkStart w:id="1075" w:name="_Toc517532019"/>
      <w:r>
        <w:rPr>
          <w:rFonts w:ascii="宋体" w:hAnsi="宋体" w:cs="华文仿宋"/>
          <w:b/>
          <w:bCs/>
          <w:color w:val="auto"/>
          <w:szCs w:val="21"/>
        </w:rPr>
        <w:t>（</w:t>
      </w:r>
      <w:r>
        <w:rPr>
          <w:rFonts w:ascii="宋体" w:hAnsi="宋体" w:eastAsia="宋体" w:cs="华文仿宋"/>
          <w:b/>
          <w:bCs/>
          <w:color w:val="auto"/>
          <w:szCs w:val="21"/>
        </w:rPr>
        <w:t>4</w:t>
      </w:r>
      <w:r>
        <w:rPr>
          <w:rFonts w:ascii="宋体" w:hAnsi="宋体" w:cs="华文仿宋"/>
          <w:b/>
          <w:bCs/>
          <w:color w:val="auto"/>
          <w:szCs w:val="21"/>
        </w:rPr>
        <w:t>）批准不影响责任</w:t>
      </w:r>
      <w:bookmarkEnd w:id="1074"/>
      <w:bookmarkEnd w:id="107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承包人应对其进行的临时工程或永久工程的设计负责；监理人根据第</w:t>
      </w:r>
      <w:r>
        <w:rPr>
          <w:rFonts w:ascii="宋体" w:hAnsi="宋体" w:eastAsia="宋体" w:cs="华文仿宋"/>
          <w:color w:val="auto"/>
          <w:szCs w:val="21"/>
        </w:rPr>
        <w:t>3.1.3</w:t>
      </w:r>
      <w:r>
        <w:rPr>
          <w:rFonts w:ascii="宋体" w:hAnsi="宋体" w:cs="华文仿宋"/>
          <w:color w:val="auto"/>
          <w:szCs w:val="21"/>
        </w:rPr>
        <w:t>条规定的批准不应解除或减轻承包人对合同所负的任何责任。</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076" w:name="_Toc2987"/>
      <w:bookmarkStart w:id="1077" w:name="_Toc18401"/>
      <w:bookmarkStart w:id="1078" w:name="_Toc517532020"/>
      <w:bookmarkStart w:id="1079" w:name="_Toc25782"/>
      <w:bookmarkStart w:id="1080" w:name="_Toc25788"/>
      <w:bookmarkStart w:id="1081" w:name="_Toc22681"/>
      <w:bookmarkStart w:id="1082" w:name="_Toc10383"/>
      <w:bookmarkStart w:id="1083" w:name="_Toc9504"/>
      <w:bookmarkStart w:id="1084" w:name="_Toc864"/>
      <w:bookmarkStart w:id="1085" w:name="_Toc517530744"/>
      <w:bookmarkStart w:id="1086" w:name="_Toc17257"/>
      <w:bookmarkStart w:id="1087" w:name="_Toc3893"/>
      <w:bookmarkStart w:id="1088" w:name="_Toc29786"/>
      <w:bookmarkStart w:id="1089" w:name="_Toc12766"/>
      <w:bookmarkStart w:id="1090" w:name="_Toc28137"/>
      <w:bookmarkStart w:id="1091" w:name="_Toc28154"/>
      <w:bookmarkStart w:id="1092" w:name="_Toc31006"/>
      <w:bookmarkStart w:id="1093" w:name="_Toc6950"/>
      <w:bookmarkStart w:id="1094" w:name="_Toc4512"/>
      <w:r>
        <w:rPr>
          <w:rFonts w:ascii="宋体" w:hAnsi="宋体" w:eastAsia="宋体" w:cs="华文仿宋"/>
          <w:b/>
          <w:bCs/>
          <w:color w:val="auto"/>
          <w:sz w:val="24"/>
          <w:szCs w:val="24"/>
        </w:rPr>
        <w:t>3.1.4</w:t>
      </w:r>
      <w:r>
        <w:rPr>
          <w:rFonts w:ascii="宋体" w:hAnsi="宋体" w:cs="华文仿宋"/>
          <w:b/>
          <w:bCs/>
          <w:color w:val="auto"/>
          <w:sz w:val="24"/>
          <w:szCs w:val="24"/>
        </w:rPr>
        <w:t>为其他承包人提供方便</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如果监理人有书面要求，承包人应该：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允许发包人或与发包人签订了承包合同的其他承包人及其职工使用由承包人负责维护的临时道路、桥梁等；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为上述人员提供其他合理服务。</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承包人不得以此提出任何形式的增加费用的要求。</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095" w:name="_Toc23082"/>
      <w:bookmarkStart w:id="1096" w:name="_Toc18554"/>
      <w:bookmarkStart w:id="1097" w:name="_Toc23675"/>
      <w:bookmarkStart w:id="1098" w:name="_Toc26495"/>
      <w:bookmarkStart w:id="1099" w:name="_Toc15488"/>
      <w:bookmarkStart w:id="1100" w:name="_Toc9985"/>
      <w:bookmarkStart w:id="1101" w:name="_Toc30962"/>
      <w:bookmarkStart w:id="1102" w:name="_Toc20524"/>
      <w:bookmarkStart w:id="1103" w:name="_Toc7065"/>
      <w:bookmarkStart w:id="1104" w:name="_Toc30420"/>
      <w:bookmarkStart w:id="1105" w:name="_Toc517530745"/>
      <w:bookmarkStart w:id="1106" w:name="_Toc11841"/>
      <w:bookmarkStart w:id="1107" w:name="_Toc22819"/>
      <w:bookmarkStart w:id="1108" w:name="_Toc30252"/>
      <w:bookmarkStart w:id="1109" w:name="_Toc32325"/>
      <w:bookmarkStart w:id="1110" w:name="_Toc2603"/>
      <w:bookmarkStart w:id="1111" w:name="_Toc16363"/>
      <w:bookmarkStart w:id="1112" w:name="_Toc517532021"/>
      <w:bookmarkStart w:id="1113" w:name="_Toc1500"/>
      <w:r>
        <w:rPr>
          <w:rFonts w:ascii="宋体" w:hAnsi="宋体" w:eastAsia="宋体" w:cs="华文仿宋"/>
          <w:b/>
          <w:bCs/>
          <w:color w:val="auto"/>
          <w:sz w:val="24"/>
          <w:szCs w:val="24"/>
        </w:rPr>
        <w:t>3.1.5</w:t>
      </w:r>
      <w:r>
        <w:rPr>
          <w:rFonts w:ascii="宋体" w:hAnsi="宋体" w:cs="华文仿宋"/>
          <w:b/>
          <w:bCs/>
          <w:color w:val="auto"/>
          <w:sz w:val="24"/>
          <w:szCs w:val="24"/>
        </w:rPr>
        <w:t>施工干扰</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施工过程中，应尽量避免给其他承包人造成施工干扰。凡涉及与相邻合同段不可避免的施工干扰问题，由监理人统筹协调解决，承包人必须服从监理人有关裁决。当与相邻合同段不可避免的施工干扰问题产生时，承包人应相互理解并尽可能为相邻合同段提供便利条件，承包人不得以此提出任何形式的费用增加。</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114" w:name="_Toc24868"/>
      <w:bookmarkStart w:id="1115" w:name="_Toc2030"/>
      <w:bookmarkStart w:id="1116" w:name="_Toc19566"/>
      <w:bookmarkStart w:id="1117" w:name="_Toc12297"/>
      <w:bookmarkStart w:id="1118" w:name="_Toc10356"/>
      <w:bookmarkStart w:id="1119" w:name="_Toc32067"/>
      <w:bookmarkStart w:id="1120" w:name="_Toc3846"/>
      <w:bookmarkStart w:id="1121" w:name="_Toc517532022"/>
      <w:bookmarkStart w:id="1122" w:name="_Toc13521"/>
      <w:bookmarkStart w:id="1123" w:name="_Toc24150"/>
      <w:bookmarkStart w:id="1124" w:name="_Toc13157"/>
      <w:bookmarkStart w:id="1125" w:name="_Toc517530746"/>
      <w:bookmarkStart w:id="1126" w:name="_Toc25557"/>
      <w:bookmarkStart w:id="1127" w:name="_Toc30140"/>
      <w:bookmarkStart w:id="1128" w:name="_Toc7430"/>
      <w:bookmarkStart w:id="1129" w:name="_Toc4004"/>
      <w:bookmarkStart w:id="1130" w:name="_Toc15"/>
      <w:bookmarkStart w:id="1131" w:name="_Toc8262"/>
      <w:bookmarkStart w:id="1132" w:name="_Toc7889"/>
      <w:r>
        <w:rPr>
          <w:rFonts w:ascii="宋体" w:hAnsi="宋体" w:eastAsia="宋体" w:cs="华文仿宋"/>
          <w:b/>
          <w:bCs/>
          <w:color w:val="auto"/>
          <w:sz w:val="24"/>
          <w:szCs w:val="24"/>
        </w:rPr>
        <w:t>3.1.6</w:t>
      </w:r>
      <w:r>
        <w:rPr>
          <w:rFonts w:ascii="宋体" w:hAnsi="宋体" w:cs="华文仿宋"/>
          <w:b/>
          <w:bCs/>
          <w:color w:val="auto"/>
          <w:sz w:val="24"/>
          <w:szCs w:val="24"/>
        </w:rPr>
        <w:t>职业健康</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承包人应按照法律规定保障现场施工人员的劳动安全，并提供劳动保护</w:t>
      </w:r>
      <w:r>
        <w:rPr>
          <w:rFonts w:ascii="宋体" w:hAnsi="宋体" w:eastAsia="宋体" w:cs="华文仿宋"/>
          <w:color w:val="auto"/>
          <w:kern w:val="0"/>
          <w:szCs w:val="21"/>
        </w:rPr>
        <w:t>,</w:t>
      </w:r>
      <w:r>
        <w:rPr>
          <w:rFonts w:ascii="宋体" w:hAnsi="宋体" w:cs="华文仿宋"/>
          <w:color w:val="auto"/>
          <w:kern w:val="0"/>
          <w:szCs w:val="21"/>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承包人应按法律规定安排工作时间，保证其雇佣人员享有休息和休假的权利。</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133" w:name="_Toc28395"/>
      <w:bookmarkStart w:id="1134" w:name="_Toc22683"/>
      <w:bookmarkStart w:id="1135" w:name="_Toc1061"/>
      <w:bookmarkStart w:id="1136" w:name="_Toc633"/>
      <w:bookmarkStart w:id="1137" w:name="_Toc5431"/>
      <w:bookmarkStart w:id="1138" w:name="_Toc517530747"/>
      <w:bookmarkStart w:id="1139" w:name="_Toc23899"/>
      <w:bookmarkStart w:id="1140" w:name="_Toc23973"/>
      <w:bookmarkStart w:id="1141" w:name="_Toc517532023"/>
      <w:bookmarkStart w:id="1142" w:name="_Toc7458"/>
      <w:bookmarkStart w:id="1143" w:name="_Toc5246"/>
      <w:bookmarkStart w:id="1144" w:name="_Toc20006"/>
      <w:bookmarkStart w:id="1145" w:name="_Toc14328"/>
      <w:bookmarkStart w:id="1146" w:name="_Toc14868"/>
      <w:bookmarkStart w:id="1147" w:name="_Toc19887"/>
      <w:bookmarkStart w:id="1148" w:name="_Toc1858"/>
      <w:bookmarkStart w:id="1149" w:name="_Toc8684"/>
      <w:bookmarkStart w:id="1150" w:name="_Toc16915"/>
      <w:bookmarkStart w:id="1151" w:name="_Toc17871"/>
      <w:bookmarkStart w:id="1152" w:name="_Toc31725"/>
      <w:r>
        <w:rPr>
          <w:rFonts w:ascii="宋体" w:hAnsi="宋体" w:eastAsia="宋体" w:cs="华文仿宋"/>
          <w:b/>
          <w:bCs/>
          <w:color w:val="auto"/>
          <w:sz w:val="24"/>
          <w:szCs w:val="24"/>
        </w:rPr>
        <w:t>3.1.7</w:t>
      </w:r>
      <w:r>
        <w:rPr>
          <w:rFonts w:ascii="宋体" w:hAnsi="宋体" w:cs="华文仿宋"/>
          <w:b/>
          <w:bCs/>
          <w:color w:val="auto"/>
          <w:sz w:val="24"/>
          <w:szCs w:val="24"/>
        </w:rPr>
        <w:t>遵守法令规章</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承包人在实施和完成本合同工程及其缺陷修复的全过程中，应该：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遵守国家或所在省（自治区、直辖市）颁布的法律、法令、条例及当地的有关规定；</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遵守有关部门（如铁路、交通、水利、电力、通讯等）的规章、细则等，不因此使本合同工程的实施或缺陷的修复而受到影响。</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保障发包人免于承担由于承包人违反任何上述规定而产生的各种罚款和责任；但发包人也应在承包人开始施工前办妥施工所需的各种证件、批件和有关申请报批手续，取得必须的许可，保障承包人免于承担由于发包人未履行上述义务而产生的各种罚款和责任。否则，双方应各自为其行为负责。</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153" w:name="_Toc7626"/>
      <w:bookmarkStart w:id="1154" w:name="_Toc27676"/>
      <w:bookmarkStart w:id="1155" w:name="_Toc27767"/>
      <w:bookmarkStart w:id="1156" w:name="_Toc4755"/>
      <w:bookmarkStart w:id="1157" w:name="_Toc517530748"/>
      <w:bookmarkStart w:id="1158" w:name="_Toc20622"/>
      <w:bookmarkStart w:id="1159" w:name="_Toc20480"/>
      <w:bookmarkStart w:id="1160" w:name="_Toc13019"/>
      <w:bookmarkStart w:id="1161" w:name="_Toc24133"/>
      <w:bookmarkStart w:id="1162" w:name="_Toc28926"/>
      <w:bookmarkStart w:id="1163" w:name="_Toc4302"/>
      <w:bookmarkStart w:id="1164" w:name="_Toc517532024"/>
      <w:bookmarkStart w:id="1165" w:name="_Toc21383"/>
      <w:bookmarkStart w:id="1166" w:name="_Toc24301"/>
      <w:bookmarkStart w:id="1167" w:name="_Toc23137"/>
      <w:bookmarkStart w:id="1168" w:name="_Toc395"/>
      <w:bookmarkStart w:id="1169" w:name="_Toc14398"/>
      <w:bookmarkStart w:id="1170" w:name="_Toc23443"/>
      <w:bookmarkStart w:id="1171" w:name="_Toc7736"/>
      <w:bookmarkStart w:id="1172" w:name="_Toc15630"/>
      <w:r>
        <w:rPr>
          <w:rFonts w:ascii="宋体" w:hAnsi="宋体" w:eastAsia="宋体" w:cs="华文仿宋"/>
          <w:b/>
          <w:bCs/>
          <w:color w:val="auto"/>
          <w:sz w:val="24"/>
          <w:szCs w:val="24"/>
        </w:rPr>
        <w:t>3.1.8</w:t>
      </w:r>
      <w:r>
        <w:rPr>
          <w:rFonts w:ascii="宋体" w:hAnsi="宋体" w:cs="华文仿宋"/>
          <w:b/>
          <w:bCs/>
          <w:color w:val="auto"/>
          <w:sz w:val="24"/>
          <w:szCs w:val="24"/>
        </w:rPr>
        <w:t>纳税和缴费</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除合同另有规定外，按照法律、法规、规章及规范性文件的规定，承包人或其分包人需缴纳的一切税费，均应由承包人或其分包人承担并支付。</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173" w:name="_Toc17857"/>
      <w:bookmarkStart w:id="1174" w:name="_Toc5818"/>
      <w:bookmarkStart w:id="1175" w:name="_Toc517530749"/>
      <w:bookmarkStart w:id="1176" w:name="_Toc517532025"/>
      <w:bookmarkStart w:id="1177" w:name="_Toc27565"/>
      <w:bookmarkStart w:id="1178" w:name="_Toc5687"/>
      <w:bookmarkStart w:id="1179" w:name="_Toc5147"/>
      <w:bookmarkStart w:id="1180" w:name="_Toc4219"/>
      <w:bookmarkStart w:id="1181" w:name="_Toc26108"/>
      <w:bookmarkStart w:id="1182" w:name="_Toc30029"/>
      <w:bookmarkStart w:id="1183" w:name="_Toc1232"/>
      <w:bookmarkStart w:id="1184" w:name="_Toc29479"/>
      <w:bookmarkStart w:id="1185" w:name="_Toc31788"/>
      <w:bookmarkStart w:id="1186" w:name="_Toc3956"/>
      <w:bookmarkStart w:id="1187" w:name="_Toc11765"/>
      <w:bookmarkStart w:id="1188" w:name="_Toc3307"/>
      <w:bookmarkStart w:id="1189" w:name="_Toc29548"/>
      <w:bookmarkStart w:id="1190" w:name="_Toc26557"/>
      <w:bookmarkStart w:id="1191" w:name="_Toc17869"/>
      <w:r>
        <w:rPr>
          <w:rFonts w:ascii="宋体" w:hAnsi="宋体" w:eastAsia="宋体" w:cs="华文仿宋"/>
          <w:b/>
          <w:bCs/>
          <w:color w:val="auto"/>
          <w:sz w:val="24"/>
          <w:szCs w:val="24"/>
        </w:rPr>
        <w:t>3.1.9</w:t>
      </w:r>
      <w:r>
        <w:rPr>
          <w:rFonts w:ascii="宋体" w:hAnsi="宋体" w:cs="华文仿宋"/>
          <w:b/>
          <w:bCs/>
          <w:color w:val="auto"/>
          <w:sz w:val="24"/>
          <w:szCs w:val="24"/>
        </w:rPr>
        <w:t>专项基金缴纳</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总承包招标项目的承包人应按照有关行业管理部门的规定缴交新型墙体材料专项基金和散装水泥专项基金，由承包人在竣工验收后规定时间内向有关部门申请办理返退。</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192" w:name="_Toc465237091"/>
      <w:bookmarkStart w:id="1193" w:name="_Toc465237189"/>
      <w:bookmarkStart w:id="1194" w:name="_Toc28302"/>
      <w:bookmarkStart w:id="1195" w:name="_Toc10112"/>
      <w:bookmarkStart w:id="1196" w:name="_Toc3615"/>
      <w:bookmarkStart w:id="1197" w:name="_Toc27489"/>
      <w:bookmarkStart w:id="1198" w:name="_Toc7953"/>
      <w:bookmarkStart w:id="1199" w:name="_Toc517530750"/>
      <w:bookmarkStart w:id="1200" w:name="_Toc14423"/>
      <w:bookmarkStart w:id="1201" w:name="_Toc1557"/>
      <w:bookmarkStart w:id="1202" w:name="_Toc819"/>
      <w:bookmarkStart w:id="1203" w:name="_Toc32243"/>
      <w:bookmarkStart w:id="1204" w:name="_Toc32198"/>
      <w:bookmarkStart w:id="1205" w:name="_Toc28109"/>
      <w:bookmarkStart w:id="1206" w:name="_Toc16431"/>
      <w:bookmarkStart w:id="1207" w:name="_Toc517532026"/>
      <w:bookmarkStart w:id="1208" w:name="_Toc682"/>
      <w:bookmarkStart w:id="1209" w:name="_Toc24801"/>
      <w:bookmarkStart w:id="1210" w:name="_Toc12527"/>
      <w:bookmarkStart w:id="1211" w:name="_Toc8510"/>
      <w:bookmarkStart w:id="1212" w:name="_Toc517528662"/>
      <w:bookmarkStart w:id="1213" w:name="_Toc9962"/>
      <w:bookmarkStart w:id="1214" w:name="_Toc29040"/>
      <w:r>
        <w:rPr>
          <w:rFonts w:ascii="宋体" w:hAnsi="宋体" w:eastAsia="宋体" w:cs="华文仿宋"/>
          <w:b/>
          <w:bCs/>
          <w:color w:val="auto"/>
          <w:sz w:val="28"/>
          <w:szCs w:val="28"/>
        </w:rPr>
        <w:t xml:space="preserve">3.2 </w:t>
      </w:r>
      <w:bookmarkEnd w:id="1192"/>
      <w:bookmarkEnd w:id="1193"/>
      <w:bookmarkEnd w:id="1194"/>
      <w:r>
        <w:rPr>
          <w:rFonts w:ascii="宋体" w:hAnsi="宋体" w:cs="华文仿宋"/>
          <w:b/>
          <w:bCs/>
          <w:color w:val="auto"/>
          <w:sz w:val="28"/>
          <w:szCs w:val="28"/>
        </w:rPr>
        <w:t>项目经理</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215" w:name="_Toc23151"/>
      <w:bookmarkStart w:id="1216" w:name="_Toc10153"/>
      <w:bookmarkStart w:id="1217" w:name="_Toc517532027"/>
      <w:bookmarkStart w:id="1218" w:name="_Toc12184"/>
      <w:bookmarkStart w:id="1219" w:name="_Toc26136"/>
      <w:bookmarkStart w:id="1220" w:name="_Toc5632"/>
      <w:bookmarkStart w:id="1221" w:name="_Toc5068"/>
      <w:bookmarkStart w:id="1222" w:name="_Toc11063"/>
      <w:bookmarkStart w:id="1223" w:name="_Toc26382"/>
      <w:bookmarkStart w:id="1224" w:name="_Toc14672"/>
      <w:bookmarkStart w:id="1225" w:name="_Toc15022"/>
      <w:bookmarkStart w:id="1226" w:name="_Toc2332"/>
      <w:bookmarkStart w:id="1227" w:name="_Toc17993"/>
      <w:bookmarkStart w:id="1228" w:name="_Toc27157"/>
      <w:bookmarkStart w:id="1229" w:name="_Toc1490"/>
      <w:bookmarkStart w:id="1230" w:name="_Toc24650"/>
      <w:bookmarkStart w:id="1231" w:name="_Toc20005"/>
      <w:bookmarkStart w:id="1232" w:name="_Toc517530751"/>
      <w:bookmarkStart w:id="1233" w:name="_Toc7631"/>
      <w:bookmarkStart w:id="1234" w:name="_Toc31959"/>
      <w:r>
        <w:rPr>
          <w:rFonts w:ascii="宋体" w:hAnsi="宋体" w:eastAsia="宋体" w:cs="华文仿宋"/>
          <w:b/>
          <w:bCs/>
          <w:color w:val="auto"/>
          <w:sz w:val="24"/>
          <w:szCs w:val="24"/>
        </w:rPr>
        <w:t>3.2.1</w:t>
      </w:r>
      <w:bookmarkEnd w:id="1215"/>
      <w:r>
        <w:rPr>
          <w:rFonts w:ascii="宋体" w:hAnsi="宋体" w:cs="华文仿宋"/>
          <w:b/>
          <w:bCs/>
          <w:color w:val="auto"/>
          <w:sz w:val="24"/>
          <w:szCs w:val="24"/>
        </w:rPr>
        <w:t>项目经理的职责</w: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p>
    <w:p>
      <w:pPr>
        <w:spacing w:line="360" w:lineRule="auto"/>
        <w:rPr>
          <w:rFonts w:ascii="宋体" w:hAnsi="宋体" w:eastAsia="宋体" w:cs="华文仿宋"/>
          <w:color w:val="auto"/>
          <w:szCs w:val="21"/>
        </w:rPr>
      </w:pPr>
      <w:r>
        <w:rPr>
          <w:rFonts w:ascii="宋体" w:hAnsi="宋体" w:cs="华文仿宋"/>
          <w:color w:val="auto"/>
          <w:szCs w:val="21"/>
        </w:rPr>
        <w:t xml:space="preserve">    项目经理应为合同当事人所确认的人选，并在合同专用条款中明确项目经理的姓名、职称、注册执业证书编号、联系方式及授权范围等事项。项目经理经承包人授权后代表承包人负责履行合同。项目经理应是承包人正式聘用的职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项目经理应常驻施工现场，且每月在施工现场时间不得少于专用合同条款约定的天数。项目经理确需离开施工现场时，应事先通知监理人，并取得发包人的书面同意。项目经理的通知中应载明临时代行其职责的人员的注册执业资格、管理经验等资料，该人员应具备履行相应职责的能力。</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承包人违反上述约定的，应按照专用合同条款的约定承担违约责任。</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235" w:name="_Toc5794"/>
      <w:bookmarkStart w:id="1236" w:name="_Toc6210"/>
      <w:bookmarkStart w:id="1237" w:name="_Toc4454"/>
      <w:bookmarkStart w:id="1238" w:name="_Toc21734"/>
      <w:bookmarkStart w:id="1239" w:name="_Toc4697"/>
      <w:bookmarkStart w:id="1240" w:name="_Toc29175"/>
      <w:bookmarkStart w:id="1241" w:name="_Toc517532028"/>
      <w:bookmarkStart w:id="1242" w:name="_Toc17071"/>
      <w:bookmarkStart w:id="1243" w:name="_Toc17209"/>
      <w:bookmarkStart w:id="1244" w:name="_Toc2924"/>
      <w:bookmarkStart w:id="1245" w:name="_Toc1279"/>
      <w:bookmarkStart w:id="1246" w:name="_Toc29387"/>
      <w:bookmarkStart w:id="1247" w:name="_Toc517530752"/>
      <w:bookmarkStart w:id="1248" w:name="_Toc4337"/>
      <w:bookmarkStart w:id="1249" w:name="_Toc12594"/>
      <w:bookmarkStart w:id="1250" w:name="_Toc13428"/>
      <w:bookmarkStart w:id="1251" w:name="_Toc15200"/>
      <w:bookmarkStart w:id="1252" w:name="_Toc28519"/>
      <w:bookmarkStart w:id="1253" w:name="_Toc5238"/>
      <w:r>
        <w:rPr>
          <w:rFonts w:ascii="宋体" w:hAnsi="宋体" w:eastAsia="宋体" w:cs="华文仿宋"/>
          <w:b/>
          <w:bCs/>
          <w:color w:val="auto"/>
          <w:sz w:val="24"/>
          <w:szCs w:val="24"/>
        </w:rPr>
        <w:t>3.2.2</w:t>
      </w:r>
      <w:r>
        <w:rPr>
          <w:rFonts w:ascii="宋体" w:hAnsi="宋体" w:cs="华文仿宋"/>
          <w:b/>
          <w:bCs/>
          <w:color w:val="auto"/>
          <w:sz w:val="24"/>
          <w:szCs w:val="24"/>
        </w:rPr>
        <w:t>紧急情况的处置</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eastAsia="宋体" w:cs="华文仿宋"/>
          <w:color w:val="auto"/>
          <w:szCs w:val="21"/>
        </w:rPr>
        <w:t>48</w:t>
      </w:r>
      <w:r>
        <w:rPr>
          <w:rFonts w:ascii="宋体" w:hAnsi="宋体" w:cs="华文仿宋"/>
          <w:color w:val="auto"/>
          <w:szCs w:val="21"/>
        </w:rPr>
        <w:t>小时内向发包人代表和总监理工程师提交书面报告。</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254" w:name="_Toc22636"/>
      <w:bookmarkStart w:id="1255" w:name="_Toc28076"/>
      <w:bookmarkStart w:id="1256" w:name="_Toc6723"/>
      <w:bookmarkStart w:id="1257" w:name="_Toc30799"/>
      <w:bookmarkStart w:id="1258" w:name="_Toc16048"/>
      <w:bookmarkStart w:id="1259" w:name="_Toc754"/>
      <w:bookmarkStart w:id="1260" w:name="_Toc19651"/>
      <w:bookmarkStart w:id="1261" w:name="_Toc32474"/>
      <w:bookmarkStart w:id="1262" w:name="_Toc25164"/>
      <w:bookmarkStart w:id="1263" w:name="_Toc517530753"/>
      <w:bookmarkStart w:id="1264" w:name="_Toc10629"/>
      <w:bookmarkStart w:id="1265" w:name="_Toc25783"/>
      <w:bookmarkStart w:id="1266" w:name="_Toc20417"/>
      <w:bookmarkStart w:id="1267" w:name="_Toc21051"/>
      <w:bookmarkStart w:id="1268" w:name="_Toc16138"/>
      <w:bookmarkStart w:id="1269" w:name="_Toc24888"/>
      <w:bookmarkStart w:id="1270" w:name="_Toc517532029"/>
      <w:bookmarkStart w:id="1271" w:name="_Toc16906"/>
      <w:bookmarkStart w:id="1272" w:name="_Toc13466"/>
      <w:r>
        <w:rPr>
          <w:rFonts w:ascii="宋体" w:hAnsi="宋体" w:eastAsia="宋体" w:cs="华文仿宋"/>
          <w:b/>
          <w:bCs/>
          <w:color w:val="auto"/>
          <w:sz w:val="24"/>
          <w:szCs w:val="24"/>
        </w:rPr>
        <w:t>3.2.3</w:t>
      </w:r>
      <w:r>
        <w:rPr>
          <w:rFonts w:ascii="宋体" w:hAnsi="宋体" w:cs="华文仿宋"/>
          <w:b/>
          <w:bCs/>
          <w:color w:val="auto"/>
          <w:sz w:val="24"/>
          <w:szCs w:val="24"/>
        </w:rPr>
        <w:t>项目经理的更换</w:t>
      </w:r>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需要更换投标文件附表所报项目经理或项目技术负责人名单，应事先与监理人协商并取得发包人的同意。如果监理人认为已委派的项目经理或项目技术负责人的工作能力和业务水平不能胜任履行合同义务经发包人同意而需要撤换时，承包人应在接到通知</w:t>
      </w:r>
      <w:r>
        <w:rPr>
          <w:rFonts w:ascii="宋体" w:hAnsi="宋体" w:eastAsia="宋体" w:cs="华文仿宋"/>
          <w:color w:val="auto"/>
          <w:szCs w:val="21"/>
        </w:rPr>
        <w:t>14</w:t>
      </w:r>
      <w:r>
        <w:rPr>
          <w:rFonts w:ascii="宋体" w:hAnsi="宋体" w:cs="华文仿宋"/>
          <w:color w:val="auto"/>
          <w:szCs w:val="21"/>
        </w:rPr>
        <w:t>天内，尽快撤回委派的项目经理或项目技术负责人，同时委派一名新的经发包人与监理人同意的项目经理或项目技术负责人。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项目经理的更换按照专用条款相关约定执行。</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273" w:name="_Toc10749"/>
      <w:bookmarkStart w:id="1274" w:name="_Toc22172"/>
      <w:bookmarkStart w:id="1275" w:name="_Toc517532030"/>
      <w:bookmarkStart w:id="1276" w:name="_Toc29597"/>
      <w:bookmarkStart w:id="1277" w:name="_Toc14760"/>
      <w:bookmarkStart w:id="1278" w:name="_Toc26949"/>
      <w:bookmarkStart w:id="1279" w:name="_Toc18990"/>
      <w:bookmarkStart w:id="1280" w:name="_Toc8159"/>
      <w:bookmarkStart w:id="1281" w:name="_Toc517528663"/>
      <w:bookmarkStart w:id="1282" w:name="_Toc17830"/>
      <w:bookmarkStart w:id="1283" w:name="_Toc517530754"/>
      <w:bookmarkStart w:id="1284" w:name="_Toc23895"/>
      <w:bookmarkStart w:id="1285" w:name="_Toc10507"/>
      <w:bookmarkStart w:id="1286" w:name="_Toc3241"/>
      <w:bookmarkStart w:id="1287" w:name="_Toc28094"/>
      <w:bookmarkStart w:id="1288" w:name="_Toc25497"/>
      <w:bookmarkStart w:id="1289" w:name="_Toc32604"/>
      <w:bookmarkStart w:id="1290" w:name="_Toc29331"/>
      <w:bookmarkStart w:id="1291" w:name="_Toc32682"/>
      <w:bookmarkStart w:id="1292" w:name="_Toc25373"/>
      <w:r>
        <w:rPr>
          <w:rFonts w:ascii="宋体" w:hAnsi="宋体" w:eastAsia="宋体" w:cs="华文仿宋"/>
          <w:b/>
          <w:bCs/>
          <w:color w:val="auto"/>
          <w:sz w:val="28"/>
          <w:szCs w:val="28"/>
        </w:rPr>
        <w:t xml:space="preserve">3.3 </w:t>
      </w:r>
      <w:r>
        <w:rPr>
          <w:rFonts w:ascii="宋体" w:hAnsi="宋体" w:cs="华文仿宋"/>
          <w:b/>
          <w:bCs/>
          <w:color w:val="auto"/>
          <w:sz w:val="28"/>
          <w:szCs w:val="28"/>
        </w:rPr>
        <w:t>承包人人员</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293" w:name="_Toc16376"/>
      <w:bookmarkStart w:id="1294" w:name="_Toc10100"/>
      <w:bookmarkStart w:id="1295" w:name="_Toc22789"/>
      <w:bookmarkStart w:id="1296" w:name="_Toc517532031"/>
      <w:bookmarkStart w:id="1297" w:name="_Toc7265"/>
      <w:bookmarkStart w:id="1298" w:name="_Toc9368"/>
      <w:bookmarkStart w:id="1299" w:name="_Toc2280"/>
      <w:bookmarkStart w:id="1300" w:name="_Toc7835"/>
      <w:bookmarkStart w:id="1301" w:name="_Toc17548"/>
      <w:bookmarkStart w:id="1302" w:name="_Toc32645"/>
      <w:bookmarkStart w:id="1303" w:name="_Toc517530755"/>
      <w:bookmarkStart w:id="1304" w:name="_Toc20297"/>
      <w:bookmarkStart w:id="1305" w:name="_Toc6143"/>
      <w:bookmarkStart w:id="1306" w:name="_Toc2584"/>
      <w:bookmarkStart w:id="1307" w:name="_Toc23828"/>
      <w:bookmarkStart w:id="1308" w:name="_Toc32743"/>
      <w:bookmarkStart w:id="1309" w:name="_Toc3506"/>
      <w:bookmarkStart w:id="1310" w:name="_Toc10021"/>
      <w:bookmarkStart w:id="1311" w:name="_Toc11626"/>
      <w:r>
        <w:rPr>
          <w:rFonts w:ascii="宋体" w:hAnsi="宋体" w:eastAsia="宋体" w:cs="华文仿宋"/>
          <w:b/>
          <w:bCs/>
          <w:color w:val="auto"/>
          <w:sz w:val="24"/>
          <w:szCs w:val="24"/>
        </w:rPr>
        <w:t>3.3.1</w:t>
      </w:r>
      <w:r>
        <w:rPr>
          <w:rFonts w:ascii="宋体" w:hAnsi="宋体" w:cs="华文仿宋"/>
          <w:b/>
          <w:bCs/>
          <w:color w:val="auto"/>
          <w:sz w:val="24"/>
          <w:szCs w:val="24"/>
        </w:rPr>
        <w:t>职工的聘（雇）用</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合同另有规定外，承包人应自行聘（雇）用当地或其他来源的职员和工人，并负责支付上述人员的工资（包括住宿及交通等费用），以及进场和退场的一切费用。承包人聘（雇）员应到在当地注册的劳务部门办理手续，并与其聘（雇）用的员工订立劳动合同（劳务合同）。承包人应当及时、审慎地处理其聘用或雇用的人员因本合同工程与承包人发生的劳动（劳务）纠纷，避免给发包人造成困扰或损失。</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承包人不得从为发包人或监理人服务的人员中招聘雇员或工人。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承包人不得以任何发包人的责任为理由延期支付上述人员的工资。</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312" w:name="_Toc25113"/>
      <w:bookmarkStart w:id="1313" w:name="_Toc9177"/>
      <w:bookmarkStart w:id="1314" w:name="_Toc14239"/>
      <w:bookmarkStart w:id="1315" w:name="_Toc7926"/>
      <w:bookmarkStart w:id="1316" w:name="_Toc517530756"/>
      <w:bookmarkStart w:id="1317" w:name="_Toc9020"/>
      <w:bookmarkStart w:id="1318" w:name="_Toc6922"/>
      <w:bookmarkStart w:id="1319" w:name="_Toc16992"/>
      <w:bookmarkStart w:id="1320" w:name="_Toc517532032"/>
      <w:bookmarkStart w:id="1321" w:name="_Toc28746"/>
      <w:bookmarkStart w:id="1322" w:name="_Toc32613"/>
      <w:bookmarkStart w:id="1323" w:name="_Toc2741"/>
      <w:bookmarkStart w:id="1324" w:name="_Toc12397"/>
      <w:bookmarkStart w:id="1325" w:name="_Toc22637"/>
      <w:bookmarkStart w:id="1326" w:name="_Toc13243"/>
      <w:bookmarkStart w:id="1327" w:name="_Toc17468"/>
      <w:bookmarkStart w:id="1328" w:name="_Toc14855"/>
      <w:bookmarkStart w:id="1329" w:name="_Toc26857"/>
      <w:bookmarkStart w:id="1330" w:name="_Toc26403"/>
      <w:r>
        <w:rPr>
          <w:rFonts w:ascii="宋体" w:hAnsi="宋体" w:eastAsia="宋体" w:cs="华文仿宋"/>
          <w:b/>
          <w:bCs/>
          <w:color w:val="auto"/>
          <w:sz w:val="24"/>
          <w:szCs w:val="24"/>
        </w:rPr>
        <w:t>3.3.2</w:t>
      </w:r>
      <w:r>
        <w:rPr>
          <w:rFonts w:ascii="宋体" w:hAnsi="宋体" w:cs="华文仿宋"/>
          <w:b/>
          <w:bCs/>
          <w:color w:val="auto"/>
          <w:sz w:val="24"/>
          <w:szCs w:val="24"/>
        </w:rPr>
        <w:t>承包人的职工</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承包人应向现场派遣或雇用为实施和完成本合同工程及其缺陷的修复而需要的人员：</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在本行业中技术熟练、经验丰富的各类专业技术人员和有能力进行施工管理、指导作业的工长；</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适应本工程需要的各类熟练技工、半熟练技工和普通工。</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331" w:name="_Toc8208"/>
      <w:bookmarkStart w:id="1332" w:name="_Toc7698"/>
      <w:bookmarkStart w:id="1333" w:name="_Toc20780"/>
      <w:bookmarkStart w:id="1334" w:name="_Toc8689"/>
      <w:bookmarkStart w:id="1335" w:name="_Toc29689"/>
      <w:bookmarkStart w:id="1336" w:name="_Toc10059"/>
      <w:bookmarkStart w:id="1337" w:name="_Toc7527"/>
      <w:bookmarkStart w:id="1338" w:name="_Toc246"/>
      <w:bookmarkStart w:id="1339" w:name="_Toc3813"/>
      <w:bookmarkStart w:id="1340" w:name="_Toc17207"/>
      <w:bookmarkStart w:id="1341" w:name="_Toc18188"/>
      <w:bookmarkStart w:id="1342" w:name="_Toc20910"/>
      <w:bookmarkStart w:id="1343" w:name="_Toc27506"/>
      <w:bookmarkStart w:id="1344" w:name="_Toc8216"/>
      <w:bookmarkStart w:id="1345" w:name="_Toc517532033"/>
      <w:bookmarkStart w:id="1346" w:name="_Toc29909"/>
      <w:bookmarkStart w:id="1347" w:name="_Toc990"/>
      <w:bookmarkStart w:id="1348" w:name="_Toc517530757"/>
      <w:bookmarkStart w:id="1349" w:name="_Toc16618"/>
      <w:r>
        <w:rPr>
          <w:rFonts w:ascii="宋体" w:hAnsi="宋体" w:eastAsia="宋体" w:cs="华文仿宋"/>
          <w:b/>
          <w:bCs/>
          <w:color w:val="auto"/>
          <w:sz w:val="24"/>
          <w:szCs w:val="24"/>
        </w:rPr>
        <w:t>3.3.3</w:t>
      </w:r>
      <w:r>
        <w:rPr>
          <w:rFonts w:ascii="宋体" w:hAnsi="宋体" w:cs="华文仿宋"/>
          <w:b/>
          <w:bCs/>
          <w:color w:val="auto"/>
          <w:sz w:val="24"/>
          <w:szCs w:val="24"/>
        </w:rPr>
        <w:t>承包人人员及装备统计</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提出要求，承包人应向监理人提交一份详细的统计表，其格式和提交的间隔时间应符合监理人的规定。该表应填报承包人在现场的各类职员和各个工种、等级的工人人数，以及监理人要求的有关承包人装备等资料。</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350" w:name="_Toc32109"/>
      <w:bookmarkStart w:id="1351" w:name="_Toc517530758"/>
      <w:bookmarkStart w:id="1352" w:name="_Toc23761"/>
      <w:bookmarkStart w:id="1353" w:name="_Toc32370"/>
      <w:bookmarkStart w:id="1354" w:name="_Toc23240"/>
      <w:bookmarkStart w:id="1355" w:name="_Toc30237"/>
      <w:bookmarkStart w:id="1356" w:name="_Toc22342"/>
      <w:bookmarkStart w:id="1357" w:name="_Toc14927"/>
      <w:bookmarkStart w:id="1358" w:name="_Toc10830"/>
      <w:bookmarkStart w:id="1359" w:name="_Toc6654"/>
      <w:bookmarkStart w:id="1360" w:name="_Toc11834"/>
      <w:bookmarkStart w:id="1361" w:name="_Toc29335"/>
      <w:bookmarkStart w:id="1362" w:name="_Toc9545"/>
      <w:bookmarkStart w:id="1363" w:name="_Toc18061"/>
      <w:bookmarkStart w:id="1364" w:name="_Toc15945"/>
      <w:bookmarkStart w:id="1365" w:name="_Toc28798"/>
      <w:bookmarkStart w:id="1366" w:name="_Toc517532034"/>
      <w:bookmarkStart w:id="1367" w:name="_Toc7362"/>
      <w:bookmarkStart w:id="1368" w:name="_Toc28007"/>
      <w:r>
        <w:rPr>
          <w:rFonts w:ascii="宋体" w:hAnsi="宋体" w:eastAsia="宋体" w:cs="华文仿宋"/>
          <w:b/>
          <w:bCs/>
          <w:color w:val="auto"/>
          <w:sz w:val="24"/>
          <w:szCs w:val="24"/>
        </w:rPr>
        <w:t>3.3.4</w:t>
      </w:r>
      <w:r>
        <w:rPr>
          <w:rFonts w:ascii="宋体" w:hAnsi="宋体" w:cs="华文仿宋"/>
          <w:b/>
          <w:bCs/>
          <w:color w:val="auto"/>
          <w:sz w:val="24"/>
          <w:szCs w:val="24"/>
        </w:rPr>
        <w:t>承包人人员的更换与撤换</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监理人或发包人有权要求承包人撤换由其派遣或雇用的那些工作不能胜任、玩忽职守、工作不负责任的其他人员。已被撤换的人员未经监理人同意不得重新回到本合同工程工作。</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369" w:name="_Toc517532035"/>
      <w:bookmarkStart w:id="1370" w:name="_Toc3792"/>
      <w:bookmarkStart w:id="1371" w:name="_Toc4800"/>
      <w:bookmarkStart w:id="1372" w:name="_Toc517530759"/>
      <w:bookmarkStart w:id="1373" w:name="_Toc29043"/>
      <w:bookmarkStart w:id="1374" w:name="_Toc12507"/>
      <w:bookmarkStart w:id="1375" w:name="_Toc3442"/>
      <w:bookmarkStart w:id="1376" w:name="_Toc29935"/>
      <w:bookmarkStart w:id="1377" w:name="_Toc19123"/>
      <w:bookmarkStart w:id="1378" w:name="_Toc13397"/>
      <w:bookmarkStart w:id="1379" w:name="_Toc18756"/>
      <w:bookmarkStart w:id="1380" w:name="_Toc26884"/>
      <w:bookmarkStart w:id="1381" w:name="_Toc10254"/>
      <w:bookmarkStart w:id="1382" w:name="_Toc23377"/>
      <w:bookmarkStart w:id="1383" w:name="_Toc14384"/>
      <w:bookmarkStart w:id="1384" w:name="_Toc16080"/>
      <w:bookmarkStart w:id="1385" w:name="_Toc429"/>
      <w:bookmarkStart w:id="1386" w:name="_Toc27953"/>
      <w:bookmarkStart w:id="1387" w:name="_Toc23318"/>
      <w:r>
        <w:rPr>
          <w:rFonts w:ascii="宋体" w:hAnsi="宋体" w:eastAsia="宋体" w:cs="华文仿宋"/>
          <w:b/>
          <w:bCs/>
          <w:color w:val="auto"/>
          <w:sz w:val="24"/>
          <w:szCs w:val="24"/>
        </w:rPr>
        <w:t>3.3.5</w:t>
      </w:r>
      <w:r>
        <w:rPr>
          <w:rFonts w:ascii="宋体" w:hAnsi="宋体" w:cs="华文仿宋"/>
          <w:b/>
          <w:bCs/>
          <w:color w:val="auto"/>
          <w:sz w:val="24"/>
          <w:szCs w:val="24"/>
        </w:rPr>
        <w:t>劳务分包与工资支付</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pPr>
        <w:snapToGrid w:val="0"/>
        <w:spacing w:line="360" w:lineRule="auto"/>
        <w:ind w:firstLine="430"/>
        <w:jc w:val="left"/>
        <w:rPr>
          <w:rFonts w:ascii="宋体" w:hAnsi="宋体" w:eastAsia="宋体" w:cs="华文仿宋"/>
          <w:b/>
          <w:bCs/>
          <w:color w:val="auto"/>
          <w:spacing w:val="2"/>
          <w:szCs w:val="21"/>
        </w:rPr>
      </w:pPr>
      <w:r>
        <w:rPr>
          <w:rFonts w:ascii="宋体" w:hAnsi="宋体" w:cs="华文仿宋"/>
          <w:b/>
          <w:bCs/>
          <w:color w:val="auto"/>
          <w:spacing w:val="2"/>
          <w:szCs w:val="21"/>
        </w:rPr>
        <w:t>（</w:t>
      </w:r>
      <w:r>
        <w:rPr>
          <w:rFonts w:ascii="宋体" w:hAnsi="宋体" w:eastAsia="宋体" w:cs="华文仿宋"/>
          <w:b/>
          <w:bCs/>
          <w:color w:val="auto"/>
          <w:spacing w:val="2"/>
          <w:szCs w:val="21"/>
        </w:rPr>
        <w:t>a</w:t>
      </w:r>
      <w:r>
        <w:rPr>
          <w:rFonts w:ascii="宋体" w:hAnsi="宋体" w:cs="华文仿宋"/>
          <w:b/>
          <w:bCs/>
          <w:color w:val="auto"/>
          <w:spacing w:val="2"/>
          <w:szCs w:val="21"/>
        </w:rPr>
        <w:t>）劳务工工资的支付</w:t>
      </w:r>
    </w:p>
    <w:p>
      <w:pPr>
        <w:snapToGrid w:val="0"/>
        <w:spacing w:line="360" w:lineRule="auto"/>
        <w:ind w:firstLine="428"/>
        <w:jc w:val="left"/>
        <w:rPr>
          <w:rFonts w:ascii="宋体" w:hAnsi="宋体" w:eastAsia="宋体" w:cs="华文仿宋"/>
          <w:color w:val="auto"/>
          <w:spacing w:val="2"/>
          <w:szCs w:val="21"/>
        </w:rPr>
      </w:pPr>
      <w:r>
        <w:rPr>
          <w:rFonts w:ascii="宋体" w:hAnsi="宋体" w:cs="华文仿宋"/>
          <w:color w:val="auto"/>
          <w:spacing w:val="2"/>
          <w:szCs w:val="21"/>
        </w:rPr>
        <w:t>承包人必须严格按照国家、省、市等有关规定支付劳务工工资，不得拖欠或克扣。</w:t>
      </w:r>
    </w:p>
    <w:p>
      <w:pPr>
        <w:snapToGrid w:val="0"/>
        <w:spacing w:line="360" w:lineRule="auto"/>
        <w:ind w:firstLine="422"/>
        <w:jc w:val="left"/>
        <w:rPr>
          <w:rFonts w:ascii="宋体" w:hAnsi="宋体" w:eastAsia="宋体" w:cs="华文仿宋"/>
          <w:b/>
          <w:color w:val="auto"/>
          <w:szCs w:val="21"/>
        </w:rPr>
      </w:pPr>
      <w:r>
        <w:rPr>
          <w:rFonts w:ascii="宋体" w:hAnsi="宋体" w:cs="华文仿宋"/>
          <w:b/>
          <w:color w:val="auto"/>
          <w:szCs w:val="21"/>
        </w:rPr>
        <w:t>（</w:t>
      </w:r>
      <w:r>
        <w:rPr>
          <w:rFonts w:ascii="宋体" w:hAnsi="宋体" w:eastAsia="宋体" w:cs="华文仿宋"/>
          <w:b/>
          <w:color w:val="auto"/>
          <w:szCs w:val="21"/>
        </w:rPr>
        <w:t>b</w:t>
      </w:r>
      <w:r>
        <w:rPr>
          <w:rFonts w:ascii="宋体" w:hAnsi="宋体" w:cs="华文仿宋"/>
          <w:b/>
          <w:color w:val="auto"/>
          <w:szCs w:val="21"/>
        </w:rPr>
        <w:t>）劳务分包工作</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建筑劳务分包工作按建设行政主管部门有关规定执行。</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388" w:name="_Toc30702"/>
      <w:bookmarkStart w:id="1389" w:name="_Toc2018"/>
      <w:bookmarkStart w:id="1390" w:name="_Toc517532036"/>
      <w:bookmarkStart w:id="1391" w:name="_Toc22373"/>
      <w:bookmarkStart w:id="1392" w:name="_Toc4139"/>
      <w:bookmarkStart w:id="1393" w:name="_Toc26963"/>
      <w:bookmarkStart w:id="1394" w:name="_Toc18363"/>
      <w:bookmarkStart w:id="1395" w:name="_Toc1533"/>
      <w:bookmarkStart w:id="1396" w:name="_Toc5870"/>
      <w:bookmarkStart w:id="1397" w:name="_Toc517530760"/>
      <w:bookmarkStart w:id="1398" w:name="_Toc31505"/>
      <w:bookmarkStart w:id="1399" w:name="_Toc16716"/>
      <w:bookmarkStart w:id="1400" w:name="_Toc18471"/>
      <w:bookmarkStart w:id="1401" w:name="_Toc32121"/>
      <w:bookmarkStart w:id="1402" w:name="_Toc30979"/>
      <w:bookmarkStart w:id="1403" w:name="_Toc30575"/>
      <w:bookmarkStart w:id="1404" w:name="_Toc6035"/>
      <w:bookmarkStart w:id="1405" w:name="_Toc29258"/>
      <w:bookmarkStart w:id="1406" w:name="_Toc10285"/>
      <w:r>
        <w:rPr>
          <w:rFonts w:ascii="宋体" w:hAnsi="宋体" w:eastAsia="宋体" w:cs="华文仿宋"/>
          <w:b/>
          <w:bCs/>
          <w:color w:val="auto"/>
          <w:sz w:val="24"/>
          <w:szCs w:val="24"/>
        </w:rPr>
        <w:t>3.3.6</w:t>
      </w:r>
      <w:r>
        <w:rPr>
          <w:rFonts w:ascii="宋体" w:hAnsi="宋体" w:cs="华文仿宋"/>
          <w:b/>
          <w:bCs/>
          <w:color w:val="auto"/>
          <w:sz w:val="24"/>
          <w:szCs w:val="24"/>
        </w:rPr>
        <w:t>劳务协议报备</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承包人签订的劳务协议的副本应报送监理人核备。承包人不得以签订劳务协议为名行分包之实。如经发现，按第</w:t>
      </w:r>
      <w:r>
        <w:rPr>
          <w:rFonts w:ascii="宋体" w:hAnsi="宋体" w:eastAsia="宋体" w:cs="华文仿宋"/>
          <w:color w:val="auto"/>
          <w:szCs w:val="21"/>
        </w:rPr>
        <w:t>3.5.1</w:t>
      </w:r>
      <w:r>
        <w:rPr>
          <w:rFonts w:ascii="宋体" w:hAnsi="宋体" w:cs="华文仿宋"/>
          <w:color w:val="auto"/>
          <w:szCs w:val="21"/>
        </w:rPr>
        <w:t>条处理。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r>
        <w:rPr>
          <w:rFonts w:ascii="宋体" w:hAnsi="宋体" w:eastAsia="宋体" w:cs="华文仿宋"/>
          <w:b/>
          <w:bCs/>
          <w:color w:val="auto"/>
          <w:sz w:val="24"/>
          <w:szCs w:val="24"/>
        </w:rPr>
        <w:t>3.3.7</w:t>
      </w:r>
      <w:r>
        <w:rPr>
          <w:rFonts w:ascii="宋体" w:hAnsi="宋体" w:cs="华文仿宋"/>
          <w:b/>
          <w:bCs/>
          <w:color w:val="auto"/>
          <w:sz w:val="24"/>
          <w:szCs w:val="24"/>
        </w:rPr>
        <w:t>实名制管理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须同意接受发包人对承包人涉及本项目管理的现场主要项目管理人员进行实名采集管理，具体包括实名信息采集登记、电子签到和人员考勤。现场主要项目管理人员包括项目经理、项目副经理、施工技术负责人、质量员、安全员等工地组织机构的主要管理人员。实名信息采集登记人员须持本人身份证在指定地点进行拍照采集，采集内容包括人员姓名、身份证信息、电话号码、人脸识别图像等相关信息。纳入电子签到范围人员参加投标文件澄清、每次到达项目现场或甲方指定地址参加会议、现场检查等工作时，须通过人脸识别考勤设备进行电子签到。参建单位人员实名登记、签到、考勤等情况将作为项目履约评价的重要指标。</w:t>
      </w:r>
      <w:bookmarkStart w:id="1407" w:name="_Toc337558749"/>
      <w:bookmarkEnd w:id="1407"/>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408" w:name="_Toc11698"/>
      <w:bookmarkStart w:id="1409" w:name="_Toc15006"/>
      <w:bookmarkStart w:id="1410" w:name="_Toc29240"/>
      <w:bookmarkStart w:id="1411" w:name="_Toc21622"/>
      <w:bookmarkStart w:id="1412" w:name="_Toc517528664"/>
      <w:bookmarkStart w:id="1413" w:name="_Toc3668"/>
      <w:bookmarkStart w:id="1414" w:name="_Toc19624"/>
      <w:bookmarkStart w:id="1415" w:name="_Toc13926"/>
      <w:bookmarkStart w:id="1416" w:name="_Toc31372"/>
      <w:bookmarkStart w:id="1417" w:name="_Toc16507"/>
      <w:bookmarkStart w:id="1418" w:name="_Toc24034"/>
      <w:bookmarkStart w:id="1419" w:name="_Toc5813"/>
      <w:bookmarkStart w:id="1420" w:name="_Toc15059"/>
      <w:bookmarkStart w:id="1421" w:name="_Toc330"/>
      <w:bookmarkStart w:id="1422" w:name="_Toc517532037"/>
      <w:bookmarkStart w:id="1423" w:name="_Toc517530761"/>
      <w:bookmarkStart w:id="1424" w:name="_Toc8900"/>
      <w:bookmarkStart w:id="1425" w:name="_Toc25508"/>
      <w:bookmarkStart w:id="1426" w:name="_Toc5759"/>
      <w:bookmarkStart w:id="1427" w:name="_Toc30568"/>
      <w:bookmarkStart w:id="1428" w:name="_Toc10027"/>
      <w:r>
        <w:rPr>
          <w:rFonts w:ascii="宋体" w:hAnsi="宋体" w:eastAsia="宋体" w:cs="华文仿宋"/>
          <w:b/>
          <w:bCs/>
          <w:color w:val="auto"/>
          <w:sz w:val="28"/>
          <w:szCs w:val="28"/>
        </w:rPr>
        <w:t xml:space="preserve">3.4 </w:t>
      </w:r>
      <w:r>
        <w:rPr>
          <w:rFonts w:ascii="宋体" w:hAnsi="宋体" w:cs="华文仿宋"/>
          <w:b/>
          <w:bCs/>
          <w:color w:val="auto"/>
          <w:sz w:val="28"/>
          <w:szCs w:val="28"/>
        </w:rPr>
        <w:t>承包人现场查勘</w:t>
      </w:r>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429" w:name="_Toc11258"/>
      <w:bookmarkStart w:id="1430" w:name="_Toc17240"/>
      <w:bookmarkStart w:id="1431" w:name="_Toc26548"/>
      <w:bookmarkStart w:id="1432" w:name="_Toc15245"/>
      <w:bookmarkStart w:id="1433" w:name="_Toc7895"/>
      <w:bookmarkStart w:id="1434" w:name="_Toc9563"/>
      <w:bookmarkStart w:id="1435" w:name="_Toc25007"/>
      <w:bookmarkStart w:id="1436" w:name="_Toc22406"/>
      <w:bookmarkStart w:id="1437" w:name="_Toc8626"/>
      <w:bookmarkStart w:id="1438" w:name="_Toc18928"/>
      <w:bookmarkStart w:id="1439" w:name="_Toc4059"/>
      <w:bookmarkStart w:id="1440" w:name="_Toc517532038"/>
      <w:bookmarkStart w:id="1441" w:name="_Toc23976"/>
      <w:bookmarkStart w:id="1442" w:name="_Toc7837"/>
      <w:bookmarkStart w:id="1443" w:name="_Toc3367"/>
      <w:bookmarkStart w:id="1444" w:name="_Toc13203"/>
      <w:bookmarkStart w:id="1445" w:name="_Toc25771"/>
      <w:bookmarkStart w:id="1446" w:name="_Toc517530762"/>
      <w:bookmarkStart w:id="1447" w:name="_Toc23438"/>
      <w:r>
        <w:rPr>
          <w:rFonts w:ascii="宋体" w:hAnsi="宋体" w:eastAsia="宋体" w:cs="华文仿宋"/>
          <w:b/>
          <w:bCs/>
          <w:color w:val="auto"/>
          <w:sz w:val="24"/>
          <w:szCs w:val="24"/>
        </w:rPr>
        <w:t>3.4.1</w:t>
      </w:r>
      <w:r>
        <w:rPr>
          <w:rFonts w:ascii="宋体" w:hAnsi="宋体" w:cs="华文仿宋"/>
          <w:b/>
          <w:bCs/>
          <w:color w:val="auto"/>
          <w:sz w:val="24"/>
          <w:szCs w:val="24"/>
        </w:rPr>
        <w:t>勘察资料</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p>
    <w:p>
      <w:pPr>
        <w:spacing w:line="360" w:lineRule="auto"/>
        <w:rPr>
          <w:rFonts w:ascii="宋体" w:hAnsi="宋体" w:eastAsia="宋体" w:cs="华文仿宋"/>
          <w:color w:val="auto"/>
          <w:szCs w:val="21"/>
        </w:rPr>
      </w:pPr>
      <w:r>
        <w:rPr>
          <w:rFonts w:ascii="宋体" w:hAnsi="宋体" w:cs="华文仿宋"/>
          <w:color w:val="auto"/>
          <w:szCs w:val="21"/>
        </w:rPr>
        <w:t xml:space="preserve">    发包人或发包人委托的勘察设计单位提供的水文、地质、气象等资料供承包人参考。但上述资料决不意味着免除根据合同文件应由承包人承担的任何责任，承包人在编制投标书之前，应研究和分析发包人提供的水文、地质、气象等资料，承包人自己应对该资料的理解、判断和应用负责。</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448" w:name="_Toc517530763"/>
      <w:bookmarkStart w:id="1449" w:name="_Toc517532039"/>
      <w:bookmarkStart w:id="1450" w:name="_Toc29827"/>
      <w:bookmarkStart w:id="1451" w:name="_Toc10101"/>
      <w:bookmarkStart w:id="1452" w:name="_Toc24561"/>
      <w:bookmarkStart w:id="1453" w:name="_Toc9057"/>
      <w:bookmarkStart w:id="1454" w:name="_Toc1616"/>
      <w:bookmarkStart w:id="1455" w:name="_Toc18395"/>
      <w:bookmarkStart w:id="1456" w:name="_Toc5916"/>
      <w:bookmarkStart w:id="1457" w:name="_Toc27010"/>
      <w:bookmarkStart w:id="1458" w:name="_Toc31911"/>
      <w:bookmarkStart w:id="1459" w:name="_Toc3902"/>
      <w:bookmarkStart w:id="1460" w:name="_Toc4590"/>
      <w:bookmarkStart w:id="1461" w:name="_Toc16395"/>
      <w:bookmarkStart w:id="1462" w:name="_Toc28438"/>
      <w:bookmarkStart w:id="1463" w:name="_Toc13814"/>
      <w:bookmarkStart w:id="1464" w:name="_Toc11913"/>
      <w:bookmarkStart w:id="1465" w:name="_Toc5655"/>
      <w:bookmarkStart w:id="1466" w:name="_Toc9283"/>
      <w:bookmarkStart w:id="1467" w:name="_Toc7282"/>
      <w:r>
        <w:rPr>
          <w:rFonts w:ascii="宋体" w:hAnsi="宋体" w:eastAsia="宋体" w:cs="华文仿宋"/>
          <w:b/>
          <w:bCs/>
          <w:color w:val="auto"/>
          <w:sz w:val="24"/>
          <w:szCs w:val="24"/>
        </w:rPr>
        <w:t>3.4.2</w:t>
      </w:r>
      <w:r>
        <w:rPr>
          <w:rFonts w:ascii="宋体" w:hAnsi="宋体" w:cs="华文仿宋"/>
          <w:b/>
          <w:bCs/>
          <w:color w:val="auto"/>
          <w:sz w:val="24"/>
          <w:szCs w:val="24"/>
        </w:rPr>
        <w:t>现场考察</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编制投标文件之前，除发包人统一组织现场考察外，还可根据需要自行进入现场进行详细考察。承包人确认，其在送交投标文件之前，已对现场和其周围环境以及与之有关可得到的资料进行了察看和核查，并对以下几点内容已经查明：</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现场的地形地貌和特征，包括地表以下的情况；</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水文和气象条件；</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实施和完成本合同工程及其缺陷的修复所需做的工作范围、性质和所需用的材料采购和加工；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进入现场的手段和需要的住宿供应条件、临时给排水及供电条件；</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当地的乡规民约和风俗习惯。</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还应认为，承包人已取得有关可能对投标有影响或起作用的风险、意外及其所有其他情况的必要资料。</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468" w:name="_Toc13953"/>
      <w:bookmarkStart w:id="1469" w:name="_Toc517530764"/>
      <w:bookmarkStart w:id="1470" w:name="_Toc15592"/>
      <w:bookmarkStart w:id="1471" w:name="_Toc31113"/>
      <w:bookmarkStart w:id="1472" w:name="_Toc28564"/>
      <w:bookmarkStart w:id="1473" w:name="_Toc15828"/>
      <w:bookmarkStart w:id="1474" w:name="_Toc4573"/>
      <w:bookmarkStart w:id="1475" w:name="_Toc517532040"/>
      <w:bookmarkStart w:id="1476" w:name="_Toc30298"/>
      <w:bookmarkStart w:id="1477" w:name="_Toc19468"/>
      <w:bookmarkStart w:id="1478" w:name="_Toc19683"/>
      <w:bookmarkStart w:id="1479" w:name="_Toc9185"/>
      <w:bookmarkStart w:id="1480" w:name="_Toc29128"/>
      <w:bookmarkStart w:id="1481" w:name="_Toc18234"/>
      <w:bookmarkStart w:id="1482" w:name="_Toc19747"/>
      <w:bookmarkStart w:id="1483" w:name="_Toc27371"/>
      <w:bookmarkStart w:id="1484" w:name="_Toc5305"/>
      <w:bookmarkStart w:id="1485" w:name="_Toc21355"/>
      <w:bookmarkStart w:id="1486" w:name="_Toc11233"/>
      <w:bookmarkStart w:id="1487" w:name="_Toc23666"/>
      <w:r>
        <w:rPr>
          <w:rFonts w:ascii="宋体" w:hAnsi="宋体" w:eastAsia="宋体" w:cs="华文仿宋"/>
          <w:b/>
          <w:bCs/>
          <w:color w:val="auto"/>
          <w:sz w:val="24"/>
          <w:szCs w:val="24"/>
        </w:rPr>
        <w:t>3.4.3</w:t>
      </w:r>
      <w:r>
        <w:rPr>
          <w:rFonts w:ascii="宋体" w:hAnsi="宋体" w:cs="华文仿宋"/>
          <w:b/>
          <w:bCs/>
          <w:color w:val="auto"/>
          <w:sz w:val="24"/>
          <w:szCs w:val="24"/>
        </w:rPr>
        <w:t>现场管线等地下构筑物对施工的影响</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w:t>
      </w:r>
      <w:r>
        <w:rPr>
          <w:rFonts w:ascii="宋体" w:hAnsi="宋体" w:cs="华文仿宋"/>
          <w:color w:val="auto"/>
          <w:spacing w:val="-2"/>
          <w:szCs w:val="21"/>
        </w:rPr>
        <w:t>人在投标之前，应在勘察设计资料的基础上，对现场存在的管线等</w:t>
      </w:r>
      <w:r>
        <w:rPr>
          <w:rFonts w:ascii="宋体" w:hAnsi="宋体" w:cs="华文仿宋"/>
          <w:color w:val="auto"/>
          <w:szCs w:val="21"/>
        </w:rPr>
        <w:t>地下构筑物作进一步的调查和了解，以取得其对施工影响的全部信息，并在投标报价和进度计划中作出充分的考虑。承包人确认，其提交投标书时已经充分考虑现场管线等地下构筑物不明的不利影响，并在投标报价中包含了可能因此发生的损失或费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发包人提供的地下管线和设施探测资料（如有）仅供承包人参考，承包人施工时应先进行试挖，避免因盲目施工对地下管线和设施造成破坏。</w:t>
      </w:r>
      <w:bookmarkStart w:id="1488" w:name="_Toc296346551"/>
      <w:bookmarkEnd w:id="1488"/>
      <w:bookmarkStart w:id="1489" w:name="_Toc337558750"/>
      <w:bookmarkEnd w:id="1489"/>
      <w:bookmarkStart w:id="1490" w:name="_Toc296503050"/>
      <w:bookmarkEnd w:id="149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491" w:name="_Toc2555"/>
      <w:bookmarkStart w:id="1492" w:name="_Toc8579"/>
      <w:bookmarkStart w:id="1493" w:name="_Toc26996"/>
      <w:bookmarkStart w:id="1494" w:name="_Toc12349"/>
      <w:bookmarkStart w:id="1495" w:name="_Toc143"/>
      <w:bookmarkStart w:id="1496" w:name="_Toc29972"/>
      <w:bookmarkStart w:id="1497" w:name="_Toc17104"/>
      <w:bookmarkStart w:id="1498" w:name="_Toc19596"/>
      <w:bookmarkStart w:id="1499" w:name="_Toc20129"/>
      <w:bookmarkStart w:id="1500" w:name="_Toc10421"/>
      <w:bookmarkStart w:id="1501" w:name="_Toc16135"/>
      <w:bookmarkStart w:id="1502" w:name="_Toc22485"/>
      <w:bookmarkStart w:id="1503" w:name="_Toc465237191"/>
      <w:bookmarkStart w:id="1504" w:name="_Toc10186"/>
      <w:bookmarkStart w:id="1505" w:name="_Toc465237093"/>
      <w:bookmarkStart w:id="1506" w:name="_Toc517530765"/>
      <w:bookmarkStart w:id="1507" w:name="_Toc9809"/>
      <w:bookmarkStart w:id="1508" w:name="_Toc25925"/>
      <w:bookmarkStart w:id="1509" w:name="_Toc517532041"/>
      <w:bookmarkStart w:id="1510" w:name="_Toc9822"/>
      <w:bookmarkStart w:id="1511" w:name="_Toc28321"/>
      <w:bookmarkStart w:id="1512" w:name="_Toc13400"/>
      <w:bookmarkStart w:id="1513" w:name="_Toc517528665"/>
      <w:r>
        <w:rPr>
          <w:rFonts w:ascii="宋体" w:hAnsi="宋体" w:eastAsia="宋体" w:cs="华文仿宋"/>
          <w:b/>
          <w:bCs/>
          <w:color w:val="auto"/>
          <w:sz w:val="28"/>
          <w:szCs w:val="28"/>
        </w:rPr>
        <w:t>3.5</w:t>
      </w:r>
      <w:r>
        <w:rPr>
          <w:rFonts w:ascii="宋体" w:hAnsi="宋体" w:cs="华文仿宋"/>
          <w:b/>
          <w:bCs/>
          <w:color w:val="auto"/>
          <w:sz w:val="28"/>
          <w:szCs w:val="28"/>
        </w:rPr>
        <w:t>分包</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514" w:name="_Toc4104"/>
      <w:bookmarkStart w:id="1515" w:name="_Toc23144"/>
      <w:bookmarkStart w:id="1516" w:name="_Toc18978"/>
      <w:bookmarkStart w:id="1517" w:name="_Toc517530766"/>
      <w:bookmarkStart w:id="1518" w:name="_Toc18351"/>
      <w:bookmarkStart w:id="1519" w:name="_Toc16182"/>
      <w:bookmarkStart w:id="1520" w:name="_Toc19654"/>
      <w:bookmarkStart w:id="1521" w:name="_Toc13730"/>
      <w:bookmarkStart w:id="1522" w:name="_Toc29660"/>
      <w:bookmarkStart w:id="1523" w:name="_Toc32408"/>
      <w:bookmarkStart w:id="1524" w:name="_Toc3059"/>
      <w:bookmarkStart w:id="1525" w:name="_Toc19188"/>
      <w:bookmarkStart w:id="1526" w:name="_Toc11494"/>
      <w:bookmarkStart w:id="1527" w:name="_Toc19226"/>
      <w:bookmarkStart w:id="1528" w:name="_Toc517532042"/>
      <w:bookmarkStart w:id="1529" w:name="_Toc3138"/>
      <w:bookmarkStart w:id="1530" w:name="_Toc15786"/>
      <w:r>
        <w:rPr>
          <w:rFonts w:ascii="宋体" w:hAnsi="宋体" w:eastAsia="宋体" w:cs="华文仿宋"/>
          <w:b/>
          <w:bCs/>
          <w:color w:val="auto"/>
          <w:sz w:val="24"/>
          <w:szCs w:val="24"/>
        </w:rPr>
        <w:t>3.5.1</w:t>
      </w:r>
      <w:r>
        <w:rPr>
          <w:rFonts w:ascii="宋体" w:hAnsi="宋体" w:cs="华文仿宋"/>
          <w:b/>
          <w:bCs/>
          <w:color w:val="auto"/>
          <w:sz w:val="24"/>
          <w:szCs w:val="24"/>
        </w:rPr>
        <w:t>禁止挂靠、转包或违法分包</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p>
    <w:p>
      <w:pPr>
        <w:spacing w:line="360" w:lineRule="auto"/>
        <w:rPr>
          <w:rFonts w:ascii="宋体" w:hAnsi="宋体" w:eastAsia="宋体" w:cs="华文仿宋"/>
          <w:color w:val="auto"/>
          <w:szCs w:val="21"/>
        </w:rPr>
      </w:pPr>
      <w:r>
        <w:rPr>
          <w:rFonts w:ascii="宋体" w:hAnsi="宋体" w:cs="华文仿宋"/>
          <w:color w:val="auto"/>
          <w:szCs w:val="21"/>
        </w:rPr>
        <w:t xml:space="preserve">    （</w:t>
      </w:r>
      <w:r>
        <w:rPr>
          <w:rFonts w:ascii="宋体" w:hAnsi="宋体" w:eastAsia="宋体" w:cs="华文仿宋"/>
          <w:color w:val="auto"/>
          <w:szCs w:val="21"/>
        </w:rPr>
        <w:t>1</w:t>
      </w:r>
      <w:r>
        <w:rPr>
          <w:rFonts w:ascii="宋体" w:hAnsi="宋体" w:cs="华文仿宋"/>
          <w:color w:val="auto"/>
          <w:szCs w:val="21"/>
        </w:rPr>
        <w:t>）承包人应当保证本合同项下工程投标、施工不存在任何挂靠行为。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2</w:t>
      </w:r>
      <w:r>
        <w:rPr>
          <w:rFonts w:ascii="宋体" w:hAnsi="宋体" w:cs="华文仿宋"/>
          <w:color w:val="auto"/>
          <w:szCs w:val="21"/>
        </w:rPr>
        <w:t>）承包人不得以任何理由、任何形式将本合同或其中任何部分转让给其他单位或个人。</w:t>
      </w:r>
    </w:p>
    <w:p>
      <w:pPr>
        <w:spacing w:line="360" w:lineRule="auto"/>
        <w:jc w:val="left"/>
        <w:rPr>
          <w:rFonts w:ascii="宋体" w:hAnsi="宋体" w:eastAsia="宋体" w:cs="华文仿宋"/>
          <w:color w:val="auto"/>
          <w:szCs w:val="21"/>
        </w:rPr>
      </w:pPr>
      <w:r>
        <w:rPr>
          <w:rFonts w:ascii="宋体" w:hAnsi="宋体" w:cs="华文仿宋"/>
          <w:color w:val="auto"/>
          <w:szCs w:val="21"/>
        </w:rPr>
        <w:t xml:space="preserve">    （</w:t>
      </w:r>
      <w:r>
        <w:rPr>
          <w:rFonts w:ascii="宋体" w:hAnsi="宋体" w:eastAsia="宋体" w:cs="华文仿宋"/>
          <w:color w:val="auto"/>
          <w:szCs w:val="21"/>
        </w:rPr>
        <w:t>3</w:t>
      </w:r>
      <w:r>
        <w:rPr>
          <w:rFonts w:ascii="宋体" w:hAnsi="宋体" w:cs="华文仿宋"/>
          <w:color w:val="auto"/>
          <w:szCs w:val="21"/>
        </w:rPr>
        <w:t>）未经发包人同意，承包人不得以任何理由、任何形式将工程的任何部分分包给其他单位或个人。承包人不得将全部工程肢解分包，并应禁止分包人将分包工程的任何部分再分包。</w:t>
      </w:r>
    </w:p>
    <w:p>
      <w:pPr>
        <w:spacing w:line="360" w:lineRule="auto"/>
        <w:ind w:firstLine="420"/>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4</w:t>
      </w:r>
      <w:r>
        <w:rPr>
          <w:rFonts w:ascii="宋体" w:hAnsi="宋体" w:cs="华文仿宋"/>
          <w:color w:val="auto"/>
          <w:szCs w:val="21"/>
        </w:rPr>
        <w:t>）若出现违反上述规定的情形，发包人有权单方解除本合同，并要求承包人按照合同总价款的</w:t>
      </w:r>
      <w:r>
        <w:rPr>
          <w:rFonts w:ascii="宋体" w:hAnsi="宋体" w:eastAsia="宋体" w:cs="华文仿宋"/>
          <w:color w:val="auto"/>
          <w:szCs w:val="21"/>
        </w:rPr>
        <w:t>2%</w:t>
      </w:r>
      <w:r>
        <w:rPr>
          <w:rFonts w:ascii="宋体" w:hAnsi="宋体" w:cs="华文仿宋"/>
          <w:color w:val="auto"/>
          <w:szCs w:val="21"/>
        </w:rPr>
        <w:t>承担违约金并赔偿由此给发包人造成的损失。</w:t>
      </w:r>
    </w:p>
    <w:p>
      <w:pPr>
        <w:spacing w:line="360" w:lineRule="auto"/>
        <w:ind w:firstLine="420"/>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5</w:t>
      </w:r>
      <w:r>
        <w:rPr>
          <w:rFonts w:ascii="宋体" w:hAnsi="宋体" w:cs="华文仿宋"/>
          <w:color w:val="auto"/>
          <w:szCs w:val="21"/>
        </w:rPr>
        <w:t>）为满足本工程监督、管理的需要，发包人有权要求承包人提供与本工程施工及管理相关的资料，承包人应予以配合。</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531" w:name="_Toc11005"/>
      <w:bookmarkStart w:id="1532" w:name="_Toc23711"/>
      <w:bookmarkStart w:id="1533" w:name="_Toc6590"/>
      <w:bookmarkStart w:id="1534" w:name="_Toc19563"/>
      <w:bookmarkStart w:id="1535" w:name="_Toc2492"/>
      <w:bookmarkStart w:id="1536" w:name="_Toc29320"/>
      <w:bookmarkStart w:id="1537" w:name="_Toc18894"/>
      <w:bookmarkStart w:id="1538" w:name="_Toc19847"/>
      <w:bookmarkStart w:id="1539" w:name="_Toc23652"/>
      <w:bookmarkStart w:id="1540" w:name="_Toc25280"/>
      <w:bookmarkStart w:id="1541" w:name="_Toc8124"/>
      <w:bookmarkStart w:id="1542" w:name="_Toc4164"/>
      <w:bookmarkStart w:id="1543" w:name="_Toc12259"/>
      <w:bookmarkStart w:id="1544" w:name="_Toc517530767"/>
      <w:bookmarkStart w:id="1545" w:name="_Toc517532043"/>
      <w:bookmarkStart w:id="1546" w:name="_Toc30101"/>
      <w:bookmarkStart w:id="1547" w:name="_Toc1934"/>
      <w:r>
        <w:rPr>
          <w:rFonts w:ascii="宋体" w:hAnsi="宋体" w:eastAsia="宋体" w:cs="华文仿宋"/>
          <w:b/>
          <w:bCs/>
          <w:color w:val="auto"/>
          <w:sz w:val="24"/>
          <w:szCs w:val="24"/>
        </w:rPr>
        <w:t>3.5.2</w:t>
      </w:r>
      <w:r>
        <w:rPr>
          <w:rFonts w:ascii="宋体" w:hAnsi="宋体" w:cs="华文仿宋"/>
          <w:b/>
          <w:bCs/>
          <w:color w:val="auto"/>
          <w:sz w:val="24"/>
          <w:szCs w:val="24"/>
        </w:rPr>
        <w:t>分包不解除责任</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得将整个合同工程肢解分包出去。除非合同另有规定，承包人事先未报经监理人审查并取得发包人批准，也不得将本合同工程的任何部分分包出去。承包人即使取得上述批准，也不应解除合同规定的承包人的任何责任或义务，并应对分包人及其职工的行为负完全责任。</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对于提供劳务或根据合同规定的标准采购材料，虽不要求承包人取得上述批准，但承包人应报监理人备案，监理人对此有权进行核查。</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548" w:name="_Toc465237094"/>
      <w:bookmarkStart w:id="1549" w:name="_Toc31406"/>
      <w:bookmarkStart w:id="1550" w:name="_Toc9081"/>
      <w:bookmarkStart w:id="1551" w:name="_Toc18072"/>
      <w:bookmarkStart w:id="1552" w:name="_Toc25820"/>
      <w:bookmarkStart w:id="1553" w:name="_Toc2838"/>
      <w:bookmarkStart w:id="1554" w:name="_Toc436"/>
      <w:bookmarkStart w:id="1555" w:name="_Toc21381"/>
      <w:bookmarkStart w:id="1556" w:name="_Toc517528666"/>
      <w:bookmarkStart w:id="1557" w:name="_Toc6447"/>
      <w:bookmarkStart w:id="1558" w:name="_Toc517530768"/>
      <w:bookmarkStart w:id="1559" w:name="_Toc15111"/>
      <w:bookmarkStart w:id="1560" w:name="_Toc2144"/>
      <w:bookmarkStart w:id="1561" w:name="_Toc5499"/>
      <w:bookmarkStart w:id="1562" w:name="_Toc1725"/>
      <w:bookmarkStart w:id="1563" w:name="_Toc517532044"/>
      <w:bookmarkStart w:id="1564" w:name="_Toc7140"/>
      <w:bookmarkStart w:id="1565" w:name="_Toc10536"/>
      <w:bookmarkStart w:id="1566" w:name="_Toc29445"/>
      <w:bookmarkStart w:id="1567" w:name="_Toc25402"/>
      <w:bookmarkStart w:id="1568" w:name="_Toc4453"/>
      <w:bookmarkStart w:id="1569" w:name="_Toc30510"/>
      <w:bookmarkStart w:id="1570" w:name="_Toc465237192"/>
      <w:r>
        <w:rPr>
          <w:rFonts w:ascii="宋体" w:hAnsi="宋体" w:eastAsia="宋体" w:cs="华文仿宋"/>
          <w:b/>
          <w:bCs/>
          <w:color w:val="auto"/>
          <w:sz w:val="28"/>
          <w:szCs w:val="28"/>
        </w:rPr>
        <w:t>3.6</w:t>
      </w:r>
      <w:r>
        <w:rPr>
          <w:rFonts w:ascii="宋体" w:hAnsi="宋体" w:cs="华文仿宋"/>
          <w:b/>
          <w:bCs/>
          <w:color w:val="auto"/>
          <w:sz w:val="28"/>
          <w:szCs w:val="28"/>
        </w:rPr>
        <w:t>承包人对指定专业工程承包人管理所发生的费用</w:t>
      </w:r>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对于同发包人签定了合同协议的指定专业工程承包人，发包人将可能指定由承包人对其进行统一管理。承包人承担的管理责任包括指定专业工程承包人完成工程的进度安排、施工现场管理协调以及竣工资料的汇总整理等。因此而产生的费用按承包人在投标报价时对指定承包工程所列的暂定金与自报的费率乘积包干使用，不随暂定金结算价的增减而调整。</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指定专业工程承包人负责的专业工程纳入本项目总承包工程的管理，由本项目总承包工程的承包人对整个工程进行统一协调管理，涉及相关费用按投标报价规定执行。本项目总承包工程的承包人与专业工程的指定承包人视作总分包关系，本项目总承包工程的承包人对专业工程的安全文明施工等承担连带责任。本项目总承包工程的承包人应与发包人签署补充协议，明确该专业工程的管理责任，为发包人办理施工许可证提供便利。</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571" w:name="_Toc28377"/>
      <w:bookmarkStart w:id="1572" w:name="_Toc517528667"/>
      <w:bookmarkStart w:id="1573" w:name="_Toc25074"/>
      <w:bookmarkStart w:id="1574" w:name="_Toc465237096"/>
      <w:bookmarkStart w:id="1575" w:name="_Toc517532045"/>
      <w:bookmarkStart w:id="1576" w:name="_Toc10580"/>
      <w:bookmarkStart w:id="1577" w:name="_Toc21696"/>
      <w:bookmarkStart w:id="1578" w:name="_Toc30019"/>
      <w:bookmarkStart w:id="1579" w:name="_Toc14193"/>
      <w:bookmarkStart w:id="1580" w:name="_Toc517530769"/>
      <w:bookmarkStart w:id="1581" w:name="_Toc25274"/>
      <w:bookmarkStart w:id="1582" w:name="_Toc6058"/>
      <w:bookmarkStart w:id="1583" w:name="_Toc465237194"/>
      <w:bookmarkStart w:id="1584" w:name="_Toc26673"/>
      <w:bookmarkStart w:id="1585" w:name="_Toc11611"/>
      <w:bookmarkStart w:id="1586" w:name="_Toc2546"/>
      <w:bookmarkStart w:id="1587" w:name="_Toc5597"/>
      <w:bookmarkStart w:id="1588" w:name="_Toc16734"/>
      <w:bookmarkStart w:id="1589" w:name="_Toc12724"/>
      <w:bookmarkStart w:id="1590" w:name="_Toc6029"/>
      <w:bookmarkStart w:id="1591" w:name="_Toc8741"/>
      <w:bookmarkStart w:id="1592" w:name="_Toc25485"/>
      <w:bookmarkStart w:id="1593" w:name="_Toc3413"/>
      <w:r>
        <w:rPr>
          <w:rFonts w:ascii="宋体" w:hAnsi="宋体" w:eastAsia="宋体" w:cs="华文仿宋"/>
          <w:b/>
          <w:bCs/>
          <w:color w:val="auto"/>
          <w:sz w:val="28"/>
          <w:szCs w:val="28"/>
        </w:rPr>
        <w:t xml:space="preserve">3.7 </w:t>
      </w:r>
      <w:r>
        <w:rPr>
          <w:rFonts w:ascii="宋体" w:hAnsi="宋体" w:cs="华文仿宋"/>
          <w:b/>
          <w:bCs/>
          <w:color w:val="auto"/>
          <w:sz w:val="28"/>
          <w:szCs w:val="28"/>
        </w:rPr>
        <w:t>履约担保</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594" w:name="_Toc5517"/>
      <w:bookmarkStart w:id="1595" w:name="_Toc27799"/>
      <w:bookmarkStart w:id="1596" w:name="_Toc517532046"/>
      <w:bookmarkStart w:id="1597" w:name="_Toc31931"/>
      <w:bookmarkStart w:id="1598" w:name="_Toc517530770"/>
      <w:bookmarkStart w:id="1599" w:name="_Toc12223"/>
      <w:bookmarkStart w:id="1600" w:name="_Toc15808"/>
      <w:bookmarkStart w:id="1601" w:name="_Toc1767"/>
      <w:bookmarkStart w:id="1602" w:name="_Toc16276"/>
      <w:bookmarkStart w:id="1603" w:name="_Toc32418"/>
      <w:bookmarkStart w:id="1604" w:name="_Toc14524"/>
      <w:bookmarkStart w:id="1605" w:name="_Toc12316"/>
      <w:bookmarkStart w:id="1606" w:name="_Toc6147"/>
      <w:bookmarkStart w:id="1607" w:name="_Toc19503"/>
      <w:bookmarkStart w:id="1608" w:name="_Toc29951"/>
      <w:bookmarkStart w:id="1609" w:name="_Toc30612"/>
      <w:r>
        <w:rPr>
          <w:rFonts w:ascii="宋体" w:hAnsi="宋体" w:eastAsia="宋体" w:cs="华文仿宋"/>
          <w:b/>
          <w:bCs/>
          <w:color w:val="auto"/>
          <w:sz w:val="24"/>
          <w:szCs w:val="24"/>
        </w:rPr>
        <w:t>3.7.1</w:t>
      </w:r>
      <w:r>
        <w:rPr>
          <w:rFonts w:ascii="宋体" w:hAnsi="宋体" w:cs="华文仿宋"/>
          <w:b/>
          <w:bCs/>
          <w:color w:val="auto"/>
          <w:sz w:val="24"/>
          <w:szCs w:val="24"/>
        </w:rPr>
        <w:t>履约担保金额</w:t>
      </w:r>
      <w:bookmarkEnd w:id="1594"/>
      <w:bookmarkEnd w:id="1595"/>
      <w:bookmarkEnd w:id="1596"/>
      <w:bookmarkEnd w:id="1597"/>
      <w:bookmarkEnd w:id="1598"/>
      <w:bookmarkStart w:id="1610" w:name="_Toc5049"/>
    </w:p>
    <w:p>
      <w:pPr>
        <w:ind w:firstLine="420"/>
        <w:rPr>
          <w:rFonts w:ascii="宋体" w:hAnsi="宋体" w:eastAsia="宋体" w:cs="华文仿宋"/>
          <w:color w:val="auto"/>
          <w:szCs w:val="21"/>
        </w:rPr>
      </w:pPr>
      <w:r>
        <w:rPr>
          <w:rFonts w:ascii="宋体" w:hAnsi="宋体" w:cs="华文仿宋"/>
          <w:color w:val="auto"/>
          <w:szCs w:val="21"/>
        </w:rPr>
        <w:t>履约担保金额由合同双方在专用条款中约定。</w:t>
      </w:r>
      <w:bookmarkEnd w:id="1610"/>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611" w:name="_Toc30424"/>
      <w:bookmarkStart w:id="1612" w:name="_Toc517532047"/>
      <w:bookmarkStart w:id="1613" w:name="_Toc9408"/>
      <w:bookmarkStart w:id="1614" w:name="_Toc6701"/>
      <w:bookmarkStart w:id="1615" w:name="_Toc517530771"/>
      <w:bookmarkStart w:id="1616" w:name="_Toc17341"/>
      <w:bookmarkStart w:id="1617" w:name="_Toc17956"/>
      <w:bookmarkStart w:id="1618" w:name="_Toc24585"/>
      <w:bookmarkStart w:id="1619" w:name="_Toc2283"/>
      <w:r>
        <w:rPr>
          <w:rFonts w:ascii="宋体" w:hAnsi="宋体" w:eastAsia="宋体" w:cs="华文仿宋"/>
          <w:b/>
          <w:bCs/>
          <w:color w:val="auto"/>
          <w:sz w:val="24"/>
          <w:szCs w:val="24"/>
        </w:rPr>
        <w:t>3.7.2</w:t>
      </w:r>
      <w:r>
        <w:rPr>
          <w:rFonts w:ascii="宋体" w:hAnsi="宋体" w:cs="华文仿宋"/>
          <w:b/>
          <w:bCs/>
          <w:color w:val="auto"/>
          <w:sz w:val="24"/>
          <w:szCs w:val="24"/>
        </w:rPr>
        <w:t>履约担保形式</w:t>
      </w:r>
      <w:bookmarkEnd w:id="1599"/>
      <w:bookmarkEnd w:id="1600"/>
      <w:bookmarkEnd w:id="1601"/>
      <w:bookmarkEnd w:id="1602"/>
      <w:bookmarkEnd w:id="1603"/>
      <w:bookmarkEnd w:id="1604"/>
      <w:bookmarkEnd w:id="1605"/>
      <w:bookmarkEnd w:id="1606"/>
      <w:bookmarkEnd w:id="1607"/>
      <w:bookmarkEnd w:id="1608"/>
      <w:bookmarkEnd w:id="1609"/>
      <w:bookmarkEnd w:id="1611"/>
      <w:bookmarkEnd w:id="1612"/>
      <w:bookmarkEnd w:id="1613"/>
      <w:bookmarkEnd w:id="1614"/>
      <w:bookmarkEnd w:id="1615"/>
      <w:bookmarkEnd w:id="1616"/>
      <w:bookmarkEnd w:id="1617"/>
      <w:bookmarkEnd w:id="1618"/>
      <w:bookmarkEnd w:id="161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承包人在收到中标通知书后</w:t>
      </w:r>
      <w:r>
        <w:rPr>
          <w:rFonts w:ascii="宋体" w:hAnsi="宋体" w:cs="华文仿宋"/>
          <w:color w:val="auto"/>
          <w:szCs w:val="21"/>
          <w:u w:val="single"/>
        </w:rPr>
        <w:t xml:space="preserve"> </w:t>
      </w:r>
      <w:r>
        <w:rPr>
          <w:rFonts w:ascii="宋体" w:hAnsi="宋体" w:eastAsia="宋体" w:cs="华文仿宋"/>
          <w:color w:val="auto"/>
          <w:szCs w:val="21"/>
          <w:u w:val="single"/>
        </w:rPr>
        <w:t>28</w:t>
      </w:r>
      <w:r>
        <w:rPr>
          <w:rFonts w:ascii="宋体" w:hAnsi="宋体" w:cs="华文仿宋"/>
          <w:color w:val="auto"/>
          <w:szCs w:val="21"/>
        </w:rPr>
        <w:t>天之内并在签订合同协议书之前，应向发包人提交履约担保，同时通知监理人，履约担保采用银行履约保函的形式提供，保函的格式应按招标文件所附的或发包人认可的格式提供。提供担保的银行需经发包人同意，担保的正本由发包人签收并保存。</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620" w:name="_Toc5080"/>
      <w:bookmarkStart w:id="1621" w:name="_Toc12962"/>
      <w:bookmarkStart w:id="1622" w:name="_Toc12517"/>
      <w:bookmarkStart w:id="1623" w:name="_Toc28212"/>
      <w:bookmarkStart w:id="1624" w:name="_Toc15959"/>
      <w:bookmarkStart w:id="1625" w:name="_Toc21890"/>
      <w:bookmarkStart w:id="1626" w:name="_Toc15947"/>
      <w:bookmarkStart w:id="1627" w:name="_Toc21587"/>
      <w:bookmarkStart w:id="1628" w:name="_Toc26043"/>
      <w:bookmarkStart w:id="1629" w:name="_Toc517532048"/>
      <w:bookmarkStart w:id="1630" w:name="_Toc28414"/>
      <w:bookmarkStart w:id="1631" w:name="_Toc2408"/>
      <w:bookmarkStart w:id="1632" w:name="_Toc10476"/>
      <w:bookmarkStart w:id="1633" w:name="_Toc517530772"/>
      <w:bookmarkStart w:id="1634" w:name="_Toc25875"/>
      <w:bookmarkStart w:id="1635" w:name="_Toc18264"/>
      <w:bookmarkStart w:id="1636" w:name="_Toc22563"/>
      <w:bookmarkStart w:id="1637" w:name="_Toc1558"/>
      <w:bookmarkStart w:id="1638" w:name="_Toc12720"/>
      <w:bookmarkStart w:id="1639" w:name="_Toc20412"/>
      <w:r>
        <w:rPr>
          <w:rFonts w:ascii="宋体" w:hAnsi="宋体" w:eastAsia="宋体" w:cs="华文仿宋"/>
          <w:b/>
          <w:bCs/>
          <w:color w:val="auto"/>
          <w:sz w:val="24"/>
          <w:szCs w:val="24"/>
        </w:rPr>
        <w:t>3.7.3</w:t>
      </w:r>
      <w:r>
        <w:rPr>
          <w:rFonts w:ascii="宋体" w:hAnsi="宋体" w:cs="华文仿宋"/>
          <w:b/>
          <w:bCs/>
          <w:color w:val="auto"/>
          <w:sz w:val="24"/>
          <w:szCs w:val="24"/>
        </w:rPr>
        <w:t>履约担保的有效期</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pPr>
        <w:spacing w:line="360" w:lineRule="auto"/>
        <w:ind w:firstLine="420"/>
        <w:jc w:val="left"/>
        <w:rPr>
          <w:rFonts w:ascii="宋体" w:hAnsi="宋体" w:eastAsia="宋体" w:cs="华文仿宋"/>
          <w:b/>
          <w:bCs/>
          <w:color w:val="auto"/>
          <w:szCs w:val="21"/>
        </w:rPr>
      </w:pPr>
      <w:r>
        <w:rPr>
          <w:rFonts w:ascii="宋体" w:hAnsi="宋体" w:cs="华文仿宋"/>
          <w:color w:val="auto"/>
          <w:szCs w:val="21"/>
        </w:rPr>
        <w:t>承包人应保证履约保函在此合同工程交接证书签发（取得竣工验收备案证明）后</w:t>
      </w:r>
      <w:r>
        <w:rPr>
          <w:rFonts w:ascii="宋体" w:hAnsi="宋体" w:eastAsia="宋体" w:cs="华文仿宋"/>
          <w:color w:val="auto"/>
          <w:szCs w:val="21"/>
          <w:u w:val="single"/>
        </w:rPr>
        <w:t>119</w:t>
      </w:r>
      <w:r>
        <w:rPr>
          <w:rFonts w:ascii="宋体" w:hAnsi="宋体" w:cs="华文仿宋"/>
          <w:color w:val="auto"/>
          <w:szCs w:val="21"/>
        </w:rPr>
        <w:t>天之内保持有效并可执行（保函有效期的具体计算公式为：合同工期</w:t>
      </w:r>
      <w:r>
        <w:rPr>
          <w:rFonts w:ascii="宋体" w:hAnsi="宋体" w:eastAsia="宋体" w:cs="华文仿宋"/>
          <w:color w:val="auto"/>
          <w:szCs w:val="21"/>
        </w:rPr>
        <w:t>+</w:t>
      </w:r>
      <w:r>
        <w:rPr>
          <w:rFonts w:ascii="宋体" w:hAnsi="宋体" w:eastAsia="宋体" w:cs="华文仿宋"/>
          <w:color w:val="auto"/>
          <w:szCs w:val="21"/>
          <w:u w:val="single"/>
        </w:rPr>
        <w:t>119</w:t>
      </w:r>
      <w:r>
        <w:rPr>
          <w:rFonts w:ascii="宋体" w:hAnsi="宋体" w:cs="华文仿宋"/>
          <w:color w:val="auto"/>
          <w:szCs w:val="21"/>
        </w:rPr>
        <w:t>天）。之后，发包人就不应对本担保再提出任何索赔要求并应根据承包人的申请办理履约保函的退还手续。</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640" w:name="_Toc517530773"/>
      <w:bookmarkStart w:id="1641" w:name="_Toc28240"/>
      <w:bookmarkStart w:id="1642" w:name="_Toc22765"/>
      <w:bookmarkStart w:id="1643" w:name="_Toc20224"/>
      <w:bookmarkStart w:id="1644" w:name="_Toc25398"/>
      <w:bookmarkStart w:id="1645" w:name="_Toc512"/>
      <w:bookmarkStart w:id="1646" w:name="_Toc2178"/>
      <w:bookmarkStart w:id="1647" w:name="_Toc31607"/>
      <w:bookmarkStart w:id="1648" w:name="_Toc29556"/>
      <w:bookmarkStart w:id="1649" w:name="_Toc24776"/>
      <w:bookmarkStart w:id="1650" w:name="_Toc9065"/>
      <w:bookmarkStart w:id="1651" w:name="_Toc12251"/>
      <w:bookmarkStart w:id="1652" w:name="_Toc517532049"/>
      <w:bookmarkStart w:id="1653" w:name="_Toc1228"/>
      <w:bookmarkStart w:id="1654" w:name="_Toc27515"/>
      <w:bookmarkStart w:id="1655" w:name="_Toc16506"/>
      <w:bookmarkStart w:id="1656" w:name="_Toc10783"/>
      <w:bookmarkStart w:id="1657" w:name="_Toc5205"/>
      <w:bookmarkStart w:id="1658" w:name="_Toc15403"/>
      <w:bookmarkStart w:id="1659" w:name="_Toc22541"/>
      <w:r>
        <w:rPr>
          <w:rFonts w:ascii="宋体" w:hAnsi="宋体" w:eastAsia="宋体" w:cs="华文仿宋"/>
          <w:b/>
          <w:bCs/>
          <w:color w:val="auto"/>
          <w:sz w:val="24"/>
          <w:szCs w:val="24"/>
        </w:rPr>
        <w:t>3.7.4</w:t>
      </w:r>
      <w:r>
        <w:rPr>
          <w:rFonts w:ascii="宋体" w:hAnsi="宋体" w:cs="华文仿宋"/>
          <w:b/>
          <w:bCs/>
          <w:color w:val="auto"/>
          <w:sz w:val="24"/>
          <w:szCs w:val="24"/>
        </w:rPr>
        <w:t>履约担保项下的索赔</w:t>
      </w:r>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发包人在对履约担保提出索赔要求之前，应通知承包人，说明有关此项索赔要求所涉及承包人违约的性质。发包人应在履约担保的范围内对承包人提起索赔。</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在出现下列情形时，发包人根据合同规定有权获得相应的金额，除此之外发包人不应对履约担保提出索赔：</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）承包人未能按第</w:t>
      </w:r>
      <w:r>
        <w:rPr>
          <w:rFonts w:ascii="宋体" w:hAnsi="宋体" w:eastAsia="宋体" w:cs="华文仿宋"/>
          <w:color w:val="auto"/>
          <w:szCs w:val="21"/>
        </w:rPr>
        <w:t>3.7.3</w:t>
      </w:r>
      <w:r>
        <w:rPr>
          <w:rFonts w:ascii="宋体" w:hAnsi="宋体" w:cs="华文仿宋"/>
          <w:color w:val="auto"/>
          <w:szCs w:val="21"/>
        </w:rPr>
        <w:t>条所述要求保持履约担保持续有效，这时发包人可以在履约担保有效期满前</w:t>
      </w:r>
      <w:r>
        <w:rPr>
          <w:rFonts w:ascii="宋体" w:hAnsi="宋体" w:eastAsia="宋体" w:cs="华文仿宋"/>
          <w:color w:val="auto"/>
          <w:szCs w:val="21"/>
          <w:u w:val="single"/>
        </w:rPr>
        <w:t>7</w:t>
      </w:r>
      <w:r>
        <w:rPr>
          <w:rFonts w:ascii="宋体" w:hAnsi="宋体" w:cs="华文仿宋"/>
          <w:color w:val="auto"/>
          <w:szCs w:val="21"/>
        </w:rPr>
        <w:t>天内索赔履约担保的全部金额；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）承包人未能在商定或确定后</w:t>
      </w:r>
      <w:r>
        <w:rPr>
          <w:rFonts w:ascii="宋体" w:hAnsi="宋体" w:eastAsia="宋体" w:cs="华文仿宋"/>
          <w:color w:val="auto"/>
          <w:szCs w:val="21"/>
          <w:u w:val="single"/>
        </w:rPr>
        <w:t>42</w:t>
      </w:r>
      <w:r>
        <w:rPr>
          <w:rFonts w:ascii="宋体" w:hAnsi="宋体" w:cs="华文仿宋"/>
          <w:color w:val="auto"/>
          <w:szCs w:val="21"/>
        </w:rPr>
        <w:t>天内，将承包人同意的，或按规定确定的承包人应付金额付给发包人；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）承包人未能在收到发包人要求纠正违约的通知后</w:t>
      </w:r>
      <w:r>
        <w:rPr>
          <w:rFonts w:ascii="宋体" w:hAnsi="宋体" w:eastAsia="宋体" w:cs="华文仿宋"/>
          <w:color w:val="auto"/>
          <w:szCs w:val="21"/>
          <w:u w:val="single"/>
        </w:rPr>
        <w:t>42</w:t>
      </w:r>
      <w:r>
        <w:rPr>
          <w:rFonts w:ascii="宋体" w:hAnsi="宋体" w:cs="华文仿宋"/>
          <w:color w:val="auto"/>
          <w:szCs w:val="21"/>
        </w:rPr>
        <w:t>天内进行纠正，或</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）根据第</w:t>
      </w:r>
      <w:r>
        <w:rPr>
          <w:rFonts w:ascii="宋体" w:hAnsi="宋体" w:eastAsia="宋体" w:cs="华文仿宋"/>
          <w:color w:val="auto"/>
          <w:szCs w:val="21"/>
        </w:rPr>
        <w:t>16.2.1</w:t>
      </w:r>
      <w:r>
        <w:rPr>
          <w:rFonts w:ascii="宋体" w:hAnsi="宋体" w:cs="华文仿宋"/>
          <w:color w:val="auto"/>
          <w:szCs w:val="21"/>
        </w:rPr>
        <w:t>条的规定，发包人有权终止合同的情况，不管是否已发出终止通知。</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发包人应在履约担保的范围内对承包人提起索赔，若因发包人超出履约担保范围的索赔而引起承包人的损失，应予以赔偿。</w:t>
      </w:r>
      <w:bookmarkStart w:id="1660" w:name="_Toc296346553"/>
      <w:bookmarkEnd w:id="1660"/>
      <w:bookmarkStart w:id="1661" w:name="_Toc296503052"/>
      <w:bookmarkEnd w:id="1661"/>
      <w:bookmarkStart w:id="1662" w:name="_Toc337558752"/>
      <w:bookmarkEnd w:id="1662"/>
    </w:p>
    <w:p>
      <w:pPr>
        <w:keepNext/>
        <w:keepLines/>
        <w:numPr>
          <w:ilvl w:val="0"/>
          <w:numId w:val="0"/>
        </w:numPr>
        <w:spacing w:before="156" w:after="156" w:line="360" w:lineRule="auto"/>
        <w:ind w:left="562" w:firstLine="0"/>
        <w:outlineLvl w:val="2"/>
        <w:rPr>
          <w:rFonts w:ascii="宋体" w:hAnsi="宋体" w:eastAsia="宋体" w:cs="华文仿宋"/>
          <w:b/>
          <w:bCs/>
          <w:color w:val="auto"/>
          <w:sz w:val="28"/>
          <w:szCs w:val="28"/>
        </w:rPr>
      </w:pPr>
      <w:bookmarkStart w:id="1663" w:name="_Toc465237195"/>
      <w:bookmarkStart w:id="1664" w:name="_Toc465237097"/>
      <w:bookmarkStart w:id="1665" w:name="_Toc26725"/>
      <w:bookmarkStart w:id="1666" w:name="_Toc842"/>
      <w:bookmarkStart w:id="1667" w:name="_Toc517528668"/>
      <w:bookmarkStart w:id="1668" w:name="_Toc3958"/>
      <w:bookmarkStart w:id="1669" w:name="_Toc517532050"/>
      <w:bookmarkStart w:id="1670" w:name="_Toc517530774"/>
      <w:bookmarkStart w:id="1671" w:name="_Toc23938"/>
      <w:bookmarkStart w:id="1672" w:name="_Toc27683"/>
      <w:bookmarkStart w:id="1673" w:name="_Toc12125"/>
      <w:bookmarkStart w:id="1674" w:name="_Toc9310"/>
      <w:bookmarkStart w:id="1675" w:name="_Toc16783"/>
      <w:bookmarkStart w:id="1676" w:name="_Toc31423"/>
      <w:bookmarkStart w:id="1677" w:name="_Toc22189"/>
      <w:bookmarkStart w:id="1678" w:name="_Toc14356"/>
      <w:bookmarkStart w:id="1679" w:name="_Toc12650"/>
      <w:bookmarkStart w:id="1680" w:name="_Toc21069"/>
      <w:bookmarkStart w:id="1681" w:name="_Toc25767"/>
      <w:bookmarkStart w:id="1682" w:name="_Toc24947"/>
      <w:bookmarkStart w:id="1683" w:name="_Toc26189"/>
      <w:bookmarkStart w:id="1684" w:name="_Toc25307"/>
      <w:bookmarkStart w:id="1685" w:name="_Toc12027"/>
      <w:r>
        <w:rPr>
          <w:rFonts w:ascii="宋体" w:hAnsi="宋体" w:eastAsia="宋体" w:cs="华文仿宋"/>
          <w:b/>
          <w:bCs/>
          <w:color w:val="auto"/>
          <w:sz w:val="28"/>
          <w:szCs w:val="28"/>
        </w:rPr>
        <w:t>3.8</w:t>
      </w:r>
      <w:bookmarkEnd w:id="1663"/>
      <w:bookmarkEnd w:id="1664"/>
      <w:r>
        <w:rPr>
          <w:rFonts w:ascii="宋体" w:hAnsi="宋体" w:eastAsia="宋体" w:cs="华文仿宋"/>
          <w:b/>
          <w:bCs/>
          <w:color w:val="auto"/>
          <w:sz w:val="28"/>
          <w:szCs w:val="28"/>
        </w:rPr>
        <w:t xml:space="preserve"> </w:t>
      </w:r>
      <w:r>
        <w:rPr>
          <w:rFonts w:ascii="宋体" w:hAnsi="宋体" w:cs="华文仿宋"/>
          <w:b/>
          <w:bCs/>
          <w:color w:val="auto"/>
          <w:sz w:val="28"/>
          <w:szCs w:val="28"/>
        </w:rPr>
        <w:t>联合体</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686" w:name="_Toc20901"/>
      <w:bookmarkStart w:id="1687" w:name="_Toc11875"/>
      <w:bookmarkStart w:id="1688" w:name="_Toc18452"/>
      <w:bookmarkStart w:id="1689" w:name="_Toc28010"/>
      <w:bookmarkStart w:id="1690" w:name="_Toc27006"/>
      <w:bookmarkStart w:id="1691" w:name="_Toc30660"/>
      <w:bookmarkStart w:id="1692" w:name="_Toc27283"/>
      <w:bookmarkStart w:id="1693" w:name="_Toc5634"/>
      <w:bookmarkStart w:id="1694" w:name="_Toc26890"/>
      <w:bookmarkStart w:id="1695" w:name="_Toc517532051"/>
      <w:bookmarkStart w:id="1696" w:name="_Toc12603"/>
      <w:bookmarkStart w:id="1697" w:name="_Toc31784"/>
      <w:bookmarkStart w:id="1698" w:name="_Toc517530775"/>
      <w:bookmarkStart w:id="1699" w:name="_Toc30176"/>
      <w:bookmarkStart w:id="1700" w:name="_Toc23052"/>
      <w:bookmarkStart w:id="1701" w:name="_Toc3213"/>
      <w:bookmarkStart w:id="1702" w:name="_Toc11825"/>
      <w:r>
        <w:rPr>
          <w:rFonts w:ascii="宋体" w:hAnsi="宋体" w:eastAsia="宋体" w:cs="华文仿宋"/>
          <w:b/>
          <w:bCs/>
          <w:color w:val="auto"/>
          <w:sz w:val="24"/>
          <w:szCs w:val="24"/>
        </w:rPr>
        <w:t xml:space="preserve">3.8.1 </w:t>
      </w:r>
      <w:r>
        <w:rPr>
          <w:rFonts w:ascii="宋体" w:hAnsi="宋体" w:cs="华文仿宋"/>
          <w:b/>
          <w:bCs/>
          <w:color w:val="auto"/>
          <w:sz w:val="24"/>
          <w:szCs w:val="24"/>
        </w:rPr>
        <w:t>连带责任</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如果承包人是两个或两个以上的单位联合经营，则组成该联合体的各个单位对本单位负责的工程部分向发包人承担责任，并对联合体所有其他成员负责的工作向发包人承担连带责任。</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703" w:name="_Toc517530776"/>
      <w:bookmarkStart w:id="1704" w:name="_Toc20399"/>
      <w:bookmarkStart w:id="1705" w:name="_Toc5887"/>
      <w:bookmarkStart w:id="1706" w:name="_Toc20113"/>
      <w:bookmarkStart w:id="1707" w:name="_Toc21596"/>
      <w:bookmarkStart w:id="1708" w:name="_Toc22841"/>
      <w:bookmarkStart w:id="1709" w:name="_Toc8292"/>
      <w:bookmarkStart w:id="1710" w:name="_Toc19868"/>
      <w:bookmarkStart w:id="1711" w:name="_Toc8872"/>
      <w:bookmarkStart w:id="1712" w:name="_Toc25371"/>
      <w:bookmarkStart w:id="1713" w:name="_Toc10166"/>
      <w:bookmarkStart w:id="1714" w:name="_Toc1267"/>
      <w:bookmarkStart w:id="1715" w:name="_Toc517532052"/>
      <w:bookmarkStart w:id="1716" w:name="_Toc29821"/>
      <w:bookmarkStart w:id="1717" w:name="_Toc31270"/>
      <w:bookmarkStart w:id="1718" w:name="_Toc25980"/>
      <w:bookmarkStart w:id="1719" w:name="_Toc10040"/>
      <w:r>
        <w:rPr>
          <w:rFonts w:ascii="宋体" w:hAnsi="宋体" w:eastAsia="宋体" w:cs="华文仿宋"/>
          <w:b/>
          <w:bCs/>
          <w:color w:val="auto"/>
          <w:sz w:val="24"/>
          <w:szCs w:val="24"/>
        </w:rPr>
        <w:t xml:space="preserve">3.8.2 </w:t>
      </w:r>
      <w:r>
        <w:rPr>
          <w:rFonts w:ascii="宋体" w:hAnsi="宋体" w:cs="华文仿宋"/>
          <w:b/>
          <w:bCs/>
          <w:color w:val="auto"/>
          <w:sz w:val="24"/>
          <w:szCs w:val="24"/>
        </w:rPr>
        <w:t>联合体代表</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联合体应有一个被授权的、对各个单位都有约束力的牵头单位，并应由该单位指派的代表负责，有关文件应由该被授权的代表签署。未经发包人事先同意，联合体的组成与结构不得变动。</w:t>
      </w:r>
    </w:p>
    <w:p>
      <w:pPr>
        <w:keepNext/>
        <w:keepLines/>
        <w:numPr>
          <w:ilvl w:val="0"/>
          <w:numId w:val="0"/>
        </w:numPr>
        <w:spacing w:before="156" w:after="156" w:line="410" w:lineRule="auto"/>
        <w:outlineLvl w:val="2"/>
        <w:rPr>
          <w:rFonts w:ascii="宋体" w:hAnsi="宋体" w:eastAsia="宋体" w:cs="华文仿宋"/>
          <w:b/>
          <w:bCs/>
          <w:color w:val="auto"/>
          <w:szCs w:val="21"/>
        </w:rPr>
      </w:pPr>
      <w:bookmarkStart w:id="1720" w:name="_Toc571"/>
      <w:bookmarkStart w:id="1721" w:name="_Toc517528669"/>
      <w:bookmarkStart w:id="1722" w:name="_Toc11990"/>
      <w:bookmarkStart w:id="1723" w:name="_Toc7856"/>
      <w:bookmarkStart w:id="1724" w:name="_Toc517530777"/>
      <w:bookmarkStart w:id="1725" w:name="_Toc517532053"/>
      <w:bookmarkStart w:id="1726" w:name="_Toc28405"/>
      <w:r>
        <w:rPr>
          <w:rFonts w:ascii="宋体" w:hAnsi="宋体" w:eastAsia="宋体" w:cs="华文仿宋"/>
          <w:b/>
          <w:bCs/>
          <w:color w:val="auto"/>
          <w:sz w:val="28"/>
          <w:szCs w:val="28"/>
        </w:rPr>
        <w:t xml:space="preserve">3.9 </w:t>
      </w:r>
      <w:r>
        <w:rPr>
          <w:rFonts w:ascii="宋体" w:hAnsi="宋体" w:cs="华文仿宋"/>
          <w:b/>
          <w:bCs/>
          <w:color w:val="auto"/>
          <w:sz w:val="28"/>
          <w:szCs w:val="28"/>
        </w:rPr>
        <w:t>严格执行合同要求</w:t>
      </w:r>
      <w:bookmarkEnd w:id="1720"/>
      <w:bookmarkEnd w:id="1721"/>
      <w:bookmarkEnd w:id="1722"/>
      <w:bookmarkEnd w:id="1723"/>
      <w:bookmarkEnd w:id="1724"/>
      <w:bookmarkEnd w:id="1725"/>
      <w:bookmarkEnd w:id="1726"/>
    </w:p>
    <w:p>
      <w:pPr>
        <w:snapToGrid w:val="0"/>
        <w:spacing w:line="360" w:lineRule="auto"/>
        <w:ind w:firstLine="420"/>
        <w:rPr>
          <w:rFonts w:ascii="宋体" w:hAnsi="宋体" w:eastAsia="宋体" w:cs="华文仿宋"/>
          <w:color w:val="auto"/>
          <w:szCs w:val="21"/>
        </w:rPr>
      </w:pPr>
      <w:r>
        <w:rPr>
          <w:rFonts w:ascii="宋体" w:hAnsi="宋体" w:cs="华文仿宋"/>
          <w:color w:val="auto"/>
          <w:szCs w:val="21"/>
        </w:rPr>
        <w:t>承包人应严格按照合同规定实施和完成本合同工程及其缺陷的修复，使工程质量、进度、价款、安全和文明达到符合合同要求的程度。其中，专业承包工程或发包范围内各分部分项工程以及有关重点工艺，必须按发包人提供或发布的实施标准、技术标准、图集、工艺指引等的要求组织实施并进行验收，符合要求的方视为合格。</w:t>
      </w:r>
    </w:p>
    <w:p>
      <w:pPr>
        <w:snapToGrid w:val="0"/>
        <w:spacing w:line="360" w:lineRule="auto"/>
        <w:ind w:firstLine="420"/>
        <w:rPr>
          <w:rFonts w:ascii="宋体" w:hAnsi="宋体" w:eastAsia="宋体" w:cs="华文仿宋"/>
          <w:color w:val="auto"/>
          <w:szCs w:val="21"/>
        </w:rPr>
      </w:pPr>
      <w:r>
        <w:rPr>
          <w:rFonts w:ascii="宋体" w:hAnsi="宋体" w:cs="华文仿宋"/>
          <w:color w:val="auto"/>
          <w:szCs w:val="21"/>
        </w:rPr>
        <w:t>承包人应该严格遵守并执行监理人对有关该工程实施的任何事项所作的指令，无论这些事项在合同中写明与否。除合同第</w:t>
      </w:r>
      <w:r>
        <w:rPr>
          <w:rFonts w:ascii="宋体" w:hAnsi="宋体" w:eastAsia="宋体" w:cs="华文仿宋"/>
          <w:color w:val="auto"/>
          <w:szCs w:val="21"/>
        </w:rPr>
        <w:t>5.3</w:t>
      </w:r>
      <w:r>
        <w:rPr>
          <w:rFonts w:ascii="宋体" w:hAnsi="宋体" w:cs="华文仿宋"/>
          <w:color w:val="auto"/>
          <w:szCs w:val="21"/>
        </w:rPr>
        <w:t>条规定的情形外，承包人仅限于从监理人或者总监理工程师处取得指令。</w:t>
      </w:r>
    </w:p>
    <w:p>
      <w:pPr>
        <w:snapToGrid w:val="0"/>
        <w:spacing w:line="360" w:lineRule="auto"/>
        <w:ind w:firstLine="420"/>
        <w:rPr>
          <w:rFonts w:ascii="宋体" w:hAnsi="宋体" w:eastAsia="宋体" w:cs="华文仿宋"/>
          <w:color w:val="auto"/>
          <w:szCs w:val="21"/>
        </w:rPr>
      </w:pPr>
      <w:r>
        <w:rPr>
          <w:rFonts w:ascii="宋体" w:hAnsi="宋体" w:cs="华文仿宋"/>
          <w:color w:val="auto"/>
          <w:szCs w:val="21"/>
        </w:rPr>
        <w:t>承包人确认知悉并理解发包人提供的或发包人已公开发布的实施标准、技术标准、图集、工艺指引、制度规范等相关文件的全部内容，将根据合同要求执行相应的文件。</w:t>
      </w:r>
    </w:p>
    <w:p>
      <w:pPr>
        <w:spacing w:line="360" w:lineRule="auto"/>
        <w:ind w:firstLine="420"/>
        <w:jc w:val="left"/>
        <w:rPr>
          <w:rFonts w:ascii="宋体" w:hAnsi="宋体" w:eastAsia="宋体" w:cs="华文仿宋"/>
          <w:color w:val="auto"/>
          <w:szCs w:val="21"/>
        </w:rPr>
      </w:pP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1727" w:name="_Toc351203527"/>
      <w:bookmarkStart w:id="1728" w:name="_Toc296503053"/>
      <w:bookmarkStart w:id="1729" w:name="_Toc296346554"/>
      <w:bookmarkStart w:id="1730" w:name="_Toc18961"/>
      <w:bookmarkStart w:id="1731" w:name="_Toc26289"/>
      <w:bookmarkStart w:id="1732" w:name="_Toc517532054"/>
      <w:bookmarkStart w:id="1733" w:name="_Toc2331"/>
      <w:bookmarkStart w:id="1734" w:name="_Toc517528670"/>
      <w:bookmarkStart w:id="1735" w:name="_Toc8512"/>
      <w:bookmarkStart w:id="1736" w:name="_Toc7654"/>
      <w:bookmarkStart w:id="1737" w:name="_Toc15909"/>
      <w:bookmarkStart w:id="1738" w:name="_Toc24939"/>
      <w:bookmarkStart w:id="1739" w:name="_Toc14659"/>
      <w:bookmarkStart w:id="1740" w:name="_Toc899"/>
      <w:bookmarkStart w:id="1741" w:name="_Toc517530778"/>
      <w:bookmarkStart w:id="1742" w:name="_Toc5645"/>
      <w:bookmarkStart w:id="1743" w:name="_Toc26074"/>
      <w:bookmarkStart w:id="1744" w:name="_Toc32476"/>
      <w:bookmarkStart w:id="1745" w:name="_Toc465237196"/>
      <w:bookmarkStart w:id="1746" w:name="_Toc29676"/>
      <w:bookmarkStart w:id="1747" w:name="_Toc517529737"/>
      <w:bookmarkStart w:id="1748" w:name="_Toc19076"/>
      <w:bookmarkStart w:id="1749" w:name="_Toc11507"/>
      <w:bookmarkStart w:id="1750" w:name="_Toc5503"/>
      <w:bookmarkStart w:id="1751" w:name="_Toc16571"/>
      <w:bookmarkStart w:id="1752" w:name="_Toc20357"/>
      <w:bookmarkStart w:id="1753" w:name="_Toc465237098"/>
      <w:r>
        <w:rPr>
          <w:rFonts w:ascii="宋体" w:hAnsi="宋体" w:eastAsia="宋体" w:cs="华文仿宋"/>
          <w:b/>
          <w:bCs/>
          <w:color w:val="auto"/>
          <w:sz w:val="30"/>
          <w:szCs w:val="30"/>
        </w:rPr>
        <w:t>4.</w:t>
      </w:r>
      <w:bookmarkEnd w:id="1727"/>
      <w:bookmarkEnd w:id="1728"/>
      <w:bookmarkEnd w:id="1729"/>
      <w:r>
        <w:rPr>
          <w:rFonts w:ascii="宋体" w:hAnsi="宋体" w:eastAsia="宋体" w:cs="华文仿宋"/>
          <w:b/>
          <w:bCs/>
          <w:color w:val="auto"/>
          <w:sz w:val="30"/>
          <w:szCs w:val="30"/>
        </w:rPr>
        <w:t xml:space="preserve"> </w:t>
      </w:r>
      <w:r>
        <w:rPr>
          <w:rFonts w:ascii="宋体" w:hAnsi="宋体" w:cs="华文仿宋"/>
          <w:b/>
          <w:bCs/>
          <w:color w:val="auto"/>
          <w:sz w:val="30"/>
          <w:szCs w:val="30"/>
        </w:rPr>
        <w:t>监理人</w:t>
      </w:r>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Start w:id="1754" w:name="_Toc337558753"/>
      <w:bookmarkEnd w:id="1754"/>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755" w:name="_Toc465237099"/>
      <w:bookmarkStart w:id="1756" w:name="_Toc465237197"/>
      <w:bookmarkStart w:id="1757" w:name="_Toc2588"/>
      <w:bookmarkStart w:id="1758" w:name="_Toc32664"/>
      <w:bookmarkStart w:id="1759" w:name="_Toc28999"/>
      <w:bookmarkStart w:id="1760" w:name="_Toc12318"/>
      <w:bookmarkStart w:id="1761" w:name="_Toc26087"/>
      <w:bookmarkStart w:id="1762" w:name="_Toc1728"/>
      <w:bookmarkStart w:id="1763" w:name="_Toc517530779"/>
      <w:bookmarkStart w:id="1764" w:name="_Toc30521"/>
      <w:bookmarkStart w:id="1765" w:name="_Toc15185"/>
      <w:bookmarkStart w:id="1766" w:name="_Toc8375"/>
      <w:bookmarkStart w:id="1767" w:name="_Toc23635"/>
      <w:bookmarkStart w:id="1768" w:name="_Toc4804"/>
      <w:bookmarkStart w:id="1769" w:name="_Toc28284"/>
      <w:bookmarkStart w:id="1770" w:name="_Toc12907"/>
      <w:bookmarkStart w:id="1771" w:name="_Toc517532055"/>
      <w:bookmarkStart w:id="1772" w:name="_Toc27443"/>
      <w:bookmarkStart w:id="1773" w:name="_Toc31417"/>
      <w:bookmarkStart w:id="1774" w:name="_Toc27770"/>
      <w:bookmarkStart w:id="1775" w:name="_Toc28653"/>
      <w:bookmarkStart w:id="1776" w:name="_Toc517528671"/>
      <w:bookmarkStart w:id="1777" w:name="_Toc2484"/>
      <w:r>
        <w:rPr>
          <w:rFonts w:ascii="宋体" w:hAnsi="宋体" w:eastAsia="宋体" w:cs="华文仿宋"/>
          <w:b/>
          <w:bCs/>
          <w:color w:val="auto"/>
          <w:sz w:val="28"/>
          <w:szCs w:val="28"/>
        </w:rPr>
        <w:t>4.1</w:t>
      </w:r>
      <w:bookmarkEnd w:id="1755"/>
      <w:bookmarkEnd w:id="1756"/>
      <w:r>
        <w:rPr>
          <w:rFonts w:ascii="宋体" w:hAnsi="宋体" w:cs="华文仿宋"/>
          <w:b/>
          <w:bCs/>
          <w:color w:val="auto"/>
          <w:sz w:val="28"/>
          <w:szCs w:val="28"/>
        </w:rPr>
        <w:t>监理人</w:t>
      </w:r>
      <w:bookmarkEnd w:id="1757"/>
      <w:r>
        <w:rPr>
          <w:rFonts w:ascii="宋体" w:hAnsi="宋体" w:cs="华文仿宋"/>
          <w:b/>
          <w:bCs/>
          <w:color w:val="auto"/>
          <w:sz w:val="28"/>
          <w:szCs w:val="28"/>
        </w:rPr>
        <w:t>的一般规定</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除专用合同条款另有约定外，监理人在施工现场的办公场所、生活场所由承包人提供，所发生的费用由发包人承担。</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778" w:name="_Toc16494"/>
      <w:bookmarkStart w:id="1779" w:name="_Toc263"/>
      <w:bookmarkStart w:id="1780" w:name="_Toc27778"/>
      <w:bookmarkStart w:id="1781" w:name="_Toc1842"/>
      <w:bookmarkStart w:id="1782" w:name="_Toc4306"/>
      <w:bookmarkStart w:id="1783" w:name="_Toc21317"/>
      <w:bookmarkStart w:id="1784" w:name="_Toc12815"/>
      <w:bookmarkStart w:id="1785" w:name="_Toc31448"/>
      <w:bookmarkStart w:id="1786" w:name="_Toc30092"/>
      <w:bookmarkStart w:id="1787" w:name="_Toc30131"/>
      <w:bookmarkStart w:id="1788" w:name="_Toc27966"/>
      <w:bookmarkStart w:id="1789" w:name="_Toc7011"/>
      <w:bookmarkStart w:id="1790" w:name="_Toc26290"/>
      <w:bookmarkStart w:id="1791" w:name="_Toc517530780"/>
      <w:bookmarkStart w:id="1792" w:name="_Toc595"/>
      <w:bookmarkStart w:id="1793" w:name="_Toc517532056"/>
      <w:bookmarkStart w:id="1794" w:name="_Toc21876"/>
      <w:bookmarkStart w:id="1795" w:name="_Toc22977"/>
      <w:bookmarkStart w:id="1796" w:name="_Toc23826"/>
      <w:bookmarkStart w:id="1797" w:name="_Toc15766"/>
      <w:r>
        <w:rPr>
          <w:rFonts w:ascii="宋体" w:hAnsi="宋体" w:eastAsia="宋体" w:cs="华文仿宋"/>
          <w:b/>
          <w:bCs/>
          <w:color w:val="auto"/>
          <w:sz w:val="24"/>
          <w:szCs w:val="24"/>
        </w:rPr>
        <w:t>4.1.1</w:t>
      </w:r>
      <w:r>
        <w:rPr>
          <w:rFonts w:ascii="宋体" w:hAnsi="宋体" w:cs="华文仿宋"/>
          <w:b/>
          <w:bCs/>
          <w:color w:val="auto"/>
          <w:sz w:val="24"/>
          <w:szCs w:val="24"/>
        </w:rPr>
        <w:t>监理人的职责和权限</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(1)</w:t>
      </w:r>
      <w:r>
        <w:rPr>
          <w:rFonts w:ascii="宋体" w:hAnsi="宋体" w:cs="华文仿宋"/>
          <w:color w:val="auto"/>
          <w:szCs w:val="21"/>
        </w:rPr>
        <w:t>监理人必须履行合同规定的职责。</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(2)</w:t>
      </w:r>
      <w:r>
        <w:rPr>
          <w:rFonts w:ascii="宋体" w:hAnsi="宋体" w:cs="华文仿宋"/>
          <w:color w:val="auto"/>
          <w:szCs w:val="21"/>
        </w:rPr>
        <w:t>监理人可以行使合同规定的职权。监理人根据合同行使的职权，都应认为已从发包人处取得了必要的批准。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(3)</w:t>
      </w:r>
      <w:r>
        <w:rPr>
          <w:rFonts w:ascii="宋体" w:hAnsi="宋体" w:cs="华文仿宋"/>
          <w:color w:val="auto"/>
          <w:szCs w:val="21"/>
        </w:rPr>
        <w:t>除在合同中有明确的规定外，监理人无权解除合同规定的承包人的任何义务。</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(4)</w:t>
      </w:r>
      <w:r>
        <w:rPr>
          <w:rFonts w:ascii="宋体" w:hAnsi="宋体" w:cs="华文仿宋"/>
          <w:color w:val="auto"/>
          <w:szCs w:val="21"/>
        </w:rPr>
        <w:t>监理人在行使下述职权之前，应先取得发包人的书面批准：</w:t>
      </w:r>
    </w:p>
    <w:p>
      <w:pPr>
        <w:spacing w:line="360" w:lineRule="auto"/>
        <w:ind w:firstLine="63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）发布开工令、停工令、复工令，如在紧急情况下未能事先报告时，则应在</w:t>
      </w:r>
      <w:r>
        <w:rPr>
          <w:rFonts w:ascii="宋体" w:hAnsi="宋体" w:eastAsia="宋体" w:cs="华文仿宋"/>
          <w:color w:val="auto"/>
          <w:szCs w:val="21"/>
        </w:rPr>
        <w:t>24</w:t>
      </w:r>
      <w:r>
        <w:rPr>
          <w:rFonts w:ascii="宋体" w:hAnsi="宋体" w:cs="华文仿宋"/>
          <w:color w:val="auto"/>
          <w:szCs w:val="21"/>
        </w:rPr>
        <w:t>小时内向发包人做出书面报告；</w:t>
      </w:r>
    </w:p>
    <w:p>
      <w:pPr>
        <w:spacing w:line="360" w:lineRule="auto"/>
        <w:ind w:firstLine="63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）向设计单位提出建议，且提出的建议可能会提高工程造价或者延误工期时；</w:t>
      </w:r>
    </w:p>
    <w:p>
      <w:pPr>
        <w:spacing w:line="360" w:lineRule="auto"/>
        <w:ind w:firstLine="63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）向承包人提出建议，且拟提出的建议可能会提高工程造价或者延误工期时；</w:t>
      </w:r>
    </w:p>
    <w:p>
      <w:pPr>
        <w:spacing w:line="360" w:lineRule="auto"/>
        <w:ind w:firstLine="63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）对合同规定的承包人义务进行变更；</w:t>
      </w:r>
    </w:p>
    <w:p>
      <w:pPr>
        <w:spacing w:line="360" w:lineRule="auto"/>
        <w:ind w:firstLine="63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e</w:t>
      </w:r>
      <w:r>
        <w:rPr>
          <w:rFonts w:ascii="宋体" w:hAnsi="宋体" w:cs="华文仿宋"/>
          <w:color w:val="auto"/>
          <w:szCs w:val="21"/>
        </w:rPr>
        <w:t>）行使索赔权利。</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(5)</w:t>
      </w:r>
      <w:r>
        <w:rPr>
          <w:rFonts w:ascii="宋体" w:hAnsi="宋体" w:cs="华文仿宋"/>
          <w:color w:val="auto"/>
          <w:szCs w:val="21"/>
        </w:rPr>
        <w:t>尽管工程任何形式、质量、数量和内容上的变动都需要获得发包人批准，但当监理人认为出现了危及人身、财产安全和影响工程安危的紧急情况时，在不解除合同规定的承包人的任何义务和责任的情况下，监理人可以指令承包人实施上述工作。</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798" w:name="_Toc3881"/>
      <w:bookmarkStart w:id="1799" w:name="_Toc31823"/>
      <w:bookmarkStart w:id="1800" w:name="_Toc16889"/>
      <w:bookmarkStart w:id="1801" w:name="_Toc1719"/>
      <w:bookmarkStart w:id="1802" w:name="_Toc10884"/>
      <w:bookmarkStart w:id="1803" w:name="_Toc29801"/>
      <w:bookmarkStart w:id="1804" w:name="_Toc7336"/>
      <w:bookmarkStart w:id="1805" w:name="_Toc1711"/>
      <w:bookmarkStart w:id="1806" w:name="_Toc18600"/>
      <w:bookmarkStart w:id="1807" w:name="_Toc517530781"/>
      <w:bookmarkStart w:id="1808" w:name="_Toc7604"/>
      <w:bookmarkStart w:id="1809" w:name="_Toc26050"/>
      <w:bookmarkStart w:id="1810" w:name="_Toc13916"/>
      <w:bookmarkStart w:id="1811" w:name="_Toc517532057"/>
      <w:bookmarkStart w:id="1812" w:name="_Toc18535"/>
      <w:bookmarkStart w:id="1813" w:name="_Toc19214"/>
      <w:bookmarkStart w:id="1814" w:name="_Toc17659"/>
      <w:bookmarkStart w:id="1815" w:name="_Toc23119"/>
      <w:bookmarkStart w:id="1816" w:name="_Toc13917"/>
      <w:bookmarkStart w:id="1817" w:name="_Toc21031"/>
      <w:r>
        <w:rPr>
          <w:rFonts w:ascii="宋体" w:hAnsi="宋体" w:eastAsia="宋体" w:cs="华文仿宋"/>
          <w:b/>
          <w:bCs/>
          <w:color w:val="auto"/>
          <w:sz w:val="24"/>
          <w:szCs w:val="24"/>
        </w:rPr>
        <w:t>4.1.2</w:t>
      </w:r>
      <w:r>
        <w:rPr>
          <w:rFonts w:ascii="宋体" w:hAnsi="宋体" w:cs="华文仿宋"/>
          <w:b/>
          <w:bCs/>
          <w:color w:val="auto"/>
          <w:sz w:val="24"/>
          <w:szCs w:val="24"/>
        </w:rPr>
        <w:t>书面指令</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监理人发出的指令应是书面的，在某些特殊情形下，监理人可以发出口头指令，承包人必须执行口头指令，但事后监理人应以书面形式确认上述口头指令。如果承包人在监理人发出口头指令的</w:t>
      </w:r>
      <w:r>
        <w:rPr>
          <w:rFonts w:ascii="宋体" w:hAnsi="宋体" w:eastAsia="宋体" w:cs="华文仿宋"/>
          <w:color w:val="auto"/>
          <w:szCs w:val="21"/>
          <w:u w:val="single"/>
        </w:rPr>
        <w:t>3</w:t>
      </w:r>
      <w:r>
        <w:rPr>
          <w:rFonts w:ascii="宋体" w:hAnsi="宋体" w:cs="华文仿宋"/>
          <w:color w:val="auto"/>
          <w:szCs w:val="21"/>
        </w:rPr>
        <w:t>天内，未收到监理人的书面确认，承包人应立即以书面形式要求监理人确认上述口头指令。如监理人在收到承包人的书面要求</w:t>
      </w:r>
      <w:r>
        <w:rPr>
          <w:rFonts w:ascii="宋体" w:hAnsi="宋体" w:eastAsia="宋体" w:cs="华文仿宋"/>
          <w:color w:val="auto"/>
          <w:szCs w:val="21"/>
          <w:u w:val="single"/>
        </w:rPr>
        <w:t>3</w:t>
      </w:r>
      <w:r>
        <w:rPr>
          <w:rFonts w:ascii="宋体" w:hAnsi="宋体" w:cs="华文仿宋"/>
          <w:color w:val="auto"/>
          <w:szCs w:val="21"/>
        </w:rPr>
        <w:t>天之内没有以书面形式驳回上述确认，则该口头指令应认为已被监理人书面确认。</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本款的规定同样地适用于总监理工程师发出的指令，并适用于根据</w:t>
      </w:r>
      <w:r>
        <w:rPr>
          <w:rFonts w:ascii="宋体" w:hAnsi="宋体" w:eastAsia="宋体" w:cs="华文仿宋"/>
          <w:color w:val="auto"/>
          <w:szCs w:val="21"/>
        </w:rPr>
        <w:t>4.2.2</w:t>
      </w:r>
      <w:r>
        <w:rPr>
          <w:rFonts w:ascii="宋体" w:hAnsi="宋体" w:cs="华文仿宋"/>
          <w:color w:val="auto"/>
          <w:szCs w:val="21"/>
        </w:rPr>
        <w:t>条规定任命的监理工程师或总监理工程师的助理发出的指令。</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818" w:name="_Toc7321"/>
      <w:bookmarkStart w:id="1819" w:name="_Toc27734"/>
      <w:bookmarkStart w:id="1820" w:name="_Toc31379"/>
      <w:bookmarkStart w:id="1821" w:name="_Toc20274"/>
      <w:bookmarkStart w:id="1822" w:name="_Toc27836"/>
      <w:bookmarkStart w:id="1823" w:name="_Toc7337"/>
      <w:bookmarkStart w:id="1824" w:name="_Toc13776"/>
      <w:bookmarkStart w:id="1825" w:name="_Toc17455"/>
      <w:bookmarkStart w:id="1826" w:name="_Toc684"/>
      <w:bookmarkStart w:id="1827" w:name="_Toc21645"/>
      <w:bookmarkStart w:id="1828" w:name="_Toc697"/>
      <w:bookmarkStart w:id="1829" w:name="_Toc517532058"/>
      <w:bookmarkStart w:id="1830" w:name="_Toc517530782"/>
      <w:bookmarkStart w:id="1831" w:name="_Toc3464"/>
      <w:bookmarkStart w:id="1832" w:name="_Toc1929"/>
      <w:bookmarkStart w:id="1833" w:name="_Toc11864"/>
      <w:bookmarkStart w:id="1834" w:name="_Toc12348"/>
      <w:bookmarkStart w:id="1835" w:name="_Toc5864"/>
      <w:bookmarkStart w:id="1836" w:name="_Toc5425"/>
      <w:bookmarkStart w:id="1837" w:name="_Toc6996"/>
      <w:r>
        <w:rPr>
          <w:rFonts w:ascii="宋体" w:hAnsi="宋体" w:eastAsia="宋体" w:cs="华文仿宋"/>
          <w:b/>
          <w:bCs/>
          <w:color w:val="auto"/>
          <w:sz w:val="24"/>
          <w:szCs w:val="24"/>
        </w:rPr>
        <w:t>4.1.3</w:t>
      </w:r>
      <w:r>
        <w:rPr>
          <w:rFonts w:ascii="宋体" w:hAnsi="宋体" w:cs="华文仿宋"/>
          <w:b/>
          <w:bCs/>
          <w:color w:val="auto"/>
          <w:sz w:val="24"/>
          <w:szCs w:val="24"/>
        </w:rPr>
        <w:t>监理人客观中立</w:t>
      </w:r>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监理人在按本合同要求作出各项决定时，应该根据合同条款规定，考虑各种情况，实事求是和公正地作出判断并接受检查。如发现有不当之处，应进行修正。</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838" w:name="_Toc29497"/>
      <w:bookmarkStart w:id="1839" w:name="_Toc517528672"/>
      <w:bookmarkStart w:id="1840" w:name="_Toc22001"/>
      <w:bookmarkStart w:id="1841" w:name="_Toc465237198"/>
      <w:bookmarkStart w:id="1842" w:name="_Toc7911"/>
      <w:bookmarkStart w:id="1843" w:name="_Toc465237100"/>
      <w:bookmarkStart w:id="1844" w:name="_Toc22492"/>
      <w:bookmarkStart w:id="1845" w:name="_Toc22929"/>
      <w:bookmarkStart w:id="1846" w:name="_Toc12685"/>
      <w:bookmarkStart w:id="1847" w:name="_Toc18716"/>
      <w:bookmarkStart w:id="1848" w:name="_Toc31528"/>
      <w:bookmarkStart w:id="1849" w:name="_Toc843"/>
      <w:bookmarkStart w:id="1850" w:name="_Toc17435"/>
      <w:bookmarkStart w:id="1851" w:name="_Toc517530783"/>
      <w:bookmarkStart w:id="1852" w:name="_Toc517532059"/>
      <w:bookmarkStart w:id="1853" w:name="_Toc2665"/>
      <w:bookmarkStart w:id="1854" w:name="_Toc23312"/>
      <w:bookmarkStart w:id="1855" w:name="_Toc1513"/>
      <w:bookmarkStart w:id="1856" w:name="_Toc32725"/>
      <w:bookmarkStart w:id="1857" w:name="_Toc11090"/>
      <w:bookmarkStart w:id="1858" w:name="_Toc20124"/>
      <w:bookmarkStart w:id="1859" w:name="_Toc13774"/>
      <w:bookmarkStart w:id="1860" w:name="_Toc13583"/>
      <w:r>
        <w:rPr>
          <w:rFonts w:ascii="宋体" w:hAnsi="宋体" w:eastAsia="宋体" w:cs="华文仿宋"/>
          <w:b/>
          <w:bCs/>
          <w:color w:val="auto"/>
          <w:sz w:val="28"/>
          <w:szCs w:val="28"/>
        </w:rPr>
        <w:t>4.2</w:t>
      </w:r>
      <w:r>
        <w:rPr>
          <w:rFonts w:ascii="宋体" w:hAnsi="宋体" w:cs="华文仿宋"/>
          <w:b/>
          <w:bCs/>
          <w:color w:val="auto"/>
          <w:sz w:val="28"/>
          <w:szCs w:val="28"/>
        </w:rPr>
        <w:t>监理人员</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pPr>
        <w:spacing w:line="360" w:lineRule="auto"/>
        <w:ind w:firstLine="420"/>
        <w:jc w:val="left"/>
        <w:rPr>
          <w:rFonts w:ascii="宋体" w:hAnsi="宋体" w:eastAsia="宋体" w:cs="华文仿宋"/>
          <w:color w:val="auto"/>
          <w:szCs w:val="21"/>
        </w:rPr>
      </w:pPr>
      <w:r>
        <w:rPr>
          <w:rFonts w:ascii="宋体" w:hAnsi="宋体" w:cs="华文仿宋"/>
          <w:color w:val="auto"/>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eastAsia="宋体" w:cs="华文仿宋"/>
          <w:color w:val="auto"/>
          <w:kern w:val="0"/>
          <w:szCs w:val="21"/>
        </w:rPr>
        <w:t>7</w:t>
      </w:r>
      <w:r>
        <w:rPr>
          <w:rFonts w:ascii="宋体" w:hAnsi="宋体" w:cs="华文仿宋"/>
          <w:color w:val="auto"/>
          <w:kern w:val="0"/>
          <w:szCs w:val="21"/>
        </w:rPr>
        <w:t>天书面通知承包人；更换其他监理人员，监理人应提前</w:t>
      </w:r>
      <w:r>
        <w:rPr>
          <w:rFonts w:ascii="宋体" w:hAnsi="宋体" w:eastAsia="宋体" w:cs="华文仿宋"/>
          <w:color w:val="auto"/>
          <w:kern w:val="0"/>
          <w:szCs w:val="21"/>
        </w:rPr>
        <w:t>48</w:t>
      </w:r>
      <w:r>
        <w:rPr>
          <w:rFonts w:ascii="宋体" w:hAnsi="宋体" w:cs="华文仿宋"/>
          <w:color w:val="auto"/>
          <w:kern w:val="0"/>
          <w:szCs w:val="21"/>
        </w:rPr>
        <w:t>小时书面通知承包人。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861" w:name="_Toc28276"/>
      <w:bookmarkStart w:id="1862" w:name="_Toc9395"/>
      <w:bookmarkStart w:id="1863" w:name="_Toc9384"/>
      <w:bookmarkStart w:id="1864" w:name="_Toc25799"/>
      <w:bookmarkStart w:id="1865" w:name="_Toc517532060"/>
      <w:bookmarkStart w:id="1866" w:name="_Toc2141"/>
      <w:bookmarkStart w:id="1867" w:name="_Toc28017"/>
      <w:bookmarkStart w:id="1868" w:name="_Toc3299"/>
      <w:bookmarkStart w:id="1869" w:name="_Toc28103"/>
      <w:bookmarkStart w:id="1870" w:name="_Toc16954"/>
      <w:bookmarkStart w:id="1871" w:name="_Toc6891"/>
      <w:bookmarkStart w:id="1872" w:name="_Toc17268"/>
      <w:bookmarkStart w:id="1873" w:name="_Toc14410"/>
      <w:bookmarkStart w:id="1874" w:name="_Toc22956"/>
      <w:bookmarkStart w:id="1875" w:name="_Toc6869"/>
      <w:bookmarkStart w:id="1876" w:name="_Toc2373"/>
      <w:bookmarkStart w:id="1877" w:name="_Toc32497"/>
      <w:bookmarkStart w:id="1878" w:name="_Toc2228"/>
      <w:bookmarkStart w:id="1879" w:name="_Toc517530784"/>
      <w:bookmarkStart w:id="1880" w:name="_Toc16315"/>
      <w:r>
        <w:rPr>
          <w:rFonts w:ascii="宋体" w:hAnsi="宋体" w:eastAsia="宋体" w:cs="华文仿宋"/>
          <w:b/>
          <w:bCs/>
          <w:color w:val="auto"/>
          <w:sz w:val="24"/>
          <w:szCs w:val="24"/>
        </w:rPr>
        <w:t>4.2.1</w:t>
      </w:r>
      <w:r>
        <w:rPr>
          <w:rFonts w:ascii="宋体" w:hAnsi="宋体" w:cs="华文仿宋"/>
          <w:b/>
          <w:bCs/>
          <w:color w:val="auto"/>
          <w:sz w:val="24"/>
          <w:szCs w:val="24"/>
        </w:rPr>
        <w:t>总监理工程师</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总监理工程师应由监理人任命，并对监理人负责。总监理工程师履行和行使监理人委托的职责与职权。</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总监理工程师根据上述的委托向承包人发出的任何函电等，都与由监理人发出的同等有效，但是：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总监理工程师如对任何工作、材料或设备未加反对，应不影响监理人对上述问题的否定和给予指令去纠正的权力；</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承包人对总监理工程师的所来函电如有疑问，承包人可将该疑问提交监理人，而监理人应对上述函电内容做出确认、否定或改变。</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1881" w:name="_Toc491"/>
      <w:bookmarkStart w:id="1882" w:name="_Toc6584"/>
      <w:bookmarkStart w:id="1883" w:name="_Toc10955"/>
      <w:bookmarkStart w:id="1884" w:name="_Toc15829"/>
      <w:bookmarkStart w:id="1885" w:name="_Toc10171"/>
      <w:bookmarkStart w:id="1886" w:name="_Toc21010"/>
      <w:bookmarkStart w:id="1887" w:name="_Toc12737"/>
      <w:bookmarkStart w:id="1888" w:name="_Toc8028"/>
      <w:bookmarkStart w:id="1889" w:name="_Toc31468"/>
      <w:bookmarkStart w:id="1890" w:name="_Toc517532061"/>
      <w:bookmarkStart w:id="1891" w:name="_Toc29010"/>
      <w:bookmarkStart w:id="1892" w:name="_Toc25899"/>
      <w:bookmarkStart w:id="1893" w:name="_Toc23998"/>
      <w:bookmarkStart w:id="1894" w:name="_Toc19589"/>
      <w:bookmarkStart w:id="1895" w:name="_Toc517530785"/>
      <w:bookmarkStart w:id="1896" w:name="_Toc16810"/>
      <w:bookmarkStart w:id="1897" w:name="_Toc8246"/>
      <w:bookmarkStart w:id="1898" w:name="_Toc6492"/>
      <w:bookmarkStart w:id="1899" w:name="_Toc31265"/>
      <w:bookmarkStart w:id="1900" w:name="_Toc16770"/>
      <w:r>
        <w:rPr>
          <w:rFonts w:ascii="宋体" w:hAnsi="宋体" w:eastAsia="宋体" w:cs="华文仿宋"/>
          <w:b/>
          <w:bCs/>
          <w:color w:val="auto"/>
          <w:sz w:val="24"/>
          <w:szCs w:val="24"/>
        </w:rPr>
        <w:t>4.2.2</w:t>
      </w:r>
      <w:r>
        <w:rPr>
          <w:rFonts w:ascii="宋体" w:hAnsi="宋体" w:cs="华文仿宋"/>
          <w:b/>
          <w:bCs/>
          <w:color w:val="auto"/>
          <w:sz w:val="24"/>
          <w:szCs w:val="24"/>
        </w:rPr>
        <w:t>总监理工程师助理</w:t>
      </w:r>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监理人可以任命一定数量的人员协助总监理工程师完成第</w:t>
      </w:r>
      <w:r>
        <w:rPr>
          <w:rFonts w:ascii="宋体" w:hAnsi="宋体" w:eastAsia="宋体" w:cs="华文仿宋"/>
          <w:color w:val="auto"/>
          <w:szCs w:val="21"/>
        </w:rPr>
        <w:t>4.2.1</w:t>
      </w:r>
      <w:r>
        <w:rPr>
          <w:rFonts w:ascii="宋体" w:hAnsi="宋体" w:cs="华文仿宋"/>
          <w:color w:val="auto"/>
          <w:szCs w:val="21"/>
        </w:rPr>
        <w:t>条规定的总监理工程师的任务。监理人或总监理工程师应将上述人员的姓名、职权和权限范围通知承包人。上述助理无权向承包人签发指令，除非此类指令是为履行其本身职责和按合同规定验收材料设备或操作工艺等所必需的，其为此目的而发出的任何指令均应视为是总监理工程师发出的。</w:t>
      </w:r>
      <w:bookmarkStart w:id="1901" w:name="_Toc351203528"/>
      <w:bookmarkEnd w:id="1901"/>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1902" w:name="_Toc2367"/>
      <w:bookmarkStart w:id="1903" w:name="_Toc11881"/>
      <w:bookmarkStart w:id="1904" w:name="_Toc10105"/>
      <w:bookmarkStart w:id="1905" w:name="_Toc19312"/>
      <w:bookmarkStart w:id="1906" w:name="_Toc30390"/>
      <w:bookmarkStart w:id="1907" w:name="_Toc30182"/>
      <w:bookmarkStart w:id="1908" w:name="_Toc465237101"/>
      <w:bookmarkStart w:id="1909" w:name="_Toc30632"/>
      <w:bookmarkStart w:id="1910" w:name="_Toc4408"/>
      <w:bookmarkStart w:id="1911" w:name="_Toc517532062"/>
      <w:bookmarkStart w:id="1912" w:name="_Toc517529738"/>
      <w:bookmarkStart w:id="1913" w:name="_Toc17513"/>
      <w:bookmarkStart w:id="1914" w:name="_Toc54"/>
      <w:bookmarkStart w:id="1915" w:name="_Toc3819"/>
      <w:bookmarkStart w:id="1916" w:name="_Toc29632"/>
      <w:bookmarkStart w:id="1917" w:name="_Toc15715"/>
      <w:bookmarkStart w:id="1918" w:name="_Toc21888"/>
      <w:bookmarkStart w:id="1919" w:name="_Toc9417"/>
      <w:bookmarkStart w:id="1920" w:name="_Toc25787"/>
      <w:bookmarkStart w:id="1921" w:name="_Toc465237199"/>
      <w:bookmarkStart w:id="1922" w:name="_Toc517528673"/>
      <w:bookmarkStart w:id="1923" w:name="_Toc20507"/>
      <w:bookmarkStart w:id="1924" w:name="_Toc351203538"/>
      <w:bookmarkStart w:id="1925" w:name="_Toc517530786"/>
      <w:bookmarkStart w:id="1926" w:name="_Toc18619"/>
      <w:r>
        <w:rPr>
          <w:rFonts w:ascii="宋体" w:hAnsi="宋体" w:eastAsia="宋体" w:cs="华文仿宋"/>
          <w:b/>
          <w:bCs/>
          <w:color w:val="auto"/>
          <w:sz w:val="30"/>
          <w:szCs w:val="30"/>
        </w:rPr>
        <w:t>5.</w:t>
      </w:r>
      <w:r>
        <w:rPr>
          <w:rFonts w:ascii="宋体" w:hAnsi="宋体" w:cs="华文仿宋"/>
          <w:b/>
          <w:bCs/>
          <w:color w:val="auto"/>
          <w:sz w:val="30"/>
          <w:szCs w:val="30"/>
        </w:rPr>
        <w:t>工程质量</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927" w:name="_Toc23472"/>
      <w:bookmarkStart w:id="1928" w:name="_Toc27337"/>
      <w:bookmarkStart w:id="1929" w:name="_Toc517528674"/>
      <w:bookmarkStart w:id="1930" w:name="_Toc3340"/>
      <w:bookmarkStart w:id="1931" w:name="_Toc17586"/>
      <w:bookmarkStart w:id="1932" w:name="_Toc25931"/>
      <w:bookmarkStart w:id="1933" w:name="_Toc9064"/>
      <w:bookmarkStart w:id="1934" w:name="_Toc30149"/>
      <w:bookmarkStart w:id="1935" w:name="_Toc517532063"/>
      <w:bookmarkStart w:id="1936" w:name="_Toc2993"/>
      <w:bookmarkStart w:id="1937" w:name="_Toc165"/>
      <w:bookmarkStart w:id="1938" w:name="_Toc3988"/>
      <w:bookmarkStart w:id="1939" w:name="_Toc27960"/>
      <w:bookmarkStart w:id="1940" w:name="_Toc30767"/>
      <w:bookmarkStart w:id="1941" w:name="_Toc7032"/>
      <w:bookmarkStart w:id="1942" w:name="_Toc517530787"/>
      <w:bookmarkStart w:id="1943" w:name="_Toc19106"/>
      <w:bookmarkStart w:id="1944" w:name="_Toc27036"/>
      <w:r>
        <w:rPr>
          <w:rFonts w:ascii="宋体" w:hAnsi="宋体" w:eastAsia="宋体" w:cs="华文仿宋"/>
          <w:b/>
          <w:bCs/>
          <w:color w:val="auto"/>
          <w:sz w:val="28"/>
          <w:szCs w:val="28"/>
        </w:rPr>
        <w:t>5.1</w:t>
      </w:r>
      <w:r>
        <w:rPr>
          <w:rFonts w:ascii="宋体" w:hAnsi="宋体" w:cs="华文仿宋"/>
          <w:b/>
          <w:bCs/>
          <w:color w:val="auto"/>
          <w:sz w:val="28"/>
          <w:szCs w:val="28"/>
        </w:rPr>
        <w:t>质量要求</w:t>
      </w:r>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p>
    <w:p>
      <w:pPr>
        <w:spacing w:line="360" w:lineRule="auto"/>
        <w:ind w:firstLine="420"/>
        <w:rPr>
          <w:rFonts w:ascii="宋体" w:hAnsi="宋体" w:eastAsia="宋体" w:cs="华文仿宋"/>
          <w:color w:val="auto"/>
          <w:szCs w:val="21"/>
        </w:rPr>
      </w:pPr>
      <w:r>
        <w:rPr>
          <w:rFonts w:ascii="宋体" w:hAnsi="宋体" w:cs="华文仿宋"/>
          <w:color w:val="auto"/>
          <w:kern w:val="0"/>
          <w:szCs w:val="21"/>
        </w:rPr>
        <w:t>工程质量标准必须符合现行国家有关工程施工质量验收规范和标准的要求</w:t>
      </w:r>
      <w:r>
        <w:rPr>
          <w:rFonts w:ascii="宋体" w:hAnsi="宋体" w:cs="华文仿宋"/>
          <w:color w:val="auto"/>
          <w:szCs w:val="21"/>
        </w:rPr>
        <w:t>、工程所在地的地方性标准以及相应的规范、规程等（若存在冲突，以较严格的为准，除非设计另有约定），此外还需满足发包人制定的技术标准。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1945" w:name="_Toc24751"/>
      <w:bookmarkStart w:id="1946" w:name="_Toc18564"/>
      <w:bookmarkStart w:id="1947" w:name="_Toc29634"/>
      <w:bookmarkStart w:id="1948" w:name="_Toc2800"/>
      <w:bookmarkStart w:id="1949" w:name="_Toc32185"/>
      <w:bookmarkStart w:id="1950" w:name="_Toc32183"/>
      <w:bookmarkStart w:id="1951" w:name="_Toc8059"/>
      <w:bookmarkStart w:id="1952" w:name="_Toc517528675"/>
      <w:bookmarkStart w:id="1953" w:name="_Toc26206"/>
      <w:bookmarkStart w:id="1954" w:name="_Toc23219"/>
      <w:bookmarkStart w:id="1955" w:name="_Toc8004"/>
      <w:bookmarkStart w:id="1956" w:name="_Toc19999"/>
      <w:bookmarkStart w:id="1957" w:name="_Toc5457"/>
      <w:bookmarkStart w:id="1958" w:name="_Toc6249"/>
      <w:bookmarkStart w:id="1959" w:name="_Toc517532064"/>
      <w:bookmarkStart w:id="1960" w:name="_Toc5596"/>
      <w:bookmarkStart w:id="1961" w:name="_Toc14137"/>
      <w:bookmarkStart w:id="1962" w:name="_Toc517530788"/>
      <w:r>
        <w:rPr>
          <w:rFonts w:ascii="宋体" w:hAnsi="宋体" w:eastAsia="宋体" w:cs="华文仿宋"/>
          <w:b/>
          <w:bCs/>
          <w:color w:val="auto"/>
          <w:sz w:val="28"/>
          <w:szCs w:val="28"/>
        </w:rPr>
        <w:t>5.2</w:t>
      </w:r>
      <w:r>
        <w:rPr>
          <w:rFonts w:ascii="宋体" w:hAnsi="宋体" w:cs="华文仿宋"/>
          <w:b/>
          <w:bCs/>
          <w:color w:val="auto"/>
          <w:sz w:val="28"/>
          <w:szCs w:val="28"/>
        </w:rPr>
        <w:t>承包人控制质量的责任</w:t>
      </w:r>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承包人就所有工程的质量及其指定的供货商的物料质量对发包人负责，所有工程是指由承包人及其分包人负责的全部工程。承包人应采取相应措施控制工程质量，包括但不限于下列内容：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编制和审查施工技术方案，确定特殊工程的施工技术措施，制定工程质量保证措施，虽然这些方案和措施要求由监理人审批，但监理人的批示并不免除承包人的责任；</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提供和组织足够的工程质量控制与检验人员，检查与控制施工质量；</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控制施工所用的材料、设备包括承包人或其分包人自行采购的和指定供货商所供应的材料、设备，使其不低于规范、设计文件和发包人要求的标准；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组织并参与所有工程的验收工作，包括隐蔽验收、中间验收直至竣工验收，组织分包人参加工程竣工验收；</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负责组织分包人共同承担缺陷责任期的工程保修责任；对经监理人确认因承包人在质量控制方面的责任造成的工程损坏，由承包人自行修复到符合质量要求的程度，并承担由此产生给发包人造成的损失。</w:t>
      </w:r>
      <w:bookmarkStart w:id="1963" w:name="_Toc19447"/>
      <w:bookmarkStart w:id="1964" w:name="_Toc28983"/>
      <w:bookmarkStart w:id="1965" w:name="_Toc19119"/>
      <w:bookmarkStart w:id="1966" w:name="_Toc21538"/>
      <w:bookmarkStart w:id="1967" w:name="_Toc16516"/>
      <w:bookmarkStart w:id="1968" w:name="_Toc5306"/>
      <w:bookmarkStart w:id="1969" w:name="_Toc21043"/>
      <w:bookmarkStart w:id="1970" w:name="_Toc517528676"/>
      <w:bookmarkStart w:id="1971" w:name="_Toc16712"/>
      <w:bookmarkStart w:id="1972" w:name="_Toc3072"/>
      <w:bookmarkStart w:id="1973" w:name="_Toc23145"/>
      <w:bookmarkStart w:id="1974" w:name="_Toc517530789"/>
      <w:bookmarkStart w:id="1975" w:name="_Toc517532065"/>
      <w:bookmarkStart w:id="1976" w:name="_Toc25564"/>
      <w:bookmarkStart w:id="1977" w:name="_Toc3294"/>
      <w:bookmarkStart w:id="1978" w:name="_Toc11500"/>
      <w:bookmarkStart w:id="1979" w:name="_Toc10557"/>
      <w:bookmarkStart w:id="1980" w:name="_Toc3088"/>
    </w:p>
    <w:p>
      <w:pPr>
        <w:numPr>
          <w:ilvl w:val="0"/>
          <w:numId w:val="0"/>
        </w:numPr>
        <w:spacing w:line="360" w:lineRule="auto"/>
        <w:ind w:firstLine="562"/>
        <w:jc w:val="left"/>
        <w:outlineLvl w:val="2"/>
        <w:rPr>
          <w:rFonts w:ascii="宋体" w:hAnsi="宋体" w:eastAsia="宋体" w:cs="华文仿宋"/>
          <w:color w:val="auto"/>
          <w:szCs w:val="21"/>
        </w:rPr>
      </w:pPr>
      <w:r>
        <w:rPr>
          <w:rFonts w:ascii="宋体" w:hAnsi="宋体" w:eastAsia="宋体" w:cs="华文仿宋"/>
          <w:b/>
          <w:bCs/>
          <w:color w:val="auto"/>
          <w:sz w:val="28"/>
          <w:szCs w:val="28"/>
        </w:rPr>
        <w:t>5.3</w:t>
      </w:r>
      <w:r>
        <w:rPr>
          <w:rFonts w:ascii="宋体" w:hAnsi="宋体" w:cs="华文仿宋"/>
          <w:b/>
          <w:bCs/>
          <w:color w:val="auto"/>
          <w:sz w:val="28"/>
          <w:szCs w:val="28"/>
        </w:rPr>
        <w:t>发包人的抽查权</w:t>
      </w:r>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pPr>
        <w:keepNext/>
        <w:keepLines/>
        <w:spacing w:before="156" w:after="156" w:line="360" w:lineRule="auto"/>
        <w:ind w:firstLine="561"/>
        <w:rPr>
          <w:rFonts w:ascii="宋体" w:hAnsi="宋体" w:eastAsia="宋体" w:cs="华文仿宋"/>
          <w:color w:val="auto"/>
          <w:szCs w:val="21"/>
        </w:rPr>
      </w:pPr>
      <w:bookmarkStart w:id="1981" w:name="_Toc4485"/>
      <w:bookmarkStart w:id="1982" w:name="_Toc28578"/>
      <w:bookmarkStart w:id="1983" w:name="_Toc23755"/>
      <w:bookmarkStart w:id="1984" w:name="_Toc12159"/>
      <w:bookmarkStart w:id="1985" w:name="_Toc9068"/>
      <w:bookmarkStart w:id="1986" w:name="_Toc3017"/>
      <w:bookmarkStart w:id="1987" w:name="_Toc517528677"/>
      <w:bookmarkStart w:id="1988" w:name="_Toc8449"/>
      <w:bookmarkStart w:id="1989" w:name="_Toc19608"/>
      <w:bookmarkStart w:id="1990" w:name="_Toc517532066"/>
      <w:bookmarkStart w:id="1991" w:name="_Toc4000"/>
      <w:bookmarkStart w:id="1992" w:name="_Toc18306"/>
      <w:bookmarkStart w:id="1993" w:name="_Toc841"/>
      <w:bookmarkStart w:id="1994" w:name="_Toc10988"/>
      <w:bookmarkStart w:id="1995" w:name="_Toc517530790"/>
      <w:bookmarkStart w:id="1996" w:name="_Toc12764"/>
      <w:bookmarkStart w:id="1997" w:name="_Toc18279"/>
      <w:bookmarkStart w:id="1998" w:name="_Toc29382"/>
      <w:r>
        <w:rPr>
          <w:rFonts w:ascii="宋体" w:hAnsi="宋体" w:cs="华文仿宋"/>
          <w:color w:val="auto"/>
          <w:szCs w:val="21"/>
        </w:rPr>
        <w:t>工程竣工前的施工过程中，发包人有权随时对工程或工程任何部分的质量和安全、施工行为及为完成工程所作的其他任何工作进行抽查，对使用在工程项目的材料设备进行抽检，并对抽查、抽检情况进行详细记录。</w:t>
      </w:r>
    </w:p>
    <w:p>
      <w:pPr>
        <w:keepNext/>
        <w:keepLines/>
        <w:spacing w:before="156" w:after="156" w:line="360" w:lineRule="auto"/>
        <w:ind w:firstLine="561"/>
        <w:rPr>
          <w:rFonts w:ascii="宋体" w:hAnsi="宋体" w:eastAsia="宋体" w:cs="华文仿宋"/>
          <w:color w:val="auto"/>
          <w:szCs w:val="21"/>
        </w:rPr>
      </w:pPr>
      <w:r>
        <w:rPr>
          <w:rFonts w:ascii="宋体" w:hAnsi="宋体" w:cs="华文仿宋"/>
          <w:color w:val="auto"/>
          <w:szCs w:val="21"/>
        </w:rPr>
        <w:t>在对材料设备进行抽检的过程中，抽取的材料设备样品的费用由承包人承担，检测合格时相关检测费用由发包人承担，检测不合格时相关检测费用由承包人承担。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r>
        <w:rPr>
          <w:rFonts w:ascii="宋体" w:hAnsi="宋体" w:eastAsia="宋体" w:cs="华文仿宋"/>
          <w:b/>
          <w:bCs/>
          <w:color w:val="auto"/>
          <w:sz w:val="28"/>
          <w:szCs w:val="28"/>
        </w:rPr>
        <w:t>5.4</w:t>
      </w:r>
      <w:r>
        <w:rPr>
          <w:rFonts w:ascii="宋体" w:hAnsi="宋体" w:cs="华文仿宋"/>
          <w:b/>
          <w:bCs/>
          <w:color w:val="auto"/>
          <w:sz w:val="28"/>
          <w:szCs w:val="28"/>
        </w:rPr>
        <w:t>质量、安全检查</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发包人或发包人委托的第三方将定期或不定期对所管理的工程项目进行质量、安全检查，根据检查情况汇总形成年度房建（市政）工程质量排名（分若干组）和年度房建（市政）工程安全文明排名。</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1999" w:name="_Toc517529739"/>
      <w:bookmarkStart w:id="2000" w:name="_Toc517528678"/>
      <w:bookmarkStart w:id="2001" w:name="_Toc6325"/>
      <w:bookmarkStart w:id="2002" w:name="_Toc13708"/>
      <w:bookmarkStart w:id="2003" w:name="_Toc27328"/>
      <w:bookmarkStart w:id="2004" w:name="_Toc13090"/>
      <w:bookmarkStart w:id="2005" w:name="_Toc20116"/>
      <w:bookmarkStart w:id="2006" w:name="_Toc27140"/>
      <w:bookmarkStart w:id="2007" w:name="_Toc26704"/>
      <w:bookmarkStart w:id="2008" w:name="_Toc31730"/>
      <w:bookmarkStart w:id="2009" w:name="_Toc13733"/>
      <w:bookmarkStart w:id="2010" w:name="_Toc517530791"/>
      <w:bookmarkStart w:id="2011" w:name="_Toc2476"/>
      <w:bookmarkStart w:id="2012" w:name="_Toc21316"/>
      <w:bookmarkStart w:id="2013" w:name="_Toc31637"/>
      <w:bookmarkStart w:id="2014" w:name="_Toc517532067"/>
      <w:bookmarkStart w:id="2015" w:name="_Toc18665"/>
      <w:bookmarkStart w:id="2016" w:name="_Toc583"/>
      <w:bookmarkStart w:id="2017" w:name="_Toc6331"/>
      <w:r>
        <w:rPr>
          <w:rFonts w:ascii="宋体" w:hAnsi="宋体" w:eastAsia="宋体" w:cs="华文仿宋"/>
          <w:b/>
          <w:bCs/>
          <w:color w:val="auto"/>
          <w:sz w:val="30"/>
          <w:szCs w:val="30"/>
        </w:rPr>
        <w:t>6.</w:t>
      </w:r>
      <w:r>
        <w:rPr>
          <w:rFonts w:ascii="宋体" w:hAnsi="宋体" w:cs="华文仿宋"/>
          <w:b/>
          <w:bCs/>
          <w:color w:val="auto"/>
          <w:sz w:val="30"/>
          <w:szCs w:val="30"/>
        </w:rPr>
        <w:t>安全文明施工与环境保护</w:t>
      </w:r>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018" w:name="_Toc24120"/>
      <w:bookmarkStart w:id="2019" w:name="_Toc17938"/>
      <w:bookmarkStart w:id="2020" w:name="_Toc26361"/>
      <w:bookmarkStart w:id="2021" w:name="_Toc6313"/>
      <w:bookmarkStart w:id="2022" w:name="_Toc29986"/>
      <w:bookmarkStart w:id="2023" w:name="_Toc14434"/>
      <w:bookmarkStart w:id="2024" w:name="_Toc11363"/>
      <w:bookmarkStart w:id="2025" w:name="_Toc7465"/>
      <w:bookmarkStart w:id="2026" w:name="_Toc25334"/>
      <w:bookmarkStart w:id="2027" w:name="_Toc27135"/>
      <w:bookmarkStart w:id="2028" w:name="_Toc517528679"/>
      <w:bookmarkStart w:id="2029" w:name="_Toc13215"/>
      <w:bookmarkStart w:id="2030" w:name="_Toc517530792"/>
      <w:bookmarkStart w:id="2031" w:name="_Toc20378"/>
      <w:bookmarkStart w:id="2032" w:name="_Toc29639"/>
      <w:bookmarkStart w:id="2033" w:name="_Toc13377"/>
      <w:bookmarkStart w:id="2034" w:name="_Toc465237102"/>
      <w:bookmarkStart w:id="2035" w:name="_Toc517532068"/>
      <w:bookmarkStart w:id="2036" w:name="_Toc13058"/>
      <w:bookmarkStart w:id="2037" w:name="_Toc29561"/>
      <w:bookmarkStart w:id="2038" w:name="_Toc19011"/>
      <w:bookmarkStart w:id="2039" w:name="_Toc18861"/>
      <w:bookmarkStart w:id="2040" w:name="_Toc465237200"/>
      <w:r>
        <w:rPr>
          <w:rFonts w:ascii="宋体" w:hAnsi="宋体" w:eastAsia="宋体" w:cs="华文仿宋"/>
          <w:b/>
          <w:bCs/>
          <w:color w:val="auto"/>
          <w:sz w:val="28"/>
          <w:szCs w:val="28"/>
        </w:rPr>
        <w:t>6.1</w:t>
      </w:r>
      <w:r>
        <w:rPr>
          <w:rFonts w:ascii="宋体" w:hAnsi="宋体" w:cs="华文仿宋"/>
          <w:b/>
          <w:bCs/>
          <w:color w:val="auto"/>
          <w:sz w:val="28"/>
          <w:szCs w:val="28"/>
        </w:rPr>
        <w:t>安全文明施工</w:t>
      </w:r>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041" w:name="_Toc19894"/>
      <w:bookmarkStart w:id="2042" w:name="_Toc10927"/>
      <w:bookmarkStart w:id="2043" w:name="_Toc16989"/>
      <w:bookmarkStart w:id="2044" w:name="_Toc517532069"/>
      <w:bookmarkStart w:id="2045" w:name="_Toc32487"/>
      <w:bookmarkStart w:id="2046" w:name="_Toc8630"/>
      <w:bookmarkStart w:id="2047" w:name="_Toc517530793"/>
      <w:bookmarkStart w:id="2048" w:name="_Toc4035"/>
      <w:bookmarkStart w:id="2049" w:name="_Toc27729"/>
      <w:bookmarkStart w:id="2050" w:name="_Toc20045"/>
      <w:bookmarkStart w:id="2051" w:name="_Toc15389"/>
      <w:r>
        <w:rPr>
          <w:rFonts w:ascii="宋体" w:hAnsi="宋体" w:eastAsia="宋体" w:cs="华文仿宋"/>
          <w:b/>
          <w:bCs/>
          <w:color w:val="auto"/>
          <w:sz w:val="24"/>
          <w:szCs w:val="24"/>
        </w:rPr>
        <w:t>6.1.1</w:t>
      </w:r>
      <w:r>
        <w:rPr>
          <w:rFonts w:ascii="宋体" w:hAnsi="宋体" w:cs="华文仿宋"/>
          <w:b/>
          <w:bCs/>
          <w:color w:val="auto"/>
          <w:sz w:val="24"/>
          <w:szCs w:val="24"/>
        </w:rPr>
        <w:t>安全文明施工方案</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中标人在递交施工组织设计的同时递交安全文明施工方案，并按照《深圳市建设工程安全文明施工标准》和《深圳市建筑工务署项目建设安全文明标准化手册</w:t>
      </w:r>
      <w:r>
        <w:rPr>
          <w:rFonts w:ascii="宋体" w:hAnsi="宋体" w:eastAsia="宋体" w:cs="华文仿宋"/>
          <w:color w:val="auto"/>
          <w:szCs w:val="21"/>
        </w:rPr>
        <w:t>3.0</w:t>
      </w:r>
      <w:r>
        <w:rPr>
          <w:rFonts w:ascii="宋体" w:hAnsi="宋体" w:cs="华文仿宋"/>
          <w:color w:val="auto"/>
          <w:szCs w:val="21"/>
        </w:rPr>
        <w:t>》，落实安全防护、环境保护、安全培训和信息化管理等要求，安全文明施工措施费专款专用。</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052" w:name="_Toc31767"/>
      <w:bookmarkStart w:id="2053" w:name="_Toc27980"/>
      <w:bookmarkStart w:id="2054" w:name="_Toc10249"/>
      <w:bookmarkStart w:id="2055" w:name="_Toc16309"/>
      <w:bookmarkStart w:id="2056" w:name="_Toc22697"/>
      <w:bookmarkStart w:id="2057" w:name="_Toc30764"/>
      <w:bookmarkStart w:id="2058" w:name="_Toc13390"/>
      <w:bookmarkStart w:id="2059" w:name="_Toc20024"/>
      <w:bookmarkStart w:id="2060" w:name="_Toc29361"/>
      <w:r>
        <w:rPr>
          <w:rFonts w:ascii="宋体" w:hAnsi="宋体" w:eastAsia="宋体" w:cs="华文仿宋"/>
          <w:b/>
          <w:bCs/>
          <w:color w:val="auto"/>
          <w:sz w:val="24"/>
          <w:szCs w:val="24"/>
        </w:rPr>
        <w:t>6.1.</w:t>
      </w:r>
      <w:bookmarkEnd w:id="2052"/>
      <w:bookmarkEnd w:id="2053"/>
      <w:bookmarkEnd w:id="2054"/>
      <w:bookmarkEnd w:id="2055"/>
      <w:bookmarkEnd w:id="2056"/>
      <w:bookmarkEnd w:id="2057"/>
      <w:bookmarkEnd w:id="2058"/>
      <w:bookmarkEnd w:id="2059"/>
      <w:bookmarkEnd w:id="2060"/>
      <w:r>
        <w:rPr>
          <w:rFonts w:ascii="宋体" w:hAnsi="宋体" w:eastAsia="宋体" w:cs="华文仿宋"/>
          <w:b/>
          <w:bCs/>
          <w:color w:val="auto"/>
          <w:sz w:val="24"/>
          <w:szCs w:val="24"/>
        </w:rPr>
        <w:t>2</w:t>
      </w:r>
      <w:r>
        <w:rPr>
          <w:rFonts w:ascii="宋体" w:hAnsi="宋体" w:cs="华文仿宋"/>
          <w:b/>
          <w:bCs/>
          <w:color w:val="auto"/>
          <w:sz w:val="24"/>
          <w:szCs w:val="24"/>
        </w:rPr>
        <w:t>一般要求</w:t>
      </w:r>
      <w:bookmarkEnd w:id="2041"/>
      <w:bookmarkEnd w:id="2042"/>
      <w:bookmarkEnd w:id="2043"/>
      <w:bookmarkEnd w:id="2044"/>
      <w:bookmarkEnd w:id="2045"/>
      <w:bookmarkEnd w:id="2046"/>
      <w:bookmarkEnd w:id="2047"/>
      <w:bookmarkEnd w:id="2048"/>
      <w:bookmarkEnd w:id="2049"/>
      <w:bookmarkEnd w:id="2050"/>
      <w:bookmarkEnd w:id="205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在实施和完成本合同工程及其缺陷修复的整个过程中，承包人应该：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充分关注和保障所有在现场工作的人员的安全，采取有效措施，使现场和本合同工程的实施保持有条不紊，以免使上述人员的安全受到威胁；</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为了保护本合同工程免遭损坏，或为了现场附近和过往群众的安全与方便，在确有必要或当监理人或有关主管部门要求时，应自费提供照明、警卫、护栅、安全网、警告标志等安全防护设施；</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采取一切合理措施保护现场内外的环境，避免由于施工操作引起的粉尘、有害气体、噪音等对环境的污染，或其他原因造成的人身伤害或财产损失；</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采取可靠措施保证原有交通的正常通行和维持沿线居民饮水、生产生活用电及通讯等管线的正常使用。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如果由于承包人未能对其负责的上述事项采取各种必要的措施而导致或发生与此有关的一切责任应由承包人负责。</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061" w:name="_Toc517532070"/>
      <w:bookmarkStart w:id="2062" w:name="_Toc28322"/>
      <w:bookmarkStart w:id="2063" w:name="_Toc24711"/>
      <w:bookmarkStart w:id="2064" w:name="_Toc517530794"/>
      <w:bookmarkStart w:id="2065" w:name="_Toc23375"/>
      <w:bookmarkStart w:id="2066" w:name="_Toc28108"/>
      <w:bookmarkStart w:id="2067" w:name="_Toc29775"/>
      <w:bookmarkStart w:id="2068" w:name="_Toc31643"/>
      <w:bookmarkStart w:id="2069" w:name="_Toc15552"/>
      <w:bookmarkStart w:id="2070" w:name="_Toc20087"/>
      <w:bookmarkStart w:id="2071" w:name="_Toc7118"/>
      <w:bookmarkStart w:id="2072" w:name="_Toc4564"/>
      <w:bookmarkStart w:id="2073" w:name="_Toc11529"/>
      <w:bookmarkStart w:id="2074" w:name="_Toc11770"/>
      <w:bookmarkStart w:id="2075" w:name="_Toc19699"/>
      <w:bookmarkStart w:id="2076" w:name="_Toc6266"/>
      <w:bookmarkStart w:id="2077" w:name="_Toc6944"/>
      <w:bookmarkStart w:id="2078" w:name="_Toc6228"/>
      <w:bookmarkStart w:id="2079" w:name="_Toc24638"/>
      <w:bookmarkStart w:id="2080" w:name="_Toc5273"/>
      <w:r>
        <w:rPr>
          <w:rFonts w:ascii="宋体" w:hAnsi="宋体" w:eastAsia="宋体" w:cs="华文仿宋"/>
          <w:b/>
          <w:bCs/>
          <w:color w:val="auto"/>
          <w:sz w:val="24"/>
          <w:szCs w:val="24"/>
        </w:rPr>
        <w:t>6.1.3</w:t>
      </w:r>
      <w:r>
        <w:rPr>
          <w:rFonts w:ascii="宋体" w:hAnsi="宋体" w:cs="华文仿宋"/>
          <w:b/>
          <w:bCs/>
          <w:color w:val="auto"/>
          <w:sz w:val="24"/>
          <w:szCs w:val="24"/>
        </w:rPr>
        <w:t>施工对邻近房产和群众的干扰</w:t>
      </w:r>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实施和完成本合同工程及缺陷修复工程中的一切施工作业，不得影响邻近建筑物、构筑物的安全与正常使用，应尽量避免干扰群众的通行，同时仍应保证施工作业符合合同要求。如果发生上述情况，并由此导致索赔、赔偿、诉讼费、指控费及其他价款时，应由承包人承担一切责任及费用。但属于发包人或监理人对本工程提供的设计所引起的损失或损害除外。承包人在爆破施工中应采用经监理人批准的施工方案（包括安全措施）以保证当地的一切建筑物、构造物、附近人群等的安全及交通道路的通行方便</w:t>
      </w:r>
      <w:r>
        <w:rPr>
          <w:rFonts w:ascii="宋体" w:hAnsi="宋体" w:eastAsia="宋体" w:cs="华文仿宋"/>
          <w:color w:val="auto"/>
          <w:szCs w:val="21"/>
        </w:rPr>
        <w:t>,</w:t>
      </w:r>
      <w:r>
        <w:rPr>
          <w:rFonts w:ascii="宋体" w:hAnsi="宋体" w:cs="华文仿宋"/>
          <w:color w:val="auto"/>
          <w:szCs w:val="21"/>
        </w:rPr>
        <w:t>且应自行负责同当地的一切协调工作。由此发生的相关费用由承包人承担。</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因降水或基础施工不当等引起邻近建筑物、构筑物、道路、管网等受到损害或构成安全隐患的，由承包人承担全部责任及费用。</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081" w:name="_Toc22201"/>
      <w:bookmarkStart w:id="2082" w:name="_Toc166"/>
      <w:bookmarkStart w:id="2083" w:name="_Toc30047"/>
      <w:bookmarkStart w:id="2084" w:name="_Toc12634"/>
      <w:bookmarkStart w:id="2085" w:name="_Toc19233"/>
      <w:bookmarkStart w:id="2086" w:name="_Toc29448"/>
      <w:bookmarkStart w:id="2087" w:name="_Toc20452"/>
      <w:bookmarkStart w:id="2088" w:name="_Toc517532071"/>
      <w:bookmarkStart w:id="2089" w:name="_Toc13931"/>
      <w:bookmarkStart w:id="2090" w:name="_Toc5036"/>
      <w:bookmarkStart w:id="2091" w:name="_Toc19332"/>
      <w:bookmarkStart w:id="2092" w:name="_Toc21946"/>
      <w:bookmarkStart w:id="2093" w:name="_Toc3186"/>
      <w:bookmarkStart w:id="2094" w:name="_Toc20152"/>
      <w:bookmarkStart w:id="2095" w:name="_Toc32060"/>
      <w:bookmarkStart w:id="2096" w:name="_Toc517530795"/>
      <w:bookmarkStart w:id="2097" w:name="_Toc15078"/>
      <w:bookmarkStart w:id="2098" w:name="_Toc828"/>
      <w:bookmarkStart w:id="2099" w:name="_Toc22363"/>
      <w:bookmarkStart w:id="2100" w:name="_Toc30517"/>
      <w:r>
        <w:rPr>
          <w:rFonts w:ascii="宋体" w:hAnsi="宋体" w:eastAsia="宋体" w:cs="华文仿宋"/>
          <w:b/>
          <w:bCs/>
          <w:color w:val="auto"/>
          <w:sz w:val="24"/>
          <w:szCs w:val="24"/>
        </w:rPr>
        <w:t>6.1.4</w:t>
      </w:r>
      <w:r>
        <w:rPr>
          <w:rFonts w:ascii="宋体" w:hAnsi="宋体" w:cs="华文仿宋"/>
          <w:b/>
          <w:bCs/>
          <w:color w:val="auto"/>
          <w:sz w:val="24"/>
          <w:szCs w:val="24"/>
        </w:rPr>
        <w:t>工作时间的限制</w:t>
      </w:r>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夜间或国家规定的节假日进行永久工程的施工应得到监理人的许可，并应遵守当地政府的有关规定或取得有关部门的批准，但是为了抢救生命或保护财产，或为了工程的安全、质量而不可避免的或绝对必要的作业，则不必事先经监理人的许可。在这种情况下，承包人应在事后立即向监理人书面报告。</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101" w:name="_Toc5333"/>
      <w:bookmarkStart w:id="2102" w:name="_Toc12783"/>
      <w:bookmarkStart w:id="2103" w:name="_Toc14597"/>
      <w:bookmarkStart w:id="2104" w:name="_Toc517530796"/>
      <w:bookmarkStart w:id="2105" w:name="_Toc15065"/>
      <w:bookmarkStart w:id="2106" w:name="_Toc17002"/>
      <w:bookmarkStart w:id="2107" w:name="_Toc31480"/>
      <w:bookmarkStart w:id="2108" w:name="_Toc22907"/>
      <w:bookmarkStart w:id="2109" w:name="_Toc16192"/>
      <w:bookmarkStart w:id="2110" w:name="_Toc21114"/>
      <w:bookmarkStart w:id="2111" w:name="_Toc9981"/>
      <w:bookmarkStart w:id="2112" w:name="_Toc5823"/>
      <w:bookmarkStart w:id="2113" w:name="_Toc517532072"/>
      <w:bookmarkStart w:id="2114" w:name="_Toc3355"/>
      <w:bookmarkStart w:id="2115" w:name="_Toc7226"/>
      <w:bookmarkStart w:id="2116" w:name="_Toc26223"/>
      <w:bookmarkStart w:id="2117" w:name="_Toc151"/>
      <w:bookmarkStart w:id="2118" w:name="_Toc3678"/>
      <w:bookmarkStart w:id="2119" w:name="_Toc29867"/>
      <w:bookmarkStart w:id="2120" w:name="_Toc29345"/>
      <w:r>
        <w:rPr>
          <w:rFonts w:ascii="宋体" w:hAnsi="宋体" w:eastAsia="宋体" w:cs="华文仿宋"/>
          <w:b/>
          <w:bCs/>
          <w:color w:val="auto"/>
          <w:sz w:val="24"/>
          <w:szCs w:val="24"/>
        </w:rPr>
        <w:t>6.1.5</w:t>
      </w:r>
      <w:r>
        <w:rPr>
          <w:rFonts w:ascii="宋体" w:hAnsi="宋体" w:cs="华文仿宋"/>
          <w:b/>
          <w:bCs/>
          <w:color w:val="auto"/>
          <w:sz w:val="24"/>
          <w:szCs w:val="24"/>
        </w:rPr>
        <w:t>爆破器材的运输和保管</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爆破器材（炸药、雷管、引火线等）由承包人自行采购、运输和保管，其运输和保管必须符合当地公安部门的有关规定，并接受当地公安部门定期或不定期的安全检查，必要时发包人应予协助。</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121" w:name="_Toc12260"/>
      <w:bookmarkStart w:id="2122" w:name="_Toc9121"/>
      <w:bookmarkStart w:id="2123" w:name="_Toc11953"/>
      <w:bookmarkStart w:id="2124" w:name="_Toc26160"/>
      <w:bookmarkStart w:id="2125" w:name="_Toc517532073"/>
      <w:bookmarkStart w:id="2126" w:name="_Toc110"/>
      <w:bookmarkStart w:id="2127" w:name="_Toc517530797"/>
      <w:bookmarkStart w:id="2128" w:name="_Toc19410"/>
      <w:bookmarkStart w:id="2129" w:name="_Toc9124"/>
      <w:bookmarkStart w:id="2130" w:name="_Toc31551"/>
      <w:bookmarkStart w:id="2131" w:name="_Toc6778"/>
      <w:bookmarkStart w:id="2132" w:name="_Toc17047"/>
      <w:bookmarkStart w:id="2133" w:name="_Toc5266"/>
      <w:bookmarkStart w:id="2134" w:name="_Toc28370"/>
      <w:bookmarkStart w:id="2135" w:name="_Toc28761"/>
      <w:bookmarkStart w:id="2136" w:name="_Toc21473"/>
      <w:bookmarkStart w:id="2137" w:name="_Toc10175"/>
      <w:bookmarkStart w:id="2138" w:name="_Toc7373"/>
      <w:bookmarkStart w:id="2139" w:name="_Toc5533"/>
      <w:bookmarkStart w:id="2140" w:name="_Toc2237"/>
      <w:r>
        <w:rPr>
          <w:rFonts w:ascii="宋体" w:hAnsi="宋体" w:eastAsia="宋体" w:cs="华文仿宋"/>
          <w:b/>
          <w:bCs/>
          <w:color w:val="auto"/>
          <w:sz w:val="24"/>
          <w:szCs w:val="24"/>
        </w:rPr>
        <w:t>6.1.6</w:t>
      </w:r>
      <w:r>
        <w:rPr>
          <w:rFonts w:ascii="宋体" w:hAnsi="宋体" w:cs="华文仿宋"/>
          <w:b/>
          <w:bCs/>
          <w:color w:val="auto"/>
          <w:sz w:val="24"/>
          <w:szCs w:val="24"/>
        </w:rPr>
        <w:t>承包人保持现场整洁</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在施工期间，承包人应随时保持现场整洁，施工装备和材料、设备应妥善存放和贮存，废料、垃圾和不再需要的临时设施应从现场清除、拆除并运走。</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141" w:name="_Toc14655"/>
      <w:bookmarkStart w:id="2142" w:name="_Toc30933"/>
      <w:bookmarkStart w:id="2143" w:name="_Toc12932"/>
      <w:bookmarkStart w:id="2144" w:name="_Toc568"/>
      <w:bookmarkStart w:id="2145" w:name="_Toc13611"/>
      <w:bookmarkStart w:id="2146" w:name="_Toc3214"/>
      <w:bookmarkStart w:id="2147" w:name="_Toc32706"/>
      <w:bookmarkStart w:id="2148" w:name="_Toc9204"/>
      <w:bookmarkStart w:id="2149" w:name="_Toc5783"/>
      <w:bookmarkStart w:id="2150" w:name="_Toc10929"/>
      <w:bookmarkStart w:id="2151" w:name="_Toc15918"/>
      <w:bookmarkStart w:id="2152" w:name="_Toc517530798"/>
      <w:bookmarkStart w:id="2153" w:name="_Toc6068"/>
      <w:bookmarkStart w:id="2154" w:name="_Toc18930"/>
      <w:bookmarkStart w:id="2155" w:name="_Toc21176"/>
      <w:bookmarkStart w:id="2156" w:name="_Toc28307"/>
      <w:bookmarkStart w:id="2157" w:name="_Toc517532074"/>
      <w:bookmarkStart w:id="2158" w:name="_Toc26723"/>
      <w:bookmarkStart w:id="2159" w:name="_Toc26520"/>
      <w:bookmarkStart w:id="2160" w:name="_Toc13441"/>
      <w:r>
        <w:rPr>
          <w:rFonts w:ascii="宋体" w:hAnsi="宋体" w:eastAsia="宋体" w:cs="华文仿宋"/>
          <w:b/>
          <w:bCs/>
          <w:color w:val="auto"/>
          <w:sz w:val="24"/>
          <w:szCs w:val="24"/>
        </w:rPr>
        <w:t>6.1.7</w:t>
      </w:r>
      <w:r>
        <w:rPr>
          <w:rFonts w:ascii="宋体" w:hAnsi="宋体" w:cs="华文仿宋"/>
          <w:b/>
          <w:bCs/>
          <w:color w:val="auto"/>
          <w:sz w:val="24"/>
          <w:szCs w:val="24"/>
        </w:rPr>
        <w:t>竣工时的现场清理</w:t>
      </w:r>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在签发交接证书时，承包人应从与交接证书相关的现场清除并运出承包人装备、剩余材料、垃圾和各种临时设施，并保持整个现场及工程整洁，达到符合合同要求的使用状态。</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按照前款的规定，如果承包人未在发包人或监理人指定的合理时间内所有的承包人装备、剩余材料、垃圾及各种临时设施运走，则发包人可以：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委托他人将承包人装备、剩余材料及承包人的其他财产觅地存放；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委托他人清除并运走垃圾、废料。</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因上述工作而发生的费用应由承包人承担，发包人可从应付承包人的款项内扣除，若不足时，发包人可出售承包人的财产用以抵补，或由发包人依照法律从承包人处收回。</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161" w:name="_Toc20387"/>
      <w:bookmarkStart w:id="2162" w:name="_Toc15132"/>
      <w:bookmarkStart w:id="2163" w:name="_Toc32753"/>
      <w:bookmarkStart w:id="2164" w:name="_Toc29776"/>
      <w:bookmarkStart w:id="2165" w:name="_Toc10094"/>
      <w:bookmarkStart w:id="2166" w:name="_Toc23471"/>
      <w:bookmarkStart w:id="2167" w:name="_Toc22009"/>
      <w:bookmarkStart w:id="2168" w:name="_Toc24139"/>
      <w:bookmarkStart w:id="2169" w:name="_Toc465237202"/>
      <w:bookmarkStart w:id="2170" w:name="_Toc4992"/>
      <w:bookmarkStart w:id="2171" w:name="_Toc1875"/>
      <w:bookmarkStart w:id="2172" w:name="_Toc4225"/>
      <w:bookmarkStart w:id="2173" w:name="_Toc16478"/>
      <w:bookmarkStart w:id="2174" w:name="_Toc24340"/>
      <w:bookmarkStart w:id="2175" w:name="_Toc517532075"/>
      <w:bookmarkStart w:id="2176" w:name="_Toc517530799"/>
      <w:bookmarkStart w:id="2177" w:name="_Toc14277"/>
      <w:bookmarkStart w:id="2178" w:name="_Toc18418"/>
      <w:bookmarkStart w:id="2179" w:name="_Toc30336"/>
      <w:bookmarkStart w:id="2180" w:name="_Toc8543"/>
      <w:bookmarkStart w:id="2181" w:name="_Toc465237104"/>
      <w:bookmarkStart w:id="2182" w:name="_Toc8436"/>
      <w:r>
        <w:rPr>
          <w:rFonts w:ascii="宋体" w:hAnsi="宋体" w:eastAsia="宋体" w:cs="华文仿宋"/>
          <w:b/>
          <w:bCs/>
          <w:color w:val="auto"/>
          <w:sz w:val="24"/>
          <w:szCs w:val="24"/>
        </w:rPr>
        <w:t>6.1.8</w:t>
      </w:r>
      <w:r>
        <w:rPr>
          <w:rFonts w:ascii="宋体" w:hAnsi="宋体" w:cs="华文仿宋"/>
          <w:b/>
          <w:bCs/>
          <w:color w:val="auto"/>
          <w:sz w:val="24"/>
          <w:szCs w:val="24"/>
        </w:rPr>
        <w:t>安全事故报告</w:t>
      </w:r>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如果现场发生重大伤亡及其他安全事故，承包人应按规定立即上报政府有关部门并通知监理人，同时按有关部门的要求处理。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183" w:name="_Toc17358"/>
      <w:bookmarkStart w:id="2184" w:name="_Toc517528680"/>
      <w:bookmarkStart w:id="2185" w:name="_Toc16824"/>
      <w:bookmarkStart w:id="2186" w:name="_Toc25152"/>
      <w:bookmarkStart w:id="2187" w:name="_Toc465237105"/>
      <w:bookmarkStart w:id="2188" w:name="_Toc8890"/>
      <w:bookmarkStart w:id="2189" w:name="_Toc16430"/>
      <w:bookmarkStart w:id="2190" w:name="_Toc800"/>
      <w:bookmarkStart w:id="2191" w:name="_Toc5698"/>
      <w:bookmarkStart w:id="2192" w:name="_Toc1433"/>
      <w:bookmarkStart w:id="2193" w:name="_Toc26354"/>
      <w:bookmarkStart w:id="2194" w:name="_Toc22161"/>
      <w:bookmarkStart w:id="2195" w:name="_Toc517530800"/>
      <w:bookmarkStart w:id="2196" w:name="_Toc21567"/>
      <w:bookmarkStart w:id="2197" w:name="_Toc465237203"/>
      <w:bookmarkStart w:id="2198" w:name="_Toc517532076"/>
      <w:bookmarkStart w:id="2199" w:name="_Toc7498"/>
      <w:bookmarkStart w:id="2200" w:name="_Toc598"/>
      <w:bookmarkStart w:id="2201" w:name="_Toc16634"/>
      <w:bookmarkStart w:id="2202" w:name="_Toc17666"/>
      <w:bookmarkStart w:id="2203" w:name="_Toc28220"/>
      <w:bookmarkStart w:id="2204" w:name="_Toc19988"/>
      <w:bookmarkStart w:id="2205" w:name="_Toc8329"/>
      <w:r>
        <w:rPr>
          <w:rFonts w:ascii="宋体" w:hAnsi="宋体" w:eastAsia="宋体" w:cs="华文仿宋"/>
          <w:b/>
          <w:bCs/>
          <w:color w:val="auto"/>
          <w:sz w:val="28"/>
          <w:szCs w:val="28"/>
        </w:rPr>
        <w:t>6.2</w:t>
      </w:r>
      <w:r>
        <w:rPr>
          <w:rFonts w:ascii="宋体" w:hAnsi="宋体" w:cs="华文仿宋"/>
          <w:b/>
          <w:bCs/>
          <w:color w:val="auto"/>
          <w:sz w:val="28"/>
          <w:szCs w:val="28"/>
        </w:rPr>
        <w:t>人身和财产损害</w:t>
      </w:r>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206" w:name="_Toc29333"/>
      <w:bookmarkStart w:id="2207" w:name="_Toc31655"/>
      <w:bookmarkStart w:id="2208" w:name="_Toc5819"/>
      <w:bookmarkStart w:id="2209" w:name="_Toc2734"/>
      <w:bookmarkStart w:id="2210" w:name="_Toc10787"/>
      <w:bookmarkStart w:id="2211" w:name="_Toc30955"/>
      <w:bookmarkStart w:id="2212" w:name="_Toc17954"/>
      <w:bookmarkStart w:id="2213" w:name="_Toc31033"/>
      <w:bookmarkStart w:id="2214" w:name="_Toc18213"/>
      <w:bookmarkStart w:id="2215" w:name="_Toc20144"/>
      <w:bookmarkStart w:id="2216" w:name="_Toc24286"/>
      <w:bookmarkStart w:id="2217" w:name="_Toc3493"/>
      <w:bookmarkStart w:id="2218" w:name="_Toc517532077"/>
      <w:bookmarkStart w:id="2219" w:name="_Toc548"/>
      <w:bookmarkStart w:id="2220" w:name="_Toc27510"/>
      <w:bookmarkStart w:id="2221" w:name="_Toc517530801"/>
      <w:bookmarkStart w:id="2222" w:name="_Toc28684"/>
      <w:bookmarkStart w:id="2223" w:name="_Toc6627"/>
      <w:bookmarkStart w:id="2224" w:name="_Toc27559"/>
      <w:bookmarkStart w:id="2225" w:name="_Toc27293"/>
      <w:r>
        <w:rPr>
          <w:rFonts w:ascii="宋体" w:hAnsi="宋体" w:eastAsia="宋体" w:cs="华文仿宋"/>
          <w:b/>
          <w:bCs/>
          <w:color w:val="auto"/>
          <w:sz w:val="24"/>
          <w:szCs w:val="24"/>
        </w:rPr>
        <w:t>6.2.1</w:t>
      </w:r>
      <w:r>
        <w:rPr>
          <w:rFonts w:ascii="宋体" w:hAnsi="宋体" w:cs="华文仿宋"/>
          <w:b/>
          <w:bCs/>
          <w:color w:val="auto"/>
          <w:sz w:val="24"/>
          <w:szCs w:val="24"/>
        </w:rPr>
        <w:t>人身和财产的损害</w:t>
      </w:r>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除合同另有规定外，承包人实施和完成本合同工程和缺陷修复过程中，应保障发包人免于承担由于下列原因发生或引起的损失和索赔：</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任何人身死亡或伤残；</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任何财产（不含本工程）的损失或损害。</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承包人并应保障发包人免于承担与此有关的一切赔偿或费用，包括但不限于损害赔偿金、违约金、诉讼费、仲裁费、律师费等，但第</w:t>
      </w:r>
      <w:r>
        <w:rPr>
          <w:rFonts w:ascii="宋体" w:hAnsi="宋体" w:eastAsia="宋体" w:cs="华文仿宋"/>
          <w:color w:val="auto"/>
          <w:szCs w:val="21"/>
        </w:rPr>
        <w:t>6.2.2</w:t>
      </w:r>
      <w:r>
        <w:rPr>
          <w:rFonts w:ascii="宋体" w:hAnsi="宋体" w:cs="华文仿宋"/>
          <w:color w:val="auto"/>
          <w:szCs w:val="21"/>
        </w:rPr>
        <w:t>条定义的例外事项除外。</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226" w:name="_Toc1525"/>
      <w:bookmarkStart w:id="2227" w:name="_Toc23243"/>
      <w:bookmarkStart w:id="2228" w:name="_Toc23707"/>
      <w:bookmarkStart w:id="2229" w:name="_Toc517530802"/>
      <w:bookmarkStart w:id="2230" w:name="_Toc5159"/>
      <w:bookmarkStart w:id="2231" w:name="_Toc4609"/>
      <w:bookmarkStart w:id="2232" w:name="_Toc21744"/>
      <w:bookmarkStart w:id="2233" w:name="_Toc15524"/>
      <w:bookmarkStart w:id="2234" w:name="_Toc7033"/>
      <w:bookmarkStart w:id="2235" w:name="_Toc31123"/>
      <w:bookmarkStart w:id="2236" w:name="_Toc16551"/>
      <w:bookmarkStart w:id="2237" w:name="_Toc19645"/>
      <w:bookmarkStart w:id="2238" w:name="_Toc28214"/>
      <w:bookmarkStart w:id="2239" w:name="_Toc6604"/>
      <w:bookmarkStart w:id="2240" w:name="_Toc517532078"/>
      <w:bookmarkStart w:id="2241" w:name="_Toc17997"/>
      <w:bookmarkStart w:id="2242" w:name="_Toc30481"/>
      <w:bookmarkStart w:id="2243" w:name="_Toc16412"/>
      <w:bookmarkStart w:id="2244" w:name="_Toc3978"/>
      <w:bookmarkStart w:id="2245" w:name="_Toc5325"/>
      <w:r>
        <w:rPr>
          <w:rFonts w:ascii="宋体" w:hAnsi="宋体" w:eastAsia="宋体" w:cs="华文仿宋"/>
          <w:b/>
          <w:bCs/>
          <w:color w:val="auto"/>
          <w:sz w:val="24"/>
          <w:szCs w:val="24"/>
        </w:rPr>
        <w:t>6.2.2</w:t>
      </w:r>
      <w:r>
        <w:rPr>
          <w:rFonts w:ascii="宋体" w:hAnsi="宋体" w:cs="华文仿宋"/>
          <w:b/>
          <w:bCs/>
          <w:color w:val="auto"/>
          <w:sz w:val="24"/>
          <w:szCs w:val="24"/>
        </w:rPr>
        <w:t>例外事项</w:t>
      </w:r>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在第</w:t>
      </w:r>
      <w:r>
        <w:rPr>
          <w:rFonts w:ascii="宋体" w:hAnsi="宋体" w:eastAsia="宋体" w:cs="华文仿宋"/>
          <w:color w:val="auto"/>
          <w:szCs w:val="21"/>
        </w:rPr>
        <w:t>6.2.1</w:t>
      </w:r>
      <w:r>
        <w:rPr>
          <w:rFonts w:ascii="宋体" w:hAnsi="宋体" w:cs="华文仿宋"/>
          <w:color w:val="auto"/>
          <w:szCs w:val="21"/>
        </w:rPr>
        <w:t>条中所指的“例外事项”是：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本合同工程或其任何部分对土地的永久使用或占用；</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发包人在任何土地之上、之下、之内或穿过其间实施本合同工程或其任何部分的权利；</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按照合同规定，实施和完成工程或修复工程中任何缺陷所导致的、无法避免的对财产的损害；</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由发包人或其他承包人而不是承包人的职工的行为或疏忽所造成的人身伤亡或财产的损失，或与此有关的任何赔偿或费用，包括但不限于损害赔偿金、违约金、诉讼费、仲裁费、律师费等；</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保障承包人免于承担前款例外事项中所规定的有关赔偿或费用，包括但不限于损害赔偿金、违约金、诉讼费、仲裁费、律师费等。但当承包人或其职工也对伤害或损坏负有部分责任时，应公正合理地按发包人或其他承包人对上述伤害或损坏应负的责任程度而确定其偿付损害费用的相应部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246" w:name="_Toc25323"/>
      <w:bookmarkStart w:id="2247" w:name="_Toc10606"/>
      <w:bookmarkStart w:id="2248" w:name="_Toc1676"/>
      <w:bookmarkStart w:id="2249" w:name="_Toc16587"/>
      <w:bookmarkStart w:id="2250" w:name="_Toc32126"/>
      <w:bookmarkStart w:id="2251" w:name="_Toc28860"/>
      <w:bookmarkStart w:id="2252" w:name="_Toc17612"/>
      <w:bookmarkStart w:id="2253" w:name="_Toc517530803"/>
      <w:bookmarkStart w:id="2254" w:name="_Toc3107"/>
      <w:bookmarkStart w:id="2255" w:name="_Toc577"/>
      <w:bookmarkStart w:id="2256" w:name="_Toc25320"/>
      <w:bookmarkStart w:id="2257" w:name="_Toc27779"/>
      <w:bookmarkStart w:id="2258" w:name="_Toc18643"/>
      <w:bookmarkStart w:id="2259" w:name="_Toc871"/>
      <w:bookmarkStart w:id="2260" w:name="_Toc517532079"/>
      <w:bookmarkStart w:id="2261" w:name="_Toc15301"/>
      <w:bookmarkStart w:id="2262" w:name="_Toc24984"/>
      <w:bookmarkStart w:id="2263" w:name="_Toc30228"/>
      <w:bookmarkStart w:id="2264" w:name="_Toc22154"/>
      <w:bookmarkStart w:id="2265" w:name="_Toc22579"/>
      <w:r>
        <w:rPr>
          <w:rFonts w:ascii="宋体" w:hAnsi="宋体" w:eastAsia="宋体" w:cs="华文仿宋"/>
          <w:b/>
          <w:bCs/>
          <w:color w:val="auto"/>
          <w:sz w:val="24"/>
          <w:szCs w:val="24"/>
        </w:rPr>
        <w:t>6.2.3</w:t>
      </w:r>
      <w:r>
        <w:rPr>
          <w:rFonts w:ascii="宋体" w:hAnsi="宋体" w:cs="华文仿宋"/>
          <w:b/>
          <w:bCs/>
          <w:color w:val="auto"/>
          <w:sz w:val="24"/>
          <w:szCs w:val="24"/>
        </w:rPr>
        <w:t>职工的事故或伤亡</w:t>
      </w:r>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对承包人或任何分包人派遣或雇用的工人或其他人员的任何伤害或支付补偿不负责任，除非死亡或伤残是由于发包人或其职工的行为所造成的。承包人应保障发包人不承担除本文上述应由发包人负责以外的一切伤害赔偿和补偿以及与此有关的一切赔偿或费用，包括但不限于损害赔偿金、违约金、诉讼费、仲裁费、律师费等。</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对于因工作或在受雇用期间死亡或受伤的工人，承包人须根据其雇用合同及发生意外的地点，按相关法律、法规的规定给予补偿。</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266" w:name="_Toc517528681"/>
      <w:bookmarkStart w:id="2267" w:name="_Toc25525"/>
      <w:bookmarkStart w:id="2268" w:name="_Toc6514"/>
      <w:bookmarkStart w:id="2269" w:name="_Toc21779"/>
      <w:bookmarkStart w:id="2270" w:name="_Toc13216"/>
      <w:bookmarkStart w:id="2271" w:name="_Toc10642"/>
      <w:bookmarkStart w:id="2272" w:name="_Toc576"/>
      <w:bookmarkStart w:id="2273" w:name="_Toc23629"/>
      <w:bookmarkStart w:id="2274" w:name="_Toc7249"/>
      <w:bookmarkStart w:id="2275" w:name="_Toc517532080"/>
      <w:bookmarkStart w:id="2276" w:name="_Toc22957"/>
      <w:bookmarkStart w:id="2277" w:name="_Toc7220"/>
      <w:bookmarkStart w:id="2278" w:name="_Toc20405"/>
      <w:bookmarkStart w:id="2279" w:name="_Toc465237106"/>
      <w:bookmarkStart w:id="2280" w:name="_Toc18455"/>
      <w:bookmarkStart w:id="2281" w:name="_Toc19174"/>
      <w:bookmarkStart w:id="2282" w:name="_Toc9795"/>
      <w:bookmarkStart w:id="2283" w:name="_Toc29854"/>
      <w:bookmarkStart w:id="2284" w:name="_Toc465237204"/>
      <w:bookmarkStart w:id="2285" w:name="_Toc1588"/>
      <w:bookmarkStart w:id="2286" w:name="_Toc11346"/>
      <w:bookmarkStart w:id="2287" w:name="_Toc517530804"/>
      <w:bookmarkStart w:id="2288" w:name="_Toc16633"/>
      <w:r>
        <w:rPr>
          <w:rFonts w:ascii="宋体" w:hAnsi="宋体" w:eastAsia="宋体" w:cs="华文仿宋"/>
          <w:b/>
          <w:bCs/>
          <w:color w:val="auto"/>
          <w:sz w:val="28"/>
          <w:szCs w:val="28"/>
        </w:rPr>
        <w:t>6.3</w:t>
      </w:r>
      <w:r>
        <w:rPr>
          <w:rFonts w:ascii="宋体" w:hAnsi="宋体" w:cs="华文仿宋"/>
          <w:b/>
          <w:bCs/>
          <w:color w:val="auto"/>
          <w:sz w:val="28"/>
          <w:szCs w:val="28"/>
        </w:rPr>
        <w:t>环境保护</w:t>
      </w:r>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289" w:name="_Toc17258"/>
      <w:bookmarkStart w:id="2290" w:name="_Toc19334"/>
      <w:bookmarkStart w:id="2291" w:name="_Toc1387"/>
      <w:bookmarkStart w:id="2292" w:name="_Toc19883"/>
      <w:bookmarkStart w:id="2293" w:name="_Toc9362"/>
      <w:bookmarkStart w:id="2294" w:name="_Toc16358"/>
      <w:bookmarkStart w:id="2295" w:name="_Toc13528"/>
      <w:bookmarkStart w:id="2296" w:name="_Toc28788"/>
      <w:bookmarkStart w:id="2297" w:name="_Toc30365"/>
      <w:bookmarkStart w:id="2298" w:name="_Toc7753"/>
      <w:bookmarkStart w:id="2299" w:name="_Toc20188"/>
      <w:bookmarkStart w:id="2300" w:name="_Toc32266"/>
      <w:bookmarkStart w:id="2301" w:name="_Toc517530805"/>
      <w:bookmarkStart w:id="2302" w:name="_Toc18977"/>
      <w:bookmarkStart w:id="2303" w:name="_Toc31455"/>
      <w:bookmarkStart w:id="2304" w:name="_Toc31839"/>
      <w:bookmarkStart w:id="2305" w:name="_Toc16854"/>
      <w:bookmarkStart w:id="2306" w:name="_Toc517532081"/>
      <w:bookmarkStart w:id="2307" w:name="_Toc13621"/>
      <w:bookmarkStart w:id="2308" w:name="_Toc17235"/>
      <w:r>
        <w:rPr>
          <w:rFonts w:ascii="宋体" w:hAnsi="宋体" w:eastAsia="宋体" w:cs="华文仿宋"/>
          <w:b/>
          <w:bCs/>
          <w:color w:val="auto"/>
          <w:sz w:val="24"/>
          <w:szCs w:val="24"/>
        </w:rPr>
        <w:t>6.3.1</w:t>
      </w:r>
      <w:r>
        <w:rPr>
          <w:rFonts w:ascii="宋体" w:hAnsi="宋体" w:cs="华文仿宋"/>
          <w:b/>
          <w:bCs/>
          <w:color w:val="auto"/>
          <w:sz w:val="24"/>
          <w:szCs w:val="24"/>
        </w:rPr>
        <w:t>扬尘污染防治</w:t>
      </w: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根据深圳市有关扬尘污染防治的管理办法，承包人对建设项目的扬尘污染负有防治责任，施工前，承包人应当制定具体的施工扬尘污染防治实施方案。</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309" w:name="_Toc517530806"/>
      <w:bookmarkStart w:id="2310" w:name="_Toc8525"/>
      <w:bookmarkStart w:id="2311" w:name="_Toc20733"/>
      <w:bookmarkStart w:id="2312" w:name="_Toc6589"/>
      <w:bookmarkStart w:id="2313" w:name="_Toc23905"/>
      <w:bookmarkStart w:id="2314" w:name="_Toc30470"/>
      <w:bookmarkStart w:id="2315" w:name="_Toc517532082"/>
      <w:bookmarkStart w:id="2316" w:name="_Toc13718"/>
      <w:bookmarkStart w:id="2317" w:name="_Toc16809"/>
      <w:bookmarkStart w:id="2318" w:name="_Toc31001"/>
      <w:bookmarkStart w:id="2319" w:name="_Toc31259"/>
      <w:bookmarkStart w:id="2320" w:name="_Toc19508"/>
      <w:bookmarkStart w:id="2321" w:name="_Toc4393"/>
      <w:bookmarkStart w:id="2322" w:name="_Toc2111"/>
      <w:bookmarkStart w:id="2323" w:name="_Toc25184"/>
      <w:bookmarkStart w:id="2324" w:name="_Toc15648"/>
      <w:bookmarkStart w:id="2325" w:name="_Toc9861"/>
      <w:bookmarkStart w:id="2326" w:name="_Toc25321"/>
      <w:bookmarkStart w:id="2327" w:name="_Toc26211"/>
      <w:r>
        <w:rPr>
          <w:rFonts w:ascii="宋体" w:hAnsi="宋体" w:eastAsia="宋体" w:cs="华文仿宋"/>
          <w:b/>
          <w:bCs/>
          <w:color w:val="auto"/>
          <w:sz w:val="24"/>
          <w:szCs w:val="24"/>
        </w:rPr>
        <w:t>6.3.2</w:t>
      </w:r>
      <w:r>
        <w:rPr>
          <w:rFonts w:ascii="宋体" w:hAnsi="宋体" w:cs="华文仿宋"/>
          <w:b/>
          <w:bCs/>
          <w:color w:val="auto"/>
          <w:sz w:val="24"/>
          <w:szCs w:val="24"/>
        </w:rPr>
        <w:t>责任承担</w:t>
      </w:r>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spacing w:line="360" w:lineRule="auto"/>
        <w:ind w:firstLine="420"/>
        <w:jc w:val="left"/>
        <w:rPr>
          <w:rFonts w:ascii="宋体" w:hAnsi="宋体" w:eastAsia="宋体" w:cs="华文仿宋"/>
          <w:color w:val="auto"/>
          <w:kern w:val="0"/>
          <w:szCs w:val="21"/>
        </w:rPr>
      </w:pPr>
      <w:r>
        <w:rPr>
          <w:rFonts w:ascii="宋体" w:hAnsi="宋体" w:cs="华文仿宋"/>
          <w:color w:val="auto"/>
          <w:kern w:val="0"/>
          <w:szCs w:val="21"/>
        </w:rPr>
        <w:t>承包人应当承担因其原因引起的环境污染侵权损害赔偿责任，因上述环境污染引起纠纷而导致暂停施工的，由此增加的费用和（或）延误的工期由承包人承担。</w:t>
      </w:r>
      <w:bookmarkStart w:id="2328" w:name="_Toc337558763"/>
      <w:bookmarkEnd w:id="2328"/>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2329" w:name="_Toc351203542"/>
      <w:bookmarkStart w:id="2330" w:name="_Toc28997"/>
      <w:bookmarkStart w:id="2331" w:name="_Toc517528682"/>
      <w:bookmarkStart w:id="2332" w:name="_Toc465237206"/>
      <w:bookmarkStart w:id="2333" w:name="_Toc465237108"/>
      <w:bookmarkStart w:id="2334" w:name="_Toc23865"/>
      <w:bookmarkStart w:id="2335" w:name="_Toc3447"/>
      <w:bookmarkStart w:id="2336" w:name="_Toc517529740"/>
      <w:bookmarkStart w:id="2337" w:name="_Toc517530807"/>
      <w:bookmarkStart w:id="2338" w:name="_Toc8489"/>
      <w:bookmarkStart w:id="2339" w:name="_Toc30278"/>
      <w:bookmarkStart w:id="2340" w:name="_Toc17953"/>
      <w:bookmarkStart w:id="2341" w:name="_Toc18934"/>
      <w:bookmarkStart w:id="2342" w:name="_Toc19289"/>
      <w:bookmarkStart w:id="2343" w:name="_Toc19398"/>
      <w:bookmarkStart w:id="2344" w:name="_Toc30307"/>
      <w:bookmarkStart w:id="2345" w:name="_Toc16959"/>
      <w:bookmarkStart w:id="2346" w:name="_Toc6387"/>
      <w:bookmarkStart w:id="2347" w:name="_Toc20841"/>
      <w:bookmarkStart w:id="2348" w:name="_Toc10049"/>
      <w:bookmarkStart w:id="2349" w:name="_Toc6347"/>
      <w:bookmarkStart w:id="2350" w:name="_Toc517532083"/>
      <w:bookmarkStart w:id="2351" w:name="_Toc13132"/>
      <w:bookmarkStart w:id="2352" w:name="_Toc18781"/>
      <w:bookmarkStart w:id="2353" w:name="_Toc29433"/>
      <w:r>
        <w:rPr>
          <w:rFonts w:ascii="宋体" w:hAnsi="宋体" w:eastAsia="宋体" w:cs="华文仿宋"/>
          <w:b/>
          <w:bCs/>
          <w:color w:val="auto"/>
          <w:sz w:val="30"/>
          <w:szCs w:val="30"/>
        </w:rPr>
        <w:t>7.</w:t>
      </w:r>
      <w:bookmarkEnd w:id="2329"/>
      <w:r>
        <w:rPr>
          <w:rFonts w:ascii="宋体" w:hAnsi="宋体" w:eastAsia="宋体" w:cs="华文仿宋"/>
          <w:b/>
          <w:bCs/>
          <w:color w:val="auto"/>
          <w:sz w:val="30"/>
          <w:szCs w:val="30"/>
        </w:rPr>
        <w:t xml:space="preserve"> </w:t>
      </w:r>
      <w:r>
        <w:rPr>
          <w:rFonts w:ascii="宋体" w:hAnsi="宋体" w:cs="华文仿宋"/>
          <w:b/>
          <w:bCs/>
          <w:color w:val="auto"/>
          <w:sz w:val="30"/>
          <w:szCs w:val="30"/>
        </w:rPr>
        <w:t>工期和进度</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Start w:id="2354" w:name="_Toc337558767"/>
      <w:bookmarkEnd w:id="2354"/>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355" w:name="_Toc19927"/>
      <w:bookmarkStart w:id="2356" w:name="_Toc279"/>
      <w:bookmarkStart w:id="2357" w:name="_Toc517530808"/>
      <w:bookmarkStart w:id="2358" w:name="_Toc20434"/>
      <w:bookmarkStart w:id="2359" w:name="_Toc17982"/>
      <w:bookmarkStart w:id="2360" w:name="_Toc27122"/>
      <w:bookmarkStart w:id="2361" w:name="_Toc517528683"/>
      <w:bookmarkStart w:id="2362" w:name="_Toc16300"/>
      <w:bookmarkStart w:id="2363" w:name="_Toc7744"/>
      <w:bookmarkStart w:id="2364" w:name="_Toc5768"/>
      <w:bookmarkStart w:id="2365" w:name="_Toc16736"/>
      <w:bookmarkStart w:id="2366" w:name="_Toc8446"/>
      <w:bookmarkStart w:id="2367" w:name="_Toc7320"/>
      <w:bookmarkStart w:id="2368" w:name="_Toc465237109"/>
      <w:bookmarkStart w:id="2369" w:name="_Toc27246"/>
      <w:bookmarkStart w:id="2370" w:name="_Toc25470"/>
      <w:bookmarkStart w:id="2371" w:name="_Toc24050"/>
      <w:bookmarkStart w:id="2372" w:name="_Toc517532084"/>
      <w:bookmarkStart w:id="2373" w:name="_Toc24425"/>
      <w:bookmarkStart w:id="2374" w:name="_Toc24743"/>
      <w:bookmarkStart w:id="2375" w:name="_Toc17868"/>
      <w:bookmarkStart w:id="2376" w:name="_Toc465237207"/>
      <w:bookmarkStart w:id="2377" w:name="_Toc837"/>
      <w:r>
        <w:rPr>
          <w:rFonts w:ascii="宋体" w:hAnsi="宋体" w:eastAsia="宋体" w:cs="华文仿宋"/>
          <w:b/>
          <w:bCs/>
          <w:color w:val="auto"/>
          <w:sz w:val="28"/>
          <w:szCs w:val="28"/>
        </w:rPr>
        <w:t xml:space="preserve">7.1 </w:t>
      </w:r>
      <w:r>
        <w:rPr>
          <w:rFonts w:ascii="宋体" w:hAnsi="宋体" w:cs="华文仿宋"/>
          <w:b/>
          <w:bCs/>
          <w:color w:val="auto"/>
          <w:sz w:val="28"/>
          <w:szCs w:val="28"/>
        </w:rPr>
        <w:t>施工进度计划</w:t>
      </w:r>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Start w:id="2378" w:name="_Toc337558769"/>
      <w:bookmarkEnd w:id="2378"/>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379" w:name="_Toc10205"/>
      <w:bookmarkStart w:id="2380" w:name="_Toc13008"/>
      <w:bookmarkStart w:id="2381" w:name="_Toc22551"/>
      <w:bookmarkStart w:id="2382" w:name="_Toc5011"/>
      <w:bookmarkStart w:id="2383" w:name="_Toc3151"/>
      <w:bookmarkStart w:id="2384" w:name="_Toc10297"/>
      <w:bookmarkStart w:id="2385" w:name="_Toc26372"/>
      <w:bookmarkStart w:id="2386" w:name="_Toc517530809"/>
      <w:bookmarkStart w:id="2387" w:name="_Toc14844"/>
      <w:bookmarkStart w:id="2388" w:name="_Toc1667"/>
      <w:bookmarkStart w:id="2389" w:name="_Toc5933"/>
      <w:bookmarkStart w:id="2390" w:name="_Toc22413"/>
      <w:bookmarkStart w:id="2391" w:name="_Toc24069"/>
      <w:bookmarkStart w:id="2392" w:name="_Toc15446"/>
      <w:bookmarkStart w:id="2393" w:name="_Toc4587"/>
      <w:bookmarkStart w:id="2394" w:name="_Toc517532085"/>
      <w:bookmarkStart w:id="2395" w:name="_Toc5604"/>
      <w:bookmarkStart w:id="2396" w:name="_Toc3018"/>
      <w:bookmarkStart w:id="2397" w:name="_Toc11707"/>
      <w:bookmarkStart w:id="2398" w:name="_Toc7723"/>
      <w:r>
        <w:rPr>
          <w:rFonts w:ascii="宋体" w:hAnsi="宋体" w:eastAsia="宋体" w:cs="华文仿宋"/>
          <w:b/>
          <w:bCs/>
          <w:color w:val="auto"/>
          <w:sz w:val="24"/>
          <w:szCs w:val="24"/>
        </w:rPr>
        <w:t>7.1.1</w:t>
      </w:r>
      <w:r>
        <w:rPr>
          <w:rFonts w:ascii="宋体" w:hAnsi="宋体" w:cs="华文仿宋"/>
          <w:b/>
          <w:bCs/>
          <w:color w:val="auto"/>
          <w:sz w:val="24"/>
          <w:szCs w:val="24"/>
        </w:rPr>
        <w:t>工程进度计划的提交</w:t>
      </w:r>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承包人在收到中标通知书之日后，在收到全部或部分图纸和技术资料后</w:t>
      </w:r>
      <w:r>
        <w:rPr>
          <w:rFonts w:ascii="宋体" w:hAnsi="宋体" w:eastAsia="宋体" w:cs="华文仿宋"/>
          <w:color w:val="auto"/>
          <w:szCs w:val="21"/>
          <w:u w:val="single"/>
        </w:rPr>
        <w:t>14</w:t>
      </w:r>
      <w:r>
        <w:rPr>
          <w:rFonts w:ascii="宋体" w:hAnsi="宋体" w:cs="华文仿宋"/>
          <w:color w:val="auto"/>
          <w:szCs w:val="21"/>
        </w:rPr>
        <w:t>天内，应</w:t>
      </w:r>
      <w:r>
        <w:rPr>
          <w:rFonts w:ascii="宋体" w:hAnsi="宋体" w:cs="华文仿宋"/>
          <w:color w:val="auto"/>
          <w:spacing w:val="2"/>
          <w:szCs w:val="21"/>
        </w:rPr>
        <w:t>向监理人提交</w:t>
      </w:r>
      <w:r>
        <w:rPr>
          <w:rFonts w:ascii="宋体" w:hAnsi="宋体" w:eastAsia="宋体" w:cs="华文仿宋"/>
          <w:color w:val="auto"/>
          <w:spacing w:val="2"/>
          <w:szCs w:val="21"/>
          <w:u w:val="single"/>
        </w:rPr>
        <w:t>3</w:t>
      </w:r>
      <w:r>
        <w:rPr>
          <w:rFonts w:ascii="宋体" w:hAnsi="宋体" w:cs="华文仿宋"/>
          <w:color w:val="auto"/>
          <w:spacing w:val="2"/>
          <w:szCs w:val="21"/>
        </w:rPr>
        <w:t>份其格式和内容符合监理人</w:t>
      </w:r>
      <w:r>
        <w:rPr>
          <w:rFonts w:ascii="宋体" w:hAnsi="宋体" w:cs="华文仿宋"/>
          <w:color w:val="auto"/>
          <w:szCs w:val="21"/>
        </w:rPr>
        <w:t>规定的工程进度计划，以及为完成该计划而采用的施工安排和施工方案的说明。监理人应在收到该计划后的</w:t>
      </w:r>
      <w:r>
        <w:rPr>
          <w:rFonts w:ascii="宋体" w:hAnsi="宋体" w:eastAsia="宋体" w:cs="华文仿宋"/>
          <w:color w:val="auto"/>
          <w:szCs w:val="21"/>
          <w:u w:val="single"/>
        </w:rPr>
        <w:t>14</w:t>
      </w:r>
      <w:r>
        <w:rPr>
          <w:rFonts w:ascii="宋体" w:hAnsi="宋体" w:cs="华文仿宋"/>
          <w:color w:val="auto"/>
          <w:szCs w:val="21"/>
        </w:rPr>
        <w:t>天内审查批准或提出修改意见。工程进度计划应按照关键线路网络图和主要工作横道图两种形式分别编绘，并应包括每月预计完成的工作量和形象进度，在需要时每个季度修正一次。</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本合同工程或合同规定有单独工期的区段或单项工程，应根据第</w:t>
      </w:r>
      <w:r>
        <w:rPr>
          <w:rFonts w:ascii="宋体" w:hAnsi="宋体" w:eastAsia="宋体" w:cs="华文仿宋"/>
          <w:color w:val="auto"/>
          <w:szCs w:val="21"/>
        </w:rPr>
        <w:t>13</w:t>
      </w:r>
      <w:r>
        <w:rPr>
          <w:rFonts w:ascii="宋体" w:hAnsi="宋体" w:cs="华文仿宋"/>
          <w:color w:val="auto"/>
          <w:szCs w:val="21"/>
        </w:rPr>
        <w:t>条的规定，在投标书附件中对合同工程或该区段或单项工程（如果有）写明的工期内完成，或按第</w:t>
      </w:r>
      <w:r>
        <w:rPr>
          <w:rFonts w:ascii="宋体" w:hAnsi="宋体" w:eastAsia="宋体" w:cs="华文仿宋"/>
          <w:color w:val="auto"/>
          <w:szCs w:val="21"/>
        </w:rPr>
        <w:t>7.6</w:t>
      </w:r>
      <w:r>
        <w:rPr>
          <w:rFonts w:ascii="宋体" w:hAnsi="宋体" w:cs="华文仿宋"/>
          <w:color w:val="auto"/>
          <w:szCs w:val="21"/>
        </w:rPr>
        <w:t>条规定允许的延长工期内完成，均从开工期的最后一天算起。</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399" w:name="_Toc10995"/>
      <w:bookmarkStart w:id="2400" w:name="_Toc25020"/>
      <w:bookmarkStart w:id="2401" w:name="_Toc889"/>
      <w:bookmarkStart w:id="2402" w:name="_Toc7676"/>
      <w:bookmarkStart w:id="2403" w:name="_Toc18000"/>
      <w:bookmarkStart w:id="2404" w:name="_Toc1091"/>
      <w:bookmarkStart w:id="2405" w:name="_Toc29938"/>
      <w:bookmarkStart w:id="2406" w:name="_Toc18570"/>
      <w:bookmarkStart w:id="2407" w:name="_Toc9475"/>
      <w:bookmarkStart w:id="2408" w:name="_Toc8415"/>
      <w:bookmarkStart w:id="2409" w:name="_Toc32710"/>
      <w:bookmarkStart w:id="2410" w:name="_Toc22872"/>
      <w:bookmarkStart w:id="2411" w:name="_Toc25758"/>
      <w:bookmarkStart w:id="2412" w:name="_Toc28459"/>
      <w:bookmarkStart w:id="2413" w:name="_Toc23539"/>
      <w:bookmarkStart w:id="2414" w:name="_Toc12461"/>
      <w:bookmarkStart w:id="2415" w:name="_Toc18544"/>
      <w:bookmarkStart w:id="2416" w:name="_Toc517532086"/>
      <w:bookmarkStart w:id="2417" w:name="_Toc4415"/>
      <w:bookmarkStart w:id="2418" w:name="_Toc517530810"/>
      <w:r>
        <w:rPr>
          <w:rFonts w:ascii="宋体" w:hAnsi="宋体" w:eastAsia="宋体" w:cs="华文仿宋"/>
          <w:b/>
          <w:bCs/>
          <w:color w:val="auto"/>
          <w:sz w:val="24"/>
          <w:szCs w:val="24"/>
        </w:rPr>
        <w:t>7.1.2</w:t>
      </w:r>
      <w:r>
        <w:rPr>
          <w:rFonts w:ascii="宋体" w:hAnsi="宋体" w:cs="华文仿宋"/>
          <w:b/>
          <w:bCs/>
          <w:color w:val="auto"/>
          <w:sz w:val="24"/>
          <w:szCs w:val="24"/>
        </w:rPr>
        <w:t>工程进度计划的修订</w:t>
      </w:r>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如果监理人认为工程的实际进度不符合根据</w:t>
      </w:r>
      <w:r>
        <w:rPr>
          <w:rFonts w:ascii="宋体" w:hAnsi="宋体" w:eastAsia="宋体" w:cs="华文仿宋"/>
          <w:color w:val="auto"/>
          <w:szCs w:val="21"/>
        </w:rPr>
        <w:t>7.1.1</w:t>
      </w:r>
      <w:r>
        <w:rPr>
          <w:rFonts w:ascii="宋体" w:hAnsi="宋体" w:cs="华文仿宋"/>
          <w:color w:val="auto"/>
          <w:szCs w:val="21"/>
        </w:rPr>
        <w:t>条已经同意的工程进度计划，则承包人应根据监理人的要求立即对工程进度计划进行修订，并提交</w:t>
      </w:r>
      <w:r>
        <w:rPr>
          <w:rFonts w:ascii="宋体" w:hAnsi="宋体" w:eastAsia="宋体" w:cs="华文仿宋"/>
          <w:color w:val="auto"/>
          <w:szCs w:val="21"/>
          <w:u w:val="single"/>
        </w:rPr>
        <w:t>3</w:t>
      </w:r>
      <w:r>
        <w:rPr>
          <w:rFonts w:ascii="宋体" w:hAnsi="宋体" w:cs="华文仿宋"/>
          <w:color w:val="auto"/>
          <w:szCs w:val="21"/>
        </w:rPr>
        <w:t>份修改后的工程进度计划，仍应保证本合同工程在合同规定的工期内完成。</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419" w:name="_Toc9458"/>
      <w:bookmarkStart w:id="2420" w:name="_Toc24426"/>
      <w:bookmarkStart w:id="2421" w:name="_Toc21788"/>
      <w:bookmarkStart w:id="2422" w:name="_Toc1152"/>
      <w:bookmarkStart w:id="2423" w:name="_Toc517530811"/>
      <w:bookmarkStart w:id="2424" w:name="_Toc13940"/>
      <w:bookmarkStart w:id="2425" w:name="_Toc20684"/>
      <w:bookmarkStart w:id="2426" w:name="_Toc21770"/>
      <w:bookmarkStart w:id="2427" w:name="_Toc1078"/>
      <w:bookmarkStart w:id="2428" w:name="_Toc3383"/>
      <w:bookmarkStart w:id="2429" w:name="_Toc18182"/>
      <w:bookmarkStart w:id="2430" w:name="_Toc16603"/>
      <w:bookmarkStart w:id="2431" w:name="_Toc17914"/>
      <w:bookmarkStart w:id="2432" w:name="_Toc18603"/>
      <w:bookmarkStart w:id="2433" w:name="_Toc517532087"/>
      <w:bookmarkStart w:id="2434" w:name="_Toc17700"/>
      <w:bookmarkStart w:id="2435" w:name="_Toc3021"/>
      <w:bookmarkStart w:id="2436" w:name="_Toc15621"/>
      <w:bookmarkStart w:id="2437" w:name="_Toc8913"/>
      <w:bookmarkStart w:id="2438" w:name="_Toc28266"/>
      <w:r>
        <w:rPr>
          <w:rFonts w:ascii="宋体" w:hAnsi="宋体" w:eastAsia="宋体" w:cs="华文仿宋"/>
          <w:b/>
          <w:bCs/>
          <w:color w:val="auto"/>
          <w:sz w:val="24"/>
          <w:szCs w:val="24"/>
        </w:rPr>
        <w:t>7.1.3</w:t>
      </w:r>
      <w:r>
        <w:rPr>
          <w:rFonts w:ascii="宋体" w:hAnsi="宋体" w:cs="华文仿宋"/>
          <w:b/>
          <w:bCs/>
          <w:color w:val="auto"/>
          <w:sz w:val="24"/>
          <w:szCs w:val="24"/>
        </w:rPr>
        <w:t>年度施工计划的提交</w:t>
      </w:r>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承包人应每年</w:t>
      </w:r>
      <w:r>
        <w:rPr>
          <w:rFonts w:ascii="宋体" w:hAnsi="宋体" w:eastAsia="宋体" w:cs="华文仿宋"/>
          <w:color w:val="auto"/>
          <w:szCs w:val="21"/>
          <w:u w:val="single"/>
        </w:rPr>
        <w:t>11</w:t>
      </w:r>
      <w:r>
        <w:rPr>
          <w:rFonts w:ascii="宋体" w:hAnsi="宋体" w:cs="华文仿宋"/>
          <w:color w:val="auto"/>
          <w:szCs w:val="21"/>
        </w:rPr>
        <w:t>月底前，根据批准的工程进度计划或其修订的计划，向监理人</w:t>
      </w:r>
      <w:r>
        <w:rPr>
          <w:rFonts w:ascii="宋体" w:hAnsi="宋体" w:cs="华文仿宋"/>
          <w:color w:val="auto"/>
          <w:spacing w:val="2"/>
          <w:szCs w:val="21"/>
        </w:rPr>
        <w:t>提交</w:t>
      </w:r>
      <w:r>
        <w:rPr>
          <w:rFonts w:ascii="宋体" w:hAnsi="宋体" w:eastAsia="宋体" w:cs="华文仿宋"/>
          <w:color w:val="auto"/>
          <w:spacing w:val="2"/>
          <w:szCs w:val="21"/>
          <w:u w:val="single"/>
        </w:rPr>
        <w:t>3</w:t>
      </w:r>
      <w:r>
        <w:rPr>
          <w:rFonts w:ascii="宋体" w:hAnsi="宋体" w:cs="华文仿宋"/>
          <w:color w:val="auto"/>
          <w:spacing w:val="2"/>
          <w:szCs w:val="21"/>
        </w:rPr>
        <w:t>份其格式和内容符合监理人合理规定的下一年度的</w:t>
      </w:r>
      <w:r>
        <w:rPr>
          <w:rFonts w:ascii="宋体" w:hAnsi="宋体" w:cs="华文仿宋"/>
          <w:color w:val="auto"/>
          <w:szCs w:val="21"/>
        </w:rPr>
        <w:t>施工计划供审批。该计划应包括本年度估计完成和下一年度预计完成的分项工程数量和工作量，以及为实施此计划将采取的措施。</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439" w:name="_Toc17529"/>
      <w:bookmarkStart w:id="2440" w:name="_Toc19650"/>
      <w:bookmarkStart w:id="2441" w:name="_Toc2817"/>
      <w:bookmarkStart w:id="2442" w:name="_Toc12148"/>
      <w:bookmarkStart w:id="2443" w:name="_Toc21848"/>
      <w:bookmarkStart w:id="2444" w:name="_Toc7681"/>
      <w:bookmarkStart w:id="2445" w:name="_Toc11012"/>
      <w:bookmarkStart w:id="2446" w:name="_Toc3599"/>
      <w:bookmarkStart w:id="2447" w:name="_Toc2967"/>
      <w:bookmarkStart w:id="2448" w:name="_Toc517530812"/>
      <w:bookmarkStart w:id="2449" w:name="_Toc15260"/>
      <w:bookmarkStart w:id="2450" w:name="_Toc14015"/>
      <w:bookmarkStart w:id="2451" w:name="_Toc26516"/>
      <w:bookmarkStart w:id="2452" w:name="_Toc6180"/>
      <w:bookmarkStart w:id="2453" w:name="_Toc9015"/>
      <w:bookmarkStart w:id="2454" w:name="_Toc517532088"/>
      <w:bookmarkStart w:id="2455" w:name="_Toc8708"/>
      <w:bookmarkStart w:id="2456" w:name="_Toc31571"/>
      <w:bookmarkStart w:id="2457" w:name="_Toc14270"/>
      <w:bookmarkStart w:id="2458" w:name="_Toc13650"/>
      <w:r>
        <w:rPr>
          <w:rFonts w:ascii="宋体" w:hAnsi="宋体" w:eastAsia="宋体" w:cs="华文仿宋"/>
          <w:b/>
          <w:bCs/>
          <w:color w:val="auto"/>
          <w:sz w:val="24"/>
          <w:szCs w:val="24"/>
        </w:rPr>
        <w:t>7.1.4</w:t>
      </w:r>
      <w:r>
        <w:rPr>
          <w:rFonts w:ascii="宋体" w:hAnsi="宋体" w:cs="华文仿宋"/>
          <w:b/>
          <w:bCs/>
          <w:color w:val="auto"/>
          <w:sz w:val="24"/>
          <w:szCs w:val="24"/>
        </w:rPr>
        <w:t>批准不解除义务</w:t>
      </w:r>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承包人向监理人提交上述工程进度计划和说明，或年度施工计划，并取得监理人的同意，不能因此而解除承包人根据合同规定应负的任何责任或义务。</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459" w:name="_Toc11815"/>
      <w:bookmarkStart w:id="2460" w:name="_Toc517530813"/>
      <w:bookmarkStart w:id="2461" w:name="_Toc29731"/>
      <w:bookmarkStart w:id="2462" w:name="_Toc21374"/>
      <w:bookmarkStart w:id="2463" w:name="_Toc31635"/>
      <w:bookmarkStart w:id="2464" w:name="_Toc517528684"/>
      <w:bookmarkStart w:id="2465" w:name="_Toc19804"/>
      <w:bookmarkStart w:id="2466" w:name="_Toc622"/>
      <w:bookmarkStart w:id="2467" w:name="_Toc465237110"/>
      <w:bookmarkStart w:id="2468" w:name="_Toc24987"/>
      <w:bookmarkStart w:id="2469" w:name="_Toc6474"/>
      <w:bookmarkStart w:id="2470" w:name="_Toc15847"/>
      <w:bookmarkStart w:id="2471" w:name="_Toc16759"/>
      <w:bookmarkStart w:id="2472" w:name="_Toc17001"/>
      <w:bookmarkStart w:id="2473" w:name="_Toc517532089"/>
      <w:bookmarkStart w:id="2474" w:name="_Toc868"/>
      <w:bookmarkStart w:id="2475" w:name="_Toc16263"/>
      <w:bookmarkStart w:id="2476" w:name="_Toc26042"/>
      <w:bookmarkStart w:id="2477" w:name="_Toc1084"/>
      <w:bookmarkStart w:id="2478" w:name="_Toc14347"/>
      <w:bookmarkStart w:id="2479" w:name="_Toc18088"/>
      <w:bookmarkStart w:id="2480" w:name="_Toc17238"/>
      <w:bookmarkStart w:id="2481" w:name="_Toc465237208"/>
      <w:r>
        <w:rPr>
          <w:rFonts w:ascii="宋体" w:hAnsi="宋体" w:eastAsia="宋体" w:cs="华文仿宋"/>
          <w:b/>
          <w:bCs/>
          <w:color w:val="auto"/>
          <w:sz w:val="28"/>
          <w:szCs w:val="28"/>
        </w:rPr>
        <w:t>7.2</w:t>
      </w:r>
      <w:r>
        <w:rPr>
          <w:rFonts w:ascii="宋体" w:hAnsi="宋体" w:cs="华文仿宋"/>
          <w:b/>
          <w:bCs/>
          <w:color w:val="auto"/>
          <w:sz w:val="28"/>
          <w:szCs w:val="28"/>
        </w:rPr>
        <w:t>工程用地</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482" w:name="_Toc10834"/>
      <w:bookmarkStart w:id="2483" w:name="_Toc5442"/>
      <w:bookmarkStart w:id="2484" w:name="_Toc13584"/>
      <w:bookmarkStart w:id="2485" w:name="_Toc25841"/>
      <w:bookmarkStart w:id="2486" w:name="_Toc18638"/>
      <w:bookmarkStart w:id="2487" w:name="_Toc32644"/>
      <w:bookmarkStart w:id="2488" w:name="_Toc26151"/>
      <w:bookmarkStart w:id="2489" w:name="_Toc9887"/>
      <w:bookmarkStart w:id="2490" w:name="_Toc20509"/>
      <w:bookmarkStart w:id="2491" w:name="_Toc517532090"/>
      <w:bookmarkStart w:id="2492" w:name="_Toc12429"/>
      <w:bookmarkStart w:id="2493" w:name="_Toc4684"/>
      <w:bookmarkStart w:id="2494" w:name="_Toc18281"/>
      <w:bookmarkStart w:id="2495" w:name="_Toc16470"/>
      <w:bookmarkStart w:id="2496" w:name="_Toc29350"/>
      <w:bookmarkStart w:id="2497" w:name="_Toc11215"/>
      <w:bookmarkStart w:id="2498" w:name="_Toc517530814"/>
      <w:bookmarkStart w:id="2499" w:name="_Toc12847"/>
      <w:bookmarkStart w:id="2500" w:name="_Toc26993"/>
      <w:bookmarkStart w:id="2501" w:name="_Toc7314"/>
      <w:r>
        <w:rPr>
          <w:rFonts w:ascii="宋体" w:hAnsi="宋体" w:eastAsia="宋体" w:cs="华文仿宋"/>
          <w:b/>
          <w:bCs/>
          <w:color w:val="auto"/>
          <w:sz w:val="24"/>
          <w:szCs w:val="24"/>
        </w:rPr>
        <w:t>7.2.1</w:t>
      </w:r>
      <w:r>
        <w:rPr>
          <w:rFonts w:ascii="宋体" w:hAnsi="宋体" w:cs="华文仿宋"/>
          <w:b/>
          <w:bCs/>
          <w:color w:val="auto"/>
          <w:sz w:val="24"/>
          <w:szCs w:val="24"/>
        </w:rPr>
        <w:t>永久占地的征用</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承包人在按第</w:t>
      </w:r>
      <w:r>
        <w:rPr>
          <w:rFonts w:ascii="宋体" w:hAnsi="宋体" w:eastAsia="宋体" w:cs="华文仿宋"/>
          <w:color w:val="auto"/>
          <w:szCs w:val="21"/>
        </w:rPr>
        <w:t>7.1</w:t>
      </w:r>
      <w:r>
        <w:rPr>
          <w:rFonts w:ascii="宋体" w:hAnsi="宋体" w:cs="华文仿宋"/>
          <w:color w:val="auto"/>
          <w:szCs w:val="21"/>
        </w:rPr>
        <w:t>和</w:t>
      </w:r>
      <w:r>
        <w:rPr>
          <w:rFonts w:ascii="宋体" w:hAnsi="宋体" w:eastAsia="宋体" w:cs="华文仿宋"/>
          <w:color w:val="auto"/>
          <w:szCs w:val="21"/>
        </w:rPr>
        <w:t>12.3.1</w:t>
      </w:r>
      <w:r>
        <w:rPr>
          <w:rFonts w:ascii="宋体" w:hAnsi="宋体" w:cs="华文仿宋"/>
          <w:color w:val="auto"/>
          <w:szCs w:val="21"/>
        </w:rPr>
        <w:t>条规定提交工程进度计划的同时，应向监理人提交一份按施工先后次序所需的永久占地计划。监理人应在收到此计划后的</w:t>
      </w:r>
      <w:r>
        <w:rPr>
          <w:rFonts w:ascii="宋体" w:hAnsi="宋体" w:eastAsia="宋体" w:cs="华文仿宋"/>
          <w:color w:val="auto"/>
          <w:szCs w:val="21"/>
          <w:u w:val="single"/>
        </w:rPr>
        <w:t>14</w:t>
      </w:r>
      <w:r>
        <w:rPr>
          <w:rFonts w:ascii="宋体" w:hAnsi="宋体" w:cs="华文仿宋"/>
          <w:color w:val="auto"/>
          <w:szCs w:val="21"/>
        </w:rPr>
        <w:t>天内审核并转报发包人备查。发包人应在监理人发出开工通知书之前，将承包人开工所需的永久占地办妥征用以及土地之上、之下和架空的青苗、树木、房屋建筑、管线设施等的拆迁赔偿手续，通知承包人使用，以使承包人能够及时开工；此后按承包人提交并经监理人同意的工程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w:t>
      </w:r>
      <w:r>
        <w:rPr>
          <w:rFonts w:ascii="宋体" w:hAnsi="宋体" w:eastAsia="宋体" w:cs="华文仿宋"/>
          <w:color w:val="auto"/>
          <w:szCs w:val="21"/>
        </w:rPr>
        <w:t>10.1</w:t>
      </w:r>
      <w:r>
        <w:rPr>
          <w:rFonts w:ascii="宋体" w:hAnsi="宋体" w:cs="华文仿宋"/>
          <w:color w:val="auto"/>
          <w:szCs w:val="21"/>
        </w:rPr>
        <w:t>条确定的变更而引起的超占除外。</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502" w:name="_Toc15332"/>
      <w:bookmarkStart w:id="2503" w:name="_Toc28239"/>
      <w:bookmarkStart w:id="2504" w:name="_Toc19467"/>
      <w:bookmarkStart w:id="2505" w:name="_Toc22168"/>
      <w:bookmarkStart w:id="2506" w:name="_Toc1092"/>
      <w:bookmarkStart w:id="2507" w:name="_Toc15819"/>
      <w:bookmarkStart w:id="2508" w:name="_Toc24704"/>
      <w:bookmarkStart w:id="2509" w:name="_Toc30593"/>
      <w:bookmarkStart w:id="2510" w:name="_Toc7940"/>
      <w:bookmarkStart w:id="2511" w:name="_Toc6402"/>
      <w:bookmarkStart w:id="2512" w:name="_Toc26752"/>
      <w:bookmarkStart w:id="2513" w:name="_Toc13077"/>
      <w:bookmarkStart w:id="2514" w:name="_Toc517530815"/>
      <w:bookmarkStart w:id="2515" w:name="_Toc4354"/>
      <w:bookmarkStart w:id="2516" w:name="_Toc15652"/>
      <w:bookmarkStart w:id="2517" w:name="_Toc517532091"/>
      <w:bookmarkStart w:id="2518" w:name="_Toc18745"/>
      <w:bookmarkStart w:id="2519" w:name="_Toc30758"/>
      <w:bookmarkStart w:id="2520" w:name="_Toc11934"/>
      <w:bookmarkStart w:id="2521" w:name="_Toc27273"/>
      <w:r>
        <w:rPr>
          <w:rFonts w:ascii="宋体" w:hAnsi="宋体" w:eastAsia="宋体" w:cs="华文仿宋"/>
          <w:b/>
          <w:bCs/>
          <w:color w:val="auto"/>
          <w:sz w:val="24"/>
          <w:szCs w:val="24"/>
        </w:rPr>
        <w:t>7.2.2</w:t>
      </w:r>
      <w:r>
        <w:rPr>
          <w:rFonts w:ascii="宋体" w:hAnsi="宋体" w:cs="华文仿宋"/>
          <w:b/>
          <w:bCs/>
          <w:color w:val="auto"/>
          <w:sz w:val="24"/>
          <w:szCs w:val="24"/>
        </w:rPr>
        <w:t>未能按期办妥永久占地的征用手续</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如果由于发包人未能按照第</w:t>
      </w:r>
      <w:r>
        <w:rPr>
          <w:rFonts w:ascii="宋体" w:hAnsi="宋体" w:eastAsia="宋体" w:cs="华文仿宋"/>
          <w:color w:val="auto"/>
          <w:szCs w:val="21"/>
        </w:rPr>
        <w:t>7.2.1</w:t>
      </w:r>
      <w:r>
        <w:rPr>
          <w:rFonts w:ascii="宋体" w:hAnsi="宋体" w:cs="华文仿宋"/>
          <w:color w:val="auto"/>
          <w:szCs w:val="21"/>
        </w:rPr>
        <w:t>条的规定办妥永久占地征用和拆迁手续，则承包人在接到监理人的通知后，应按监理人的指示及时调整承包人按第</w:t>
      </w:r>
      <w:r>
        <w:rPr>
          <w:rFonts w:ascii="宋体" w:hAnsi="宋体" w:eastAsia="宋体" w:cs="华文仿宋"/>
          <w:color w:val="auto"/>
          <w:szCs w:val="21"/>
        </w:rPr>
        <w:t>7.1</w:t>
      </w:r>
      <w:r>
        <w:rPr>
          <w:rFonts w:ascii="宋体" w:hAnsi="宋体" w:cs="华文仿宋"/>
          <w:color w:val="auto"/>
          <w:szCs w:val="21"/>
        </w:rPr>
        <w:t>和</w:t>
      </w:r>
      <w:r>
        <w:rPr>
          <w:rFonts w:ascii="宋体" w:hAnsi="宋体" w:eastAsia="宋体" w:cs="华文仿宋"/>
          <w:color w:val="auto"/>
          <w:szCs w:val="21"/>
        </w:rPr>
        <w:t>12.3.1</w:t>
      </w:r>
      <w:r>
        <w:rPr>
          <w:rFonts w:ascii="宋体" w:hAnsi="宋体" w:cs="华文仿宋"/>
          <w:color w:val="auto"/>
          <w:szCs w:val="21"/>
        </w:rPr>
        <w:t>条提交的工程进度计划中的各工作先后施工顺序，以便能够继续施工，或者对施工力量（人员和施工设备）及时进行调整，以避免停工损失的发生。应当认为，承包人的投标文件中已包含了发包人未能按期办妥永久占地的征用和拆迁手续对报价和施工进度带来的风险。</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522" w:name="_Toc11482"/>
      <w:bookmarkStart w:id="2523" w:name="_Toc17940"/>
      <w:bookmarkStart w:id="2524" w:name="_Toc14280"/>
      <w:bookmarkStart w:id="2525" w:name="_Toc31988"/>
      <w:bookmarkStart w:id="2526" w:name="_Toc517532092"/>
      <w:bookmarkStart w:id="2527" w:name="_Toc12732"/>
      <w:bookmarkStart w:id="2528" w:name="_Toc296"/>
      <w:bookmarkStart w:id="2529" w:name="_Toc31436"/>
      <w:bookmarkStart w:id="2530" w:name="_Toc32674"/>
      <w:bookmarkStart w:id="2531" w:name="_Toc28165"/>
      <w:bookmarkStart w:id="2532" w:name="_Toc7649"/>
      <w:bookmarkStart w:id="2533" w:name="_Toc18741"/>
      <w:bookmarkStart w:id="2534" w:name="_Toc19016"/>
      <w:bookmarkStart w:id="2535" w:name="_Toc10953"/>
      <w:bookmarkStart w:id="2536" w:name="_Toc6592"/>
      <w:bookmarkStart w:id="2537" w:name="_Toc19686"/>
      <w:bookmarkStart w:id="2538" w:name="_Toc7285"/>
      <w:bookmarkStart w:id="2539" w:name="_Toc517530816"/>
      <w:bookmarkStart w:id="2540" w:name="_Toc9952"/>
      <w:bookmarkStart w:id="2541" w:name="_Toc20803"/>
      <w:r>
        <w:rPr>
          <w:rFonts w:ascii="宋体" w:hAnsi="宋体" w:eastAsia="宋体" w:cs="华文仿宋"/>
          <w:b/>
          <w:bCs/>
          <w:color w:val="auto"/>
          <w:sz w:val="24"/>
          <w:szCs w:val="24"/>
        </w:rPr>
        <w:t>7.2.3</w:t>
      </w:r>
      <w:r>
        <w:rPr>
          <w:rFonts w:ascii="宋体" w:hAnsi="宋体" w:cs="华文仿宋"/>
          <w:b/>
          <w:bCs/>
          <w:color w:val="auto"/>
          <w:sz w:val="24"/>
          <w:szCs w:val="24"/>
        </w:rPr>
        <w:t>临时占地的租用</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承包人在按第</w:t>
      </w:r>
      <w:r>
        <w:rPr>
          <w:rFonts w:ascii="宋体" w:hAnsi="宋体" w:eastAsia="宋体" w:cs="华文仿宋"/>
          <w:color w:val="auto"/>
          <w:szCs w:val="21"/>
        </w:rPr>
        <w:t>7.1</w:t>
      </w:r>
      <w:r>
        <w:rPr>
          <w:rFonts w:ascii="宋体" w:hAnsi="宋体" w:cs="华文仿宋"/>
          <w:color w:val="auto"/>
          <w:szCs w:val="21"/>
        </w:rPr>
        <w:t>和</w:t>
      </w:r>
      <w:r>
        <w:rPr>
          <w:rFonts w:ascii="宋体" w:hAnsi="宋体" w:eastAsia="宋体" w:cs="华文仿宋"/>
          <w:color w:val="auto"/>
          <w:szCs w:val="21"/>
        </w:rPr>
        <w:t>12.3.1</w:t>
      </w:r>
      <w:r>
        <w:rPr>
          <w:rFonts w:ascii="宋体" w:hAnsi="宋体" w:cs="华文仿宋"/>
          <w:color w:val="auto"/>
          <w:szCs w:val="21"/>
        </w:rPr>
        <w:t>条的规定提交工程进度计划的同时，应根据投标文件技术标书格式中要求填写的临时占地计划表提交</w:t>
      </w:r>
      <w:r>
        <w:rPr>
          <w:rFonts w:ascii="宋体" w:hAnsi="宋体" w:eastAsia="宋体" w:cs="华文仿宋"/>
          <w:color w:val="auto"/>
          <w:szCs w:val="21"/>
          <w:u w:val="single"/>
        </w:rPr>
        <w:t>3</w:t>
      </w:r>
      <w:r>
        <w:rPr>
          <w:rFonts w:ascii="宋体" w:hAnsi="宋体" w:cs="华文仿宋"/>
          <w:color w:val="auto"/>
          <w:szCs w:val="21"/>
        </w:rPr>
        <w:t>份临时占地修正计划，取得监理人同意后报发包人备查。发包人将按上述计划与承包人协商</w:t>
      </w:r>
      <w:r>
        <w:rPr>
          <w:rFonts w:ascii="宋体" w:hAnsi="宋体" w:eastAsia="宋体" w:cs="华文仿宋"/>
          <w:color w:val="auto"/>
          <w:szCs w:val="21"/>
        </w:rPr>
        <w:t>,</w:t>
      </w:r>
      <w:r>
        <w:rPr>
          <w:rFonts w:ascii="宋体" w:hAnsi="宋体" w:cs="华文仿宋"/>
          <w:color w:val="auto"/>
          <w:szCs w:val="21"/>
        </w:rPr>
        <w:t>根据开工需要和施工先后顺序，协助承包人分期办理租用手续，通知承包人使用。征地红线范围外临时占地的租用费</w:t>
      </w:r>
      <w:r>
        <w:rPr>
          <w:rFonts w:ascii="宋体" w:hAnsi="宋体" w:eastAsia="宋体" w:cs="华文仿宋"/>
          <w:color w:val="auto"/>
          <w:szCs w:val="21"/>
        </w:rPr>
        <w:t>(</w:t>
      </w:r>
      <w:r>
        <w:rPr>
          <w:rFonts w:ascii="宋体" w:hAnsi="宋体" w:cs="华文仿宋"/>
          <w:color w:val="auto"/>
          <w:szCs w:val="21"/>
        </w:rPr>
        <w:t>含拆迁补偿</w:t>
      </w:r>
      <w:r>
        <w:rPr>
          <w:rFonts w:ascii="宋体" w:hAnsi="宋体" w:eastAsia="宋体" w:cs="华文仿宋"/>
          <w:color w:val="auto"/>
          <w:szCs w:val="21"/>
        </w:rPr>
        <w:t>)</w:t>
      </w:r>
      <w:r>
        <w:rPr>
          <w:rFonts w:ascii="宋体" w:hAnsi="宋体" w:cs="华文仿宋"/>
          <w:color w:val="auto"/>
          <w:szCs w:val="21"/>
        </w:rPr>
        <w:t>由承包人承担并支付，并计入投标报价中。</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征地红线范围内的工程用地，由发包人统一办理和支付征（租）地和拆迁手续和费用，并在不影响施工的前提下，经发包人批准，可免费提供给承包人作施工临时用地。</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临时用地租用完毕前，承包人应自费恢复临时用地至使用前的使用条件。</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542" w:name="_Toc4623"/>
      <w:bookmarkStart w:id="2543" w:name="_Toc16329"/>
      <w:bookmarkStart w:id="2544" w:name="_Toc9048"/>
      <w:bookmarkStart w:id="2545" w:name="_Toc16956"/>
      <w:bookmarkStart w:id="2546" w:name="_Toc517528685"/>
      <w:bookmarkStart w:id="2547" w:name="_Toc22657"/>
      <w:bookmarkStart w:id="2548" w:name="_Toc3870"/>
      <w:bookmarkStart w:id="2549" w:name="_Toc26613"/>
      <w:bookmarkStart w:id="2550" w:name="_Toc517530817"/>
      <w:bookmarkStart w:id="2551" w:name="_Toc465237111"/>
      <w:bookmarkStart w:id="2552" w:name="_Toc517532093"/>
      <w:bookmarkStart w:id="2553" w:name="_Toc11999"/>
      <w:bookmarkStart w:id="2554" w:name="_Toc10788"/>
      <w:bookmarkStart w:id="2555" w:name="_Toc850"/>
      <w:bookmarkStart w:id="2556" w:name="_Toc26800"/>
      <w:bookmarkStart w:id="2557" w:name="_Toc28956"/>
      <w:bookmarkStart w:id="2558" w:name="_Toc14383"/>
      <w:bookmarkStart w:id="2559" w:name="_Toc7189"/>
      <w:bookmarkStart w:id="2560" w:name="_Toc10295"/>
      <w:bookmarkStart w:id="2561" w:name="_Toc15251"/>
      <w:bookmarkStart w:id="2562" w:name="_Toc465237209"/>
      <w:bookmarkStart w:id="2563" w:name="_Toc10828"/>
      <w:bookmarkStart w:id="2564" w:name="_Toc747"/>
      <w:r>
        <w:rPr>
          <w:rFonts w:ascii="宋体" w:hAnsi="宋体" w:eastAsia="宋体" w:cs="华文仿宋"/>
          <w:b/>
          <w:bCs/>
          <w:color w:val="auto"/>
          <w:sz w:val="28"/>
          <w:szCs w:val="28"/>
        </w:rPr>
        <w:t>7.3</w:t>
      </w:r>
      <w:r>
        <w:rPr>
          <w:rFonts w:ascii="宋体" w:hAnsi="宋体" w:cs="华文仿宋"/>
          <w:b/>
          <w:bCs/>
          <w:color w:val="auto"/>
          <w:sz w:val="28"/>
          <w:szCs w:val="28"/>
        </w:rPr>
        <w:t>工程的开工</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承包人收到监理人开工通知书之后，应在投标书附件中规定的开工期内开工，然后连续均衡地施工。开工通知书应在发出中标通知书之后，按投标书附件中写明的期限内发出。</w:t>
      </w:r>
      <w:bookmarkStart w:id="2565" w:name="_Toc337558770"/>
      <w:bookmarkEnd w:id="2565"/>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566" w:name="_Toc12235"/>
      <w:bookmarkStart w:id="2567" w:name="_Toc22364"/>
      <w:bookmarkStart w:id="2568" w:name="_Toc6280"/>
      <w:bookmarkStart w:id="2569" w:name="_Toc14292"/>
      <w:bookmarkStart w:id="2570" w:name="_Toc16781"/>
      <w:bookmarkStart w:id="2571" w:name="_Toc29861"/>
      <w:bookmarkStart w:id="2572" w:name="_Toc517530818"/>
      <w:bookmarkStart w:id="2573" w:name="_Toc517532094"/>
      <w:bookmarkStart w:id="2574" w:name="_Toc465237210"/>
      <w:bookmarkStart w:id="2575" w:name="_Toc9513"/>
      <w:bookmarkStart w:id="2576" w:name="_Toc19919"/>
      <w:bookmarkStart w:id="2577" w:name="_Toc2617"/>
      <w:bookmarkStart w:id="2578" w:name="_Toc28024"/>
      <w:bookmarkStart w:id="2579" w:name="_Toc465237112"/>
      <w:bookmarkStart w:id="2580" w:name="_Toc1953"/>
      <w:bookmarkStart w:id="2581" w:name="_Toc517528686"/>
      <w:bookmarkStart w:id="2582" w:name="_Toc7491"/>
      <w:bookmarkStart w:id="2583" w:name="_Toc24162"/>
      <w:bookmarkStart w:id="2584" w:name="_Toc9254"/>
      <w:bookmarkStart w:id="2585" w:name="_Toc7863"/>
      <w:bookmarkStart w:id="2586" w:name="_Toc18952"/>
      <w:bookmarkStart w:id="2587" w:name="_Toc11103"/>
      <w:bookmarkStart w:id="2588" w:name="_Toc16095"/>
      <w:r>
        <w:rPr>
          <w:rFonts w:ascii="宋体" w:hAnsi="宋体" w:eastAsia="宋体" w:cs="华文仿宋"/>
          <w:b/>
          <w:bCs/>
          <w:color w:val="auto"/>
          <w:sz w:val="28"/>
          <w:szCs w:val="28"/>
        </w:rPr>
        <w:t>7.4</w:t>
      </w:r>
      <w:r>
        <w:rPr>
          <w:rFonts w:ascii="宋体" w:hAnsi="宋体" w:cs="华文仿宋"/>
          <w:b/>
          <w:bCs/>
          <w:color w:val="auto"/>
          <w:sz w:val="28"/>
          <w:szCs w:val="28"/>
        </w:rPr>
        <w:t>测量和放线</w:t>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监理人应在发出开工通知书</w:t>
      </w:r>
      <w:r>
        <w:rPr>
          <w:rFonts w:ascii="宋体" w:hAnsi="宋体" w:eastAsia="宋体" w:cs="华文仿宋"/>
          <w:color w:val="auto"/>
          <w:szCs w:val="21"/>
          <w:u w:val="single"/>
        </w:rPr>
        <w:t>7</w:t>
      </w:r>
      <w:r>
        <w:rPr>
          <w:rFonts w:ascii="宋体" w:hAnsi="宋体" w:cs="华文仿宋"/>
          <w:color w:val="auto"/>
          <w:szCs w:val="21"/>
        </w:rPr>
        <w:t>天之前，向承包人提供原始基准点、基准线和参考标高等书面资料，并进行现场交验。承包人则应：</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根据监理人书面给定的原始基准点、基准线和参考标高，负责对本工程进行准确的放样，并对本工程各部分的位置、标高、尺寸及其线形的正确性负责；以及</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负责提供放样所必需的仪器、机具和劳务。</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监理人对放样、线形或标高的核查，均不应解除承包人对其准确性所负的责任。承包人应认真保护一切基准点、标桩和其他有关标志。</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589" w:name="_Toc5250"/>
      <w:bookmarkStart w:id="2590" w:name="_Toc9858"/>
      <w:bookmarkStart w:id="2591" w:name="_Toc8363"/>
      <w:bookmarkStart w:id="2592" w:name="_Toc23047"/>
      <w:bookmarkStart w:id="2593" w:name="_Toc257"/>
      <w:bookmarkStart w:id="2594" w:name="_Toc517528687"/>
      <w:bookmarkStart w:id="2595" w:name="_Toc517530819"/>
      <w:bookmarkStart w:id="2596" w:name="_Toc1010"/>
      <w:bookmarkStart w:id="2597" w:name="_Toc7877"/>
      <w:bookmarkStart w:id="2598" w:name="_Toc18091"/>
      <w:bookmarkStart w:id="2599" w:name="_Toc30407"/>
      <w:bookmarkStart w:id="2600" w:name="_Toc23727"/>
      <w:bookmarkStart w:id="2601" w:name="_Toc22214"/>
      <w:bookmarkStart w:id="2602" w:name="_Toc3724"/>
      <w:bookmarkStart w:id="2603" w:name="_Toc517532095"/>
      <w:bookmarkStart w:id="2604" w:name="_Toc19487"/>
      <w:bookmarkStart w:id="2605" w:name="_Toc11733"/>
      <w:bookmarkStart w:id="2606" w:name="_Toc18667"/>
      <w:bookmarkStart w:id="2607" w:name="_Toc11985"/>
      <w:bookmarkStart w:id="2608" w:name="_Toc23271"/>
      <w:r>
        <w:rPr>
          <w:rFonts w:ascii="宋体" w:hAnsi="宋体" w:eastAsia="宋体" w:cs="华文仿宋"/>
          <w:b/>
          <w:bCs/>
          <w:color w:val="auto"/>
          <w:sz w:val="28"/>
          <w:szCs w:val="28"/>
        </w:rPr>
        <w:t>7.5</w:t>
      </w:r>
      <w:r>
        <w:rPr>
          <w:rFonts w:ascii="宋体" w:hAnsi="宋体" w:cs="华文仿宋"/>
          <w:b/>
          <w:bCs/>
          <w:color w:val="auto"/>
          <w:sz w:val="28"/>
          <w:szCs w:val="28"/>
        </w:rPr>
        <w:t>钻孔和勘探性开挖</w:t>
      </w:r>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在工程施工期间，如果监理人要求承包人进行钻孔或勘探性的开挖工作，除非在工程量清单中已经列有此类工作的一个支付项目或含有此类工作的专业工程暂估价，否则此项要求应由监理人按照第</w:t>
      </w:r>
      <w:r>
        <w:rPr>
          <w:rFonts w:ascii="宋体" w:hAnsi="宋体" w:eastAsia="宋体" w:cs="华文仿宋"/>
          <w:color w:val="auto"/>
          <w:szCs w:val="21"/>
        </w:rPr>
        <w:t>10</w:t>
      </w:r>
      <w:r>
        <w:rPr>
          <w:rFonts w:ascii="宋体" w:hAnsi="宋体" w:cs="华文仿宋"/>
          <w:color w:val="auto"/>
          <w:szCs w:val="21"/>
        </w:rPr>
        <w:t>条发出指令。</w:t>
      </w:r>
      <w:bookmarkStart w:id="2609" w:name="_Toc296503066"/>
      <w:bookmarkEnd w:id="2609"/>
      <w:bookmarkStart w:id="2610" w:name="_Toc296346567"/>
      <w:bookmarkEnd w:id="261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611" w:name="_Toc28371"/>
      <w:bookmarkStart w:id="2612" w:name="_Toc27652"/>
      <w:bookmarkStart w:id="2613" w:name="_Toc517530820"/>
      <w:bookmarkStart w:id="2614" w:name="_Toc6824"/>
      <w:bookmarkStart w:id="2615" w:name="_Toc3891"/>
      <w:bookmarkStart w:id="2616" w:name="_Toc8869"/>
      <w:bookmarkStart w:id="2617" w:name="_Toc517532096"/>
      <w:bookmarkStart w:id="2618" w:name="_Toc11330"/>
      <w:bookmarkStart w:id="2619" w:name="_Toc31632"/>
      <w:bookmarkStart w:id="2620" w:name="_Toc13107"/>
      <w:bookmarkStart w:id="2621" w:name="_Toc465237113"/>
      <w:bookmarkStart w:id="2622" w:name="_Toc12854"/>
      <w:bookmarkStart w:id="2623" w:name="_Toc11738"/>
      <w:bookmarkStart w:id="2624" w:name="_Toc4045"/>
      <w:bookmarkStart w:id="2625" w:name="_Toc517528688"/>
      <w:bookmarkStart w:id="2626" w:name="_Toc465237211"/>
      <w:bookmarkStart w:id="2627" w:name="_Toc29301"/>
      <w:bookmarkStart w:id="2628" w:name="_Toc26020"/>
      <w:bookmarkStart w:id="2629" w:name="_Toc13556"/>
      <w:bookmarkStart w:id="2630" w:name="_Toc31100"/>
      <w:bookmarkStart w:id="2631" w:name="_Toc3145"/>
      <w:bookmarkStart w:id="2632" w:name="_Toc6560"/>
      <w:bookmarkStart w:id="2633" w:name="_Toc12338"/>
      <w:r>
        <w:rPr>
          <w:rFonts w:ascii="宋体" w:hAnsi="宋体" w:eastAsia="宋体" w:cs="华文仿宋"/>
          <w:b/>
          <w:bCs/>
          <w:color w:val="auto"/>
          <w:sz w:val="28"/>
          <w:szCs w:val="28"/>
        </w:rPr>
        <w:t xml:space="preserve">7.6 </w:t>
      </w:r>
      <w:r>
        <w:rPr>
          <w:rFonts w:ascii="宋体" w:hAnsi="宋体" w:cs="华文仿宋"/>
          <w:b/>
          <w:bCs/>
          <w:color w:val="auto"/>
          <w:sz w:val="28"/>
          <w:szCs w:val="28"/>
        </w:rPr>
        <w:t>工期延误</w:t>
      </w:r>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Start w:id="2634" w:name="_Toc337558772"/>
      <w:bookmarkEnd w:id="2634"/>
      <w:bookmarkStart w:id="2635" w:name="_Toc296346574"/>
      <w:bookmarkEnd w:id="2635"/>
      <w:bookmarkStart w:id="2636" w:name="_Toc296503073"/>
      <w:bookmarkEnd w:id="2636"/>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637" w:name="_Toc32303"/>
      <w:bookmarkStart w:id="2638" w:name="_Toc517530821"/>
      <w:bookmarkStart w:id="2639" w:name="_Toc9298"/>
      <w:bookmarkStart w:id="2640" w:name="_Toc19369"/>
      <w:bookmarkStart w:id="2641" w:name="_Toc19445"/>
      <w:bookmarkStart w:id="2642" w:name="_Toc21836"/>
      <w:bookmarkStart w:id="2643" w:name="_Toc30868"/>
      <w:bookmarkStart w:id="2644" w:name="_Toc26429"/>
      <w:bookmarkStart w:id="2645" w:name="_Toc44"/>
      <w:bookmarkStart w:id="2646" w:name="_Toc14393"/>
      <w:bookmarkStart w:id="2647" w:name="_Toc6862"/>
      <w:bookmarkStart w:id="2648" w:name="_Toc27591"/>
      <w:bookmarkStart w:id="2649" w:name="_Toc18799"/>
      <w:bookmarkStart w:id="2650" w:name="_Toc16342"/>
      <w:bookmarkStart w:id="2651" w:name="_Toc517532097"/>
      <w:bookmarkStart w:id="2652" w:name="_Toc29508"/>
      <w:bookmarkStart w:id="2653" w:name="_Toc3888"/>
      <w:bookmarkStart w:id="2654" w:name="_Toc32334"/>
      <w:bookmarkStart w:id="2655" w:name="_Toc2309"/>
      <w:bookmarkStart w:id="2656" w:name="_Toc18383"/>
      <w:r>
        <w:rPr>
          <w:rFonts w:ascii="宋体" w:hAnsi="宋体" w:eastAsia="宋体" w:cs="华文仿宋"/>
          <w:b/>
          <w:bCs/>
          <w:color w:val="auto"/>
          <w:sz w:val="24"/>
          <w:szCs w:val="24"/>
        </w:rPr>
        <w:t>7.6.1</w:t>
      </w:r>
      <w:r>
        <w:rPr>
          <w:rFonts w:ascii="宋体" w:hAnsi="宋体" w:cs="华文仿宋"/>
          <w:b/>
          <w:bCs/>
          <w:color w:val="auto"/>
          <w:sz w:val="24"/>
          <w:szCs w:val="24"/>
        </w:rPr>
        <w:t>工期的延长</w:t>
      </w:r>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如果出现下列情形，则承包人有权延长本合同工程或其区段或单项工程的工期，监理人在与承包人适当协商并报经发包人批准后应确定延长工期的天数，并通知承包人，抄送发包人：</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额外或附加的工作量，如：某项工作量的显著变化引起的变更价款超过合同价款的</w:t>
      </w:r>
      <w:r>
        <w:rPr>
          <w:rFonts w:ascii="宋体" w:hAnsi="宋体" w:eastAsia="宋体" w:cs="华文仿宋"/>
          <w:color w:val="auto"/>
          <w:szCs w:val="21"/>
          <w:u w:val="single"/>
        </w:rPr>
        <w:t>5%</w:t>
      </w:r>
      <w:r>
        <w:rPr>
          <w:rFonts w:ascii="宋体" w:hAnsi="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本合同条款所指的延误原因；</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(c)8.2.6</w:t>
      </w:r>
      <w:r>
        <w:rPr>
          <w:rFonts w:ascii="宋体" w:hAnsi="宋体" w:cs="华文仿宋"/>
          <w:color w:val="auto"/>
          <w:szCs w:val="21"/>
        </w:rPr>
        <w:t>（</w:t>
      </w:r>
      <w:r>
        <w:rPr>
          <w:rFonts w:ascii="宋体" w:hAnsi="宋体" w:eastAsia="宋体" w:cs="华文仿宋"/>
          <w:color w:val="auto"/>
          <w:szCs w:val="21"/>
        </w:rPr>
        <w:t>g</w:t>
      </w:r>
      <w:r>
        <w:rPr>
          <w:rFonts w:ascii="宋体" w:hAnsi="宋体" w:cs="华文仿宋"/>
          <w:color w:val="auto"/>
          <w:szCs w:val="21"/>
        </w:rPr>
        <w:t>）款指明的自然灾害；</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发包人的任何延误、妨碍或阻止；</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可能发生的其他特殊情况，而不是由于承包人的失误或承包人应负责的违约，如：一周内非承包人原因停水、停电造成停工累计超过</w:t>
      </w:r>
      <w:r>
        <w:rPr>
          <w:rFonts w:ascii="宋体" w:hAnsi="宋体" w:eastAsia="宋体" w:cs="华文仿宋"/>
          <w:color w:val="auto"/>
          <w:szCs w:val="21"/>
          <w:u w:val="single"/>
        </w:rPr>
        <w:t>8</w:t>
      </w:r>
      <w:r>
        <w:rPr>
          <w:rFonts w:ascii="宋体" w:hAnsi="宋体" w:cs="华文仿宋"/>
          <w:color w:val="auto"/>
          <w:szCs w:val="21"/>
        </w:rPr>
        <w:t>小时。</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657" w:name="_Toc517532098"/>
      <w:bookmarkStart w:id="2658" w:name="_Toc17389"/>
      <w:bookmarkStart w:id="2659" w:name="_Toc907"/>
      <w:bookmarkStart w:id="2660" w:name="_Toc27609"/>
      <w:bookmarkStart w:id="2661" w:name="_Toc30250"/>
      <w:bookmarkStart w:id="2662" w:name="_Toc23353"/>
      <w:bookmarkStart w:id="2663" w:name="_Toc15952"/>
      <w:bookmarkStart w:id="2664" w:name="_Toc15380"/>
      <w:bookmarkStart w:id="2665" w:name="_Toc11603"/>
      <w:bookmarkStart w:id="2666" w:name="_Toc11086"/>
      <w:bookmarkStart w:id="2667" w:name="_Toc29164"/>
      <w:bookmarkStart w:id="2668" w:name="_Toc15934"/>
      <w:bookmarkStart w:id="2669" w:name="_Toc14600"/>
      <w:bookmarkStart w:id="2670" w:name="_Toc7762"/>
      <w:bookmarkStart w:id="2671" w:name="_Toc517530822"/>
      <w:bookmarkStart w:id="2672" w:name="_Toc10316"/>
      <w:bookmarkStart w:id="2673" w:name="_Toc28962"/>
      <w:bookmarkStart w:id="2674" w:name="_Toc14940"/>
      <w:bookmarkStart w:id="2675" w:name="_Toc1801"/>
      <w:bookmarkStart w:id="2676" w:name="_Toc23910"/>
      <w:r>
        <w:rPr>
          <w:rFonts w:ascii="宋体" w:hAnsi="宋体" w:eastAsia="宋体" w:cs="华文仿宋"/>
          <w:b/>
          <w:bCs/>
          <w:color w:val="auto"/>
          <w:sz w:val="24"/>
          <w:szCs w:val="24"/>
        </w:rPr>
        <w:t>7.6.2</w:t>
      </w:r>
      <w:r>
        <w:rPr>
          <w:rFonts w:ascii="宋体" w:hAnsi="宋体" w:cs="华文仿宋"/>
          <w:b/>
          <w:bCs/>
          <w:color w:val="auto"/>
          <w:sz w:val="24"/>
          <w:szCs w:val="24"/>
        </w:rPr>
        <w:t>延期申请与审批</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当第</w:t>
      </w:r>
      <w:r>
        <w:rPr>
          <w:rFonts w:ascii="宋体" w:hAnsi="宋体" w:eastAsia="宋体" w:cs="华文仿宋"/>
          <w:color w:val="auto"/>
          <w:szCs w:val="21"/>
        </w:rPr>
        <w:t>7.6.1</w:t>
      </w:r>
      <w:r>
        <w:rPr>
          <w:rFonts w:ascii="宋体" w:hAnsi="宋体" w:cs="华文仿宋"/>
          <w:color w:val="auto"/>
          <w:szCs w:val="21"/>
        </w:rPr>
        <w:t>条所述事件首次发生后，承包人应在</w:t>
      </w:r>
      <w:r>
        <w:rPr>
          <w:rFonts w:ascii="宋体" w:hAnsi="宋体" w:eastAsia="宋体" w:cs="华文仿宋"/>
          <w:color w:val="auto"/>
          <w:szCs w:val="21"/>
          <w:u w:val="single"/>
        </w:rPr>
        <w:t>21</w:t>
      </w:r>
      <w:r>
        <w:rPr>
          <w:rFonts w:ascii="宋体" w:hAnsi="宋体" w:cs="华文仿宋"/>
          <w:color w:val="auto"/>
          <w:szCs w:val="21"/>
        </w:rPr>
        <w:t>天内向监理人发出要求延期的通知并抄送发包人，还应在发出通知后的</w:t>
      </w:r>
      <w:r>
        <w:rPr>
          <w:rFonts w:ascii="宋体" w:hAnsi="宋体" w:eastAsia="宋体" w:cs="华文仿宋"/>
          <w:color w:val="auto"/>
          <w:szCs w:val="21"/>
          <w:u w:val="single"/>
        </w:rPr>
        <w:t>21</w:t>
      </w:r>
      <w:r>
        <w:rPr>
          <w:rFonts w:ascii="宋体" w:hAnsi="宋体" w:cs="华文仿宋"/>
          <w:color w:val="auto"/>
          <w:szCs w:val="21"/>
        </w:rPr>
        <w:t>天内或在监理人同意的其他合理的时间内向监理人提交承包人认为有权延期的具体细节，以供监理人调查。</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如果承包人未能按前款和第</w:t>
      </w:r>
      <w:r>
        <w:rPr>
          <w:rFonts w:ascii="宋体" w:hAnsi="宋体" w:eastAsia="宋体" w:cs="华文仿宋"/>
          <w:color w:val="auto"/>
          <w:szCs w:val="21"/>
        </w:rPr>
        <w:t>7.6.3</w:t>
      </w:r>
      <w:r>
        <w:rPr>
          <w:rFonts w:ascii="宋体" w:hAnsi="宋体" w:cs="华文仿宋"/>
          <w:color w:val="auto"/>
          <w:szCs w:val="21"/>
        </w:rPr>
        <w:t>条规定的时间发出要求延期的通知和提交具体细节的详细资料，则事后监理人可拒绝作出任何延期的决定。</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监理人在收到要求延期的通知和提交具体细节的最后详细资料后，将在</w:t>
      </w:r>
      <w:r>
        <w:rPr>
          <w:rFonts w:ascii="宋体" w:hAnsi="宋体" w:eastAsia="宋体" w:cs="华文仿宋"/>
          <w:color w:val="auto"/>
          <w:szCs w:val="21"/>
        </w:rPr>
        <w:t>7</w:t>
      </w:r>
      <w:r>
        <w:rPr>
          <w:rFonts w:ascii="宋体" w:hAnsi="宋体" w:cs="华文仿宋"/>
          <w:color w:val="auto"/>
          <w:szCs w:val="21"/>
        </w:rPr>
        <w:t>天内</w:t>
      </w:r>
      <w:r>
        <w:rPr>
          <w:rFonts w:ascii="宋体" w:hAnsi="宋体"/>
          <w:color w:val="auto"/>
        </w:rPr>
        <w:t>提交处理意见至发包人，发包人应在收到监理人提交的处理意见后</w:t>
      </w:r>
      <w:r>
        <w:rPr>
          <w:rFonts w:ascii="宋体" w:hAnsi="宋体" w:eastAsia="宋体"/>
          <w:color w:val="auto"/>
        </w:rPr>
        <w:t>28</w:t>
      </w:r>
      <w:r>
        <w:rPr>
          <w:rFonts w:ascii="宋体" w:hAnsi="宋体"/>
          <w:color w:val="auto"/>
        </w:rPr>
        <w:t>天内予以答复。</w:t>
      </w:r>
      <w:r>
        <w:rPr>
          <w:rFonts w:ascii="宋体" w:hAnsi="宋体" w:cs="华文仿宋"/>
          <w:color w:val="auto"/>
          <w:szCs w:val="21"/>
        </w:rPr>
        <w:t>若监理人和发包人未在该期限内予以答复，则应视为承包人要求的延期已经发包人批准。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677" w:name="_Toc29365"/>
      <w:bookmarkStart w:id="2678" w:name="_Toc24918"/>
      <w:bookmarkStart w:id="2679" w:name="_Toc32061"/>
      <w:bookmarkStart w:id="2680" w:name="_Toc517532099"/>
      <w:bookmarkStart w:id="2681" w:name="_Toc26506"/>
      <w:bookmarkStart w:id="2682" w:name="_Toc11760"/>
      <w:bookmarkStart w:id="2683" w:name="_Toc24905"/>
      <w:bookmarkStart w:id="2684" w:name="_Toc16423"/>
      <w:bookmarkStart w:id="2685" w:name="_Toc28181"/>
      <w:bookmarkStart w:id="2686" w:name="_Toc1772"/>
      <w:bookmarkStart w:id="2687" w:name="_Toc28848"/>
      <w:bookmarkStart w:id="2688" w:name="_Toc5906"/>
      <w:bookmarkStart w:id="2689" w:name="_Toc5787"/>
      <w:bookmarkStart w:id="2690" w:name="_Toc4650"/>
      <w:bookmarkStart w:id="2691" w:name="_Toc27054"/>
      <w:bookmarkStart w:id="2692" w:name="_Toc6119"/>
      <w:bookmarkStart w:id="2693" w:name="_Toc517530823"/>
      <w:bookmarkStart w:id="2694" w:name="_Toc7661"/>
      <w:bookmarkStart w:id="2695" w:name="_Toc18267"/>
      <w:bookmarkStart w:id="2696" w:name="_Toc17172"/>
      <w:r>
        <w:rPr>
          <w:rFonts w:ascii="宋体" w:hAnsi="宋体" w:eastAsia="宋体" w:cs="华文仿宋"/>
          <w:b/>
          <w:bCs/>
          <w:color w:val="auto"/>
          <w:sz w:val="24"/>
          <w:szCs w:val="24"/>
        </w:rPr>
        <w:t>7.6.3</w:t>
      </w:r>
      <w:r>
        <w:rPr>
          <w:rFonts w:ascii="宋体" w:hAnsi="宋体" w:cs="华文仿宋"/>
          <w:b/>
          <w:bCs/>
          <w:color w:val="auto"/>
          <w:sz w:val="24"/>
          <w:szCs w:val="24"/>
        </w:rPr>
        <w:t>延长工期的暂时决定</w:t>
      </w:r>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如果某个事件有持续性影响，以致实际上不可能要求承包人在按第</w:t>
      </w:r>
      <w:r>
        <w:rPr>
          <w:rFonts w:ascii="宋体" w:hAnsi="宋体" w:eastAsia="宋体" w:cs="华文仿宋"/>
          <w:color w:val="auto"/>
          <w:szCs w:val="21"/>
        </w:rPr>
        <w:t>7.6.2</w:t>
      </w:r>
      <w:r>
        <w:rPr>
          <w:rFonts w:ascii="宋体" w:hAnsi="宋体" w:cs="华文仿宋"/>
          <w:color w:val="auto"/>
          <w:szCs w:val="21"/>
        </w:rPr>
        <w:t>条规定的</w:t>
      </w:r>
      <w:r>
        <w:rPr>
          <w:rFonts w:ascii="宋体" w:hAnsi="宋体" w:eastAsia="宋体" w:cs="华文仿宋"/>
          <w:color w:val="auto"/>
          <w:szCs w:val="21"/>
          <w:u w:val="single"/>
        </w:rPr>
        <w:t>21</w:t>
      </w:r>
      <w:r>
        <w:rPr>
          <w:rFonts w:ascii="宋体" w:hAnsi="宋体" w:cs="华文仿宋"/>
          <w:color w:val="auto"/>
          <w:szCs w:val="21"/>
        </w:rPr>
        <w:t>天之内提交具体细节的详细资料，只要承包人在不超过</w:t>
      </w:r>
      <w:r>
        <w:rPr>
          <w:rFonts w:ascii="宋体" w:hAnsi="宋体" w:eastAsia="宋体" w:cs="华文仿宋"/>
          <w:color w:val="auto"/>
          <w:szCs w:val="21"/>
          <w:u w:val="single"/>
        </w:rPr>
        <w:t>21</w:t>
      </w:r>
      <w:r>
        <w:rPr>
          <w:rFonts w:ascii="宋体" w:hAnsi="宋体" w:cs="华文仿宋"/>
          <w:color w:val="auto"/>
          <w:szCs w:val="21"/>
        </w:rPr>
        <w:t>天的间隔时间内向监理人提交了暂时的详细资料，并在该事件造成的影响结束后的</w:t>
      </w:r>
      <w:r>
        <w:rPr>
          <w:rFonts w:ascii="宋体" w:hAnsi="宋体" w:eastAsia="宋体" w:cs="华文仿宋"/>
          <w:color w:val="auto"/>
          <w:szCs w:val="21"/>
          <w:u w:val="single"/>
        </w:rPr>
        <w:t>21</w:t>
      </w:r>
      <w:r>
        <w:rPr>
          <w:rFonts w:ascii="宋体" w:hAnsi="宋体" w:cs="华文仿宋"/>
          <w:color w:val="auto"/>
          <w:szCs w:val="21"/>
        </w:rPr>
        <w:t>天之内提交了最后的详细资料，则承包人仍有权得到延长工期。监理人收到此暂时的详细资料时不应延误，应立即作出延长工期的暂时决定，并在收到最后的详细资料时审查全部情况，确定关于该事件的总的延长工期。在这两种情况下，监理人都应与承包人协商报发包人批准后确定，并将此确定通知承包人，抄送发包人。但最后的审查不应使监理人对已经确定的延长工期予以缩短。</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697" w:name="_Toc24668"/>
      <w:bookmarkStart w:id="2698" w:name="_Toc9497"/>
      <w:bookmarkStart w:id="2699" w:name="_Toc7278"/>
      <w:bookmarkStart w:id="2700" w:name="_Toc2164"/>
      <w:bookmarkStart w:id="2701" w:name="_Toc20728"/>
      <w:bookmarkStart w:id="2702" w:name="_Toc6517"/>
      <w:bookmarkStart w:id="2703" w:name="_Toc8755"/>
      <w:bookmarkStart w:id="2704" w:name="_Toc26992"/>
      <w:bookmarkStart w:id="2705" w:name="_Toc14435"/>
      <w:bookmarkStart w:id="2706" w:name="_Toc3341"/>
      <w:bookmarkStart w:id="2707" w:name="_Toc18856"/>
      <w:bookmarkStart w:id="2708" w:name="_Toc517530824"/>
      <w:bookmarkStart w:id="2709" w:name="_Toc517532100"/>
      <w:bookmarkStart w:id="2710" w:name="_Toc21757"/>
      <w:bookmarkStart w:id="2711" w:name="_Toc26784"/>
      <w:bookmarkStart w:id="2712" w:name="_Toc16183"/>
      <w:bookmarkStart w:id="2713" w:name="_Toc2819"/>
      <w:bookmarkStart w:id="2714" w:name="_Toc27879"/>
      <w:bookmarkStart w:id="2715" w:name="_Toc7996"/>
      <w:bookmarkStart w:id="2716" w:name="_Toc8392"/>
      <w:r>
        <w:rPr>
          <w:rFonts w:ascii="宋体" w:hAnsi="宋体" w:eastAsia="宋体" w:cs="华文仿宋"/>
          <w:b/>
          <w:bCs/>
          <w:color w:val="auto"/>
          <w:sz w:val="24"/>
          <w:szCs w:val="24"/>
        </w:rPr>
        <w:t>7.6.4</w:t>
      </w:r>
      <w:r>
        <w:rPr>
          <w:rFonts w:ascii="宋体" w:hAnsi="宋体" w:cs="华文仿宋"/>
          <w:b/>
          <w:bCs/>
          <w:color w:val="auto"/>
          <w:sz w:val="24"/>
          <w:szCs w:val="24"/>
        </w:rPr>
        <w:t>工程进度过慢</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承包人无任何理由取得延长工期的情况下，如果监理人认为，本合同工程或其任何部分的进度过慢，因而不能按预定的工期竣工时，则监理人应将此情况通知承包人。承包人应即据此采取监理人同意的必要的措施，以便加快工程进度，以使工程能在预定的工期内竣工。承包人无权要求为了采取这些步骤而支付任何附加费用。</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717" w:name="_Toc22279"/>
      <w:bookmarkStart w:id="2718" w:name="_Toc31669"/>
      <w:bookmarkStart w:id="2719" w:name="_Toc5800"/>
      <w:bookmarkStart w:id="2720" w:name="_Toc4315"/>
      <w:bookmarkStart w:id="2721" w:name="_Toc5756"/>
      <w:bookmarkStart w:id="2722" w:name="_Toc15166"/>
      <w:bookmarkStart w:id="2723" w:name="_Toc19598"/>
      <w:bookmarkStart w:id="2724" w:name="_Toc6748"/>
      <w:bookmarkStart w:id="2725" w:name="_Toc8596"/>
      <w:bookmarkStart w:id="2726" w:name="_Toc1643"/>
      <w:bookmarkStart w:id="2727" w:name="_Toc6067"/>
      <w:bookmarkStart w:id="2728" w:name="_Toc517530825"/>
      <w:bookmarkStart w:id="2729" w:name="_Toc30537"/>
      <w:bookmarkStart w:id="2730" w:name="_Toc17376"/>
      <w:bookmarkStart w:id="2731" w:name="_Toc10065"/>
      <w:bookmarkStart w:id="2732" w:name="_Toc14999"/>
      <w:bookmarkStart w:id="2733" w:name="_Toc517532101"/>
      <w:bookmarkStart w:id="2734" w:name="_Toc21573"/>
      <w:bookmarkStart w:id="2735" w:name="_Toc18284"/>
      <w:bookmarkStart w:id="2736" w:name="_Toc16081"/>
      <w:r>
        <w:rPr>
          <w:rFonts w:ascii="宋体" w:hAnsi="宋体" w:eastAsia="宋体" w:cs="华文仿宋"/>
          <w:b/>
          <w:bCs/>
          <w:color w:val="auto"/>
          <w:sz w:val="24"/>
          <w:szCs w:val="24"/>
        </w:rPr>
        <w:t>7.6.5</w:t>
      </w:r>
      <w:r>
        <w:rPr>
          <w:rFonts w:ascii="宋体" w:hAnsi="宋体" w:cs="华文仿宋"/>
          <w:b/>
          <w:bCs/>
          <w:color w:val="auto"/>
          <w:sz w:val="24"/>
          <w:szCs w:val="24"/>
        </w:rPr>
        <w:t>工期拖延</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未能按照规定的工期完成合同工程，或者未能在相应的工期内完成某区段或某单项工程，发包人可事先向承包人发出指令，要求在一段合理的时间内完成前述工程，否则将雇用他人执行该项指令并明示所需费用。如承包人仍未在发包人要求的期限内完成前述工程，则发包人可雇用他人执行该项指令，并从应付给承包人的款项中扣除上述费用，不足的由承包人予以补足，承包人不得对上述费用提出异议。</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737" w:name="_Toc517530826"/>
      <w:bookmarkStart w:id="2738" w:name="_Toc16087"/>
      <w:bookmarkStart w:id="2739" w:name="_Toc2375"/>
      <w:bookmarkStart w:id="2740" w:name="_Toc7075"/>
      <w:bookmarkStart w:id="2741" w:name="_Toc2635"/>
      <w:bookmarkStart w:id="2742" w:name="_Toc4189"/>
      <w:bookmarkStart w:id="2743" w:name="_Toc19324"/>
      <w:bookmarkStart w:id="2744" w:name="_Toc29645"/>
      <w:bookmarkStart w:id="2745" w:name="_Toc14754"/>
      <w:bookmarkStart w:id="2746" w:name="_Toc32593"/>
      <w:bookmarkStart w:id="2747" w:name="_Toc32716"/>
      <w:bookmarkStart w:id="2748" w:name="_Toc29962"/>
      <w:bookmarkStart w:id="2749" w:name="_Toc1873"/>
      <w:bookmarkStart w:id="2750" w:name="_Toc17865"/>
      <w:bookmarkStart w:id="2751" w:name="_Toc11808"/>
      <w:bookmarkStart w:id="2752" w:name="_Toc15804"/>
      <w:bookmarkStart w:id="2753" w:name="_Toc5578"/>
      <w:bookmarkStart w:id="2754" w:name="_Toc9699"/>
      <w:bookmarkStart w:id="2755" w:name="_Toc517532102"/>
      <w:bookmarkStart w:id="2756" w:name="_Toc20400"/>
      <w:r>
        <w:rPr>
          <w:rFonts w:ascii="宋体" w:hAnsi="宋体" w:eastAsia="宋体" w:cs="华文仿宋"/>
          <w:b/>
          <w:bCs/>
          <w:color w:val="auto"/>
          <w:sz w:val="24"/>
          <w:szCs w:val="24"/>
        </w:rPr>
        <w:t>7.6.6</w:t>
      </w:r>
      <w:r>
        <w:rPr>
          <w:rFonts w:ascii="宋体" w:hAnsi="宋体" w:cs="华文仿宋"/>
          <w:b/>
          <w:bCs/>
          <w:color w:val="auto"/>
          <w:sz w:val="24"/>
          <w:szCs w:val="24"/>
        </w:rPr>
        <w:t>拖期损失赔偿金</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p>
    <w:p>
      <w:pPr>
        <w:snapToGrid w:val="0"/>
        <w:spacing w:line="360" w:lineRule="auto"/>
        <w:ind w:firstLine="420"/>
        <w:rPr>
          <w:rFonts w:ascii="宋体" w:hAnsi="宋体" w:eastAsia="宋体" w:cs="华文仿宋"/>
          <w:color w:val="auto"/>
          <w:szCs w:val="21"/>
        </w:rPr>
      </w:pPr>
      <w:r>
        <w:rPr>
          <w:rFonts w:ascii="宋体" w:hAnsi="宋体" w:cs="华文仿宋"/>
          <w:color w:val="auto"/>
          <w:szCs w:val="21"/>
        </w:rPr>
        <w:t>如果承包人未能按照第</w:t>
      </w:r>
      <w:r>
        <w:rPr>
          <w:rFonts w:ascii="宋体" w:hAnsi="宋体" w:eastAsia="宋体" w:cs="华文仿宋"/>
          <w:color w:val="auto"/>
          <w:szCs w:val="21"/>
        </w:rPr>
        <w:t>7.1.1</w:t>
      </w:r>
      <w:r>
        <w:rPr>
          <w:rFonts w:ascii="宋体" w:hAnsi="宋体" w:cs="华文仿宋"/>
          <w:color w:val="auto"/>
          <w:szCs w:val="21"/>
        </w:rPr>
        <w:t>条规定的工期完成合同工程，或者未能在相应的工期内完成某区段或某单项工程，应分情况处理：</w:t>
      </w:r>
    </w:p>
    <w:p>
      <w:pPr>
        <w:snapToGrid w:val="0"/>
        <w:spacing w:line="360" w:lineRule="auto"/>
        <w:ind w:firstLine="420"/>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若承包人的延误导致建设项目工程或其他承包人不能按期竣工验收的，则发包人有权要求承包人按招标文件前附表中写明金额全额计算并支付拖期损失赔偿金，时间自经批准延期后按合同约定应竣工日期起到合同工程或某区段或某单项工程的交接证书中写明的竣工日期止（即：实际工期</w:t>
      </w:r>
      <w:r>
        <w:rPr>
          <w:rFonts w:ascii="宋体" w:hAnsi="宋体" w:eastAsia="宋体" w:cs="华文仿宋"/>
          <w:color w:val="auto"/>
          <w:szCs w:val="21"/>
        </w:rPr>
        <w:t>-</w:t>
      </w:r>
      <w:r>
        <w:rPr>
          <w:rFonts w:ascii="宋体" w:hAnsi="宋体" w:cs="华文仿宋"/>
          <w:color w:val="auto"/>
          <w:szCs w:val="21"/>
        </w:rPr>
        <w:t>合同工期</w:t>
      </w:r>
      <w:r>
        <w:rPr>
          <w:rFonts w:ascii="宋体" w:hAnsi="宋体" w:eastAsia="宋体" w:cs="华文仿宋"/>
          <w:color w:val="auto"/>
          <w:szCs w:val="21"/>
        </w:rPr>
        <w:t>-</w:t>
      </w:r>
      <w:r>
        <w:rPr>
          <w:rFonts w:ascii="宋体" w:hAnsi="宋体" w:cs="华文仿宋"/>
          <w:color w:val="auto"/>
          <w:szCs w:val="21"/>
        </w:rPr>
        <w:t>批准的延长工期），按天计算。拖期损失赔偿金应不超过招标文件前附表中写明的限额。发包人可以从应付或到期应付给承包人的任何款项中扣除此赔偿金，但不排除其他扣款方法。此项支付或扣除，不应解除承包人对完成该项工程的义务或合同规定的承包人的其他义务和责任；</w:t>
      </w:r>
    </w:p>
    <w:p>
      <w:pPr>
        <w:snapToGrid w:val="0"/>
        <w:spacing w:line="360" w:lineRule="auto"/>
        <w:ind w:firstLine="420"/>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若承包人有证据证明该延误不会影响建设项目工程的按期竣工验收，也不对其他承包人按期完工产生实质性影响，则发包人可酌情决定不对承包人处拖期损失赔偿金。但若承包人的延误最终仍导致建设项目工程或其他承包人不能按期竣工验收的，则发包人有权要求承包人从最初延误之日起按前款约定计算并支付拖期损失赔偿金。</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若指定专业工程承包人工期延误而总承包单位未尽发包人根据合同有关规定要求其承担的总承包管理义务，则总承包单位应分担指定专业工程承包人拖期损失赔偿金的</w:t>
      </w:r>
      <w:r>
        <w:rPr>
          <w:rFonts w:ascii="宋体" w:hAnsi="宋体" w:eastAsia="宋体" w:cs="华文仿宋"/>
          <w:color w:val="auto"/>
          <w:szCs w:val="21"/>
        </w:rPr>
        <w:t>10%</w:t>
      </w:r>
      <w:r>
        <w:rPr>
          <w:rFonts w:ascii="宋体" w:hAnsi="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在合同工程竣工之前，已对合同工程内的某区段或某单项工程签发了交接证书，且上述交接证书中写明的竣工日期并未延误，而是合同工程中的其他部分产生了工期延误，则合同工程的拖期损失赔偿金应予减少，减少的幅度按已签发交接证书的某区段或某单项工程的价值占合同工程价值的比例计算，但本款的规定不应影响该赔偿金的限额。</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757" w:name="_Toc21755"/>
      <w:bookmarkStart w:id="2758" w:name="_Toc24433"/>
      <w:bookmarkStart w:id="2759" w:name="_Toc14076"/>
      <w:bookmarkStart w:id="2760" w:name="_Toc23934"/>
      <w:bookmarkStart w:id="2761" w:name="_Toc517528689"/>
      <w:bookmarkStart w:id="2762" w:name="_Toc4094"/>
      <w:bookmarkStart w:id="2763" w:name="_Toc517532103"/>
      <w:bookmarkStart w:id="2764" w:name="_Toc25768"/>
      <w:bookmarkStart w:id="2765" w:name="_Toc517530827"/>
      <w:bookmarkStart w:id="2766" w:name="_Toc465237212"/>
      <w:bookmarkStart w:id="2767" w:name="_Toc3922"/>
      <w:bookmarkStart w:id="2768" w:name="_Toc16215"/>
      <w:bookmarkStart w:id="2769" w:name="_Toc32091"/>
      <w:bookmarkStart w:id="2770" w:name="_Toc7504"/>
      <w:bookmarkStart w:id="2771" w:name="_Toc24005"/>
      <w:bookmarkStart w:id="2772" w:name="_Toc15305"/>
      <w:bookmarkStart w:id="2773" w:name="_Toc32388"/>
      <w:bookmarkStart w:id="2774" w:name="_Toc24176"/>
      <w:bookmarkStart w:id="2775" w:name="_Toc17547"/>
      <w:bookmarkStart w:id="2776" w:name="_Toc9583"/>
      <w:bookmarkStart w:id="2777" w:name="_Toc16377"/>
      <w:bookmarkStart w:id="2778" w:name="_Toc22809"/>
      <w:bookmarkStart w:id="2779" w:name="_Toc465237114"/>
      <w:r>
        <w:rPr>
          <w:rFonts w:ascii="宋体" w:hAnsi="宋体" w:eastAsia="宋体" w:cs="华文仿宋"/>
          <w:b/>
          <w:bCs/>
          <w:color w:val="auto"/>
          <w:sz w:val="28"/>
          <w:szCs w:val="28"/>
        </w:rPr>
        <w:t>7.7</w:t>
      </w:r>
      <w:r>
        <w:rPr>
          <w:rFonts w:ascii="宋体" w:hAnsi="宋体" w:cs="华文仿宋"/>
          <w:b/>
          <w:bCs/>
          <w:color w:val="auto"/>
          <w:sz w:val="28"/>
          <w:szCs w:val="28"/>
        </w:rPr>
        <w:t>不利的外界障碍或条件</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施工期间，承包人如果遇到不属于现场气候条件的，凭以往经验无法预见的外界障碍或条件，并已实际造成影响工期和增加费用时，承包人应立即就此向监理人发出书面通知，并抄送发包人。监理人收到该通知后，如经查明属实，确认该障碍或条件不可能为一个有经验的承包人所合理预见的，则监理人在与承包人协商并报发包人批准后，承包人有权获得：</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根据第</w:t>
      </w:r>
      <w:r>
        <w:rPr>
          <w:rFonts w:ascii="宋体" w:hAnsi="宋体" w:eastAsia="宋体" w:cs="华文仿宋"/>
          <w:color w:val="auto"/>
          <w:szCs w:val="21"/>
        </w:rPr>
        <w:t>7.6</w:t>
      </w:r>
      <w:r>
        <w:rPr>
          <w:rFonts w:ascii="宋体" w:hAnsi="宋体" w:cs="华文仿宋"/>
          <w:color w:val="auto"/>
          <w:szCs w:val="21"/>
        </w:rPr>
        <w:t>条规定承包人应得的延长工期；</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应该加到合同价格上的费用款额，并将上述确定通知承包人，抄送发包人。</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做出上述确定时，应该考虑监理人已经发给承包人的与此有关的指令，以及在没有监理人具体指令情况下，承包人采取的使监理人可接受的合理而又恰当的措施。</w:t>
      </w:r>
    </w:p>
    <w:p>
      <w:pPr>
        <w:spacing w:line="360" w:lineRule="auto"/>
        <w:ind w:firstLine="420"/>
        <w:jc w:val="left"/>
        <w:rPr>
          <w:rFonts w:ascii="宋体" w:hAnsi="宋体" w:eastAsia="宋体" w:cs="华文仿宋"/>
          <w:b/>
          <w:color w:val="auto"/>
          <w:szCs w:val="21"/>
        </w:rPr>
      </w:pPr>
      <w:r>
        <w:rPr>
          <w:rFonts w:ascii="宋体" w:hAnsi="宋体" w:cs="华文仿宋"/>
          <w:color w:val="auto"/>
          <w:szCs w:val="21"/>
        </w:rPr>
        <w:t>但是，对于合同已经明确指出的不利的外界障碍或条件，无论承包人是否有经验，均视承包人在接受合同时已预见其影响因素并已在合同报价中计入由其影响而可能发生的一切费用。对合同未明确指出但在不利的外界障碍或条件发生之前，监理人已经指示承包人有可能发生，但承包人未能采取有效措施而导致的损失和后果均由承包人负责。</w:t>
      </w:r>
      <w:bookmarkStart w:id="2780" w:name="_Toc337558773"/>
      <w:bookmarkEnd w:id="2780"/>
      <w:bookmarkStart w:id="2781" w:name="_Toc296503074"/>
      <w:bookmarkEnd w:id="2781"/>
      <w:bookmarkStart w:id="2782" w:name="_Toc296346575"/>
      <w:bookmarkEnd w:id="2782"/>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783" w:name="_Toc31143"/>
      <w:bookmarkStart w:id="2784" w:name="_Toc29256"/>
      <w:bookmarkStart w:id="2785" w:name="_Toc20463"/>
      <w:bookmarkStart w:id="2786" w:name="_Toc22483"/>
      <w:bookmarkStart w:id="2787" w:name="_Toc8569"/>
      <w:bookmarkStart w:id="2788" w:name="_Toc517532104"/>
      <w:bookmarkStart w:id="2789" w:name="_Toc517528690"/>
      <w:bookmarkStart w:id="2790" w:name="_Toc9344"/>
      <w:bookmarkStart w:id="2791" w:name="_Toc10542"/>
      <w:bookmarkStart w:id="2792" w:name="_Toc26625"/>
      <w:bookmarkStart w:id="2793" w:name="_Toc20165"/>
      <w:bookmarkStart w:id="2794" w:name="_Toc25319"/>
      <w:bookmarkStart w:id="2795" w:name="_Toc465237115"/>
      <w:bookmarkStart w:id="2796" w:name="_Toc16550"/>
      <w:bookmarkStart w:id="2797" w:name="_Toc27234"/>
      <w:bookmarkStart w:id="2798" w:name="_Toc465237213"/>
      <w:bookmarkStart w:id="2799" w:name="_Toc23780"/>
      <w:bookmarkStart w:id="2800" w:name="_Toc13362"/>
      <w:bookmarkStart w:id="2801" w:name="_Toc9773"/>
      <w:bookmarkStart w:id="2802" w:name="_Toc11929"/>
      <w:bookmarkStart w:id="2803" w:name="_Toc517530828"/>
      <w:bookmarkStart w:id="2804" w:name="_Toc12710"/>
      <w:bookmarkStart w:id="2805" w:name="_Toc24441"/>
      <w:r>
        <w:rPr>
          <w:rFonts w:ascii="宋体" w:hAnsi="宋体" w:eastAsia="宋体" w:cs="华文仿宋"/>
          <w:b/>
          <w:bCs/>
          <w:color w:val="auto"/>
          <w:sz w:val="28"/>
          <w:szCs w:val="28"/>
        </w:rPr>
        <w:t>7.8</w:t>
      </w:r>
      <w:r>
        <w:rPr>
          <w:rFonts w:ascii="宋体" w:hAnsi="宋体" w:cs="华文仿宋"/>
          <w:b/>
          <w:bCs/>
          <w:color w:val="auto"/>
          <w:sz w:val="28"/>
          <w:szCs w:val="28"/>
        </w:rPr>
        <w:t>暂停施工</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806" w:name="_Toc26985"/>
      <w:bookmarkStart w:id="2807" w:name="_Toc1694"/>
      <w:bookmarkStart w:id="2808" w:name="_Toc15604"/>
      <w:bookmarkStart w:id="2809" w:name="_Toc17391"/>
      <w:bookmarkStart w:id="2810" w:name="_Toc12306"/>
      <w:bookmarkStart w:id="2811" w:name="_Toc31022"/>
      <w:bookmarkStart w:id="2812" w:name="_Toc17072"/>
      <w:bookmarkStart w:id="2813" w:name="_Toc24611"/>
      <w:bookmarkStart w:id="2814" w:name="_Toc726"/>
      <w:bookmarkStart w:id="2815" w:name="_Toc2694"/>
      <w:bookmarkStart w:id="2816" w:name="_Toc13881"/>
      <w:bookmarkStart w:id="2817" w:name="_Toc287"/>
      <w:bookmarkStart w:id="2818" w:name="_Toc4281"/>
      <w:bookmarkStart w:id="2819" w:name="_Toc13820"/>
      <w:bookmarkStart w:id="2820" w:name="_Toc517532105"/>
      <w:bookmarkStart w:id="2821" w:name="_Toc10327"/>
      <w:bookmarkStart w:id="2822" w:name="_Toc11271"/>
      <w:bookmarkStart w:id="2823" w:name="_Toc10576"/>
      <w:bookmarkStart w:id="2824" w:name="_Toc517530829"/>
      <w:bookmarkStart w:id="2825" w:name="_Toc30994"/>
      <w:r>
        <w:rPr>
          <w:rFonts w:ascii="宋体" w:hAnsi="宋体" w:eastAsia="宋体" w:cs="华文仿宋"/>
          <w:b/>
          <w:bCs/>
          <w:color w:val="auto"/>
          <w:sz w:val="24"/>
          <w:szCs w:val="24"/>
        </w:rPr>
        <w:t>7.8.1</w:t>
      </w:r>
      <w:r>
        <w:rPr>
          <w:rFonts w:ascii="宋体" w:hAnsi="宋体" w:cs="华文仿宋"/>
          <w:b/>
          <w:bCs/>
          <w:color w:val="auto"/>
          <w:sz w:val="24"/>
          <w:szCs w:val="24"/>
        </w:rPr>
        <w:t>暂时停工</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工程建设期间，一旦监理人发出暂停施工的指令，承包人应在监理人认为适当的时间按照监理人要求的方式暂时停止本工程或其部分工程的施工。在暂时停工期间，承包人应妥善地保护本工程或其任何部分工程，并保障其安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除了下述原因的暂时停工外，在其他情况下应按</w:t>
      </w:r>
      <w:r>
        <w:rPr>
          <w:rFonts w:ascii="宋体" w:hAnsi="宋体" w:eastAsia="宋体" w:cs="华文仿宋"/>
          <w:color w:val="auto"/>
          <w:szCs w:val="21"/>
        </w:rPr>
        <w:t>7.8.2</w:t>
      </w:r>
      <w:r>
        <w:rPr>
          <w:rFonts w:ascii="宋体" w:hAnsi="宋体" w:cs="华文仿宋"/>
          <w:color w:val="auto"/>
          <w:szCs w:val="21"/>
        </w:rPr>
        <w:t>条的规定办理：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在合同中另有规定的；</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由于承包人一方某种失误或违约导致的，或承包人应对其负责的必要停工；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由于现场气候条件导致的必要的停工；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承包人为了本工程的合理施工调整布署或为了工程及其任何部分的安全而采取必要的技术措施所需要的停工（因监理人或发包人的任何行为或失误所引起的，或第</w:t>
      </w:r>
      <w:r>
        <w:rPr>
          <w:rFonts w:ascii="宋体" w:hAnsi="宋体" w:eastAsia="宋体" w:cs="华文仿宋"/>
          <w:color w:val="auto"/>
          <w:szCs w:val="21"/>
        </w:rPr>
        <w:t>8.2.6</w:t>
      </w:r>
      <w:r>
        <w:rPr>
          <w:rFonts w:ascii="宋体" w:hAnsi="宋体" w:cs="华文仿宋"/>
          <w:color w:val="auto"/>
          <w:szCs w:val="21"/>
        </w:rPr>
        <w:t>条规定的任何一种风险而引起的除外）。</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826" w:name="_Toc20851"/>
      <w:bookmarkStart w:id="2827" w:name="_Toc30338"/>
      <w:bookmarkStart w:id="2828" w:name="_Toc29622"/>
      <w:bookmarkStart w:id="2829" w:name="_Toc517530830"/>
      <w:bookmarkStart w:id="2830" w:name="_Toc17678"/>
      <w:bookmarkStart w:id="2831" w:name="_Toc7093"/>
      <w:bookmarkStart w:id="2832" w:name="_Toc20644"/>
      <w:bookmarkStart w:id="2833" w:name="_Toc32694"/>
      <w:bookmarkStart w:id="2834" w:name="_Toc18989"/>
      <w:bookmarkStart w:id="2835" w:name="_Toc941"/>
      <w:bookmarkStart w:id="2836" w:name="_Toc6831"/>
      <w:bookmarkStart w:id="2837" w:name="_Toc26624"/>
      <w:bookmarkStart w:id="2838" w:name="_Toc7752"/>
      <w:bookmarkStart w:id="2839" w:name="_Toc13960"/>
      <w:bookmarkStart w:id="2840" w:name="_Toc15758"/>
      <w:bookmarkStart w:id="2841" w:name="_Toc5070"/>
      <w:bookmarkStart w:id="2842" w:name="_Toc27700"/>
      <w:bookmarkStart w:id="2843" w:name="_Toc517532106"/>
      <w:bookmarkStart w:id="2844" w:name="_Toc31757"/>
      <w:bookmarkStart w:id="2845" w:name="_Toc16714"/>
      <w:r>
        <w:rPr>
          <w:rFonts w:ascii="宋体" w:hAnsi="宋体" w:eastAsia="宋体" w:cs="华文仿宋"/>
          <w:b/>
          <w:bCs/>
          <w:color w:val="auto"/>
          <w:sz w:val="24"/>
          <w:szCs w:val="24"/>
        </w:rPr>
        <w:t>7.8.2</w:t>
      </w:r>
      <w:r>
        <w:rPr>
          <w:rFonts w:ascii="宋体" w:hAnsi="宋体" w:cs="华文仿宋"/>
          <w:b/>
          <w:bCs/>
          <w:color w:val="auto"/>
          <w:sz w:val="24"/>
          <w:szCs w:val="24"/>
        </w:rPr>
        <w:t>暂时停工后监理人的决定</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在执行第</w:t>
      </w:r>
      <w:r>
        <w:rPr>
          <w:rFonts w:ascii="宋体" w:hAnsi="宋体" w:eastAsia="宋体" w:cs="华文仿宋"/>
          <w:color w:val="auto"/>
          <w:szCs w:val="21"/>
        </w:rPr>
        <w:t>7.8.1</w:t>
      </w:r>
      <w:r>
        <w:rPr>
          <w:rFonts w:ascii="宋体" w:hAnsi="宋体" w:cs="华文仿宋"/>
          <w:color w:val="auto"/>
          <w:szCs w:val="21"/>
        </w:rPr>
        <w:t>条的规定时，除该条</w:t>
      </w:r>
      <w:r>
        <w:rPr>
          <w:rFonts w:ascii="宋体" w:hAnsi="宋体" w:eastAsia="宋体" w:cs="华文仿宋"/>
          <w:color w:val="auto"/>
          <w:szCs w:val="21"/>
        </w:rPr>
        <w:t>(a)</w:t>
      </w: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所述情况外，监理人在与承包人协商并报经发包人批准后应确定：</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根据第</w:t>
      </w:r>
      <w:r>
        <w:rPr>
          <w:rFonts w:ascii="宋体" w:hAnsi="宋体" w:eastAsia="宋体" w:cs="华文仿宋"/>
          <w:color w:val="auto"/>
          <w:szCs w:val="21"/>
        </w:rPr>
        <w:t>7.6</w:t>
      </w:r>
      <w:r>
        <w:rPr>
          <w:rFonts w:ascii="宋体" w:hAnsi="宋体" w:cs="华文仿宋"/>
          <w:color w:val="auto"/>
          <w:szCs w:val="21"/>
        </w:rPr>
        <w:t>条规定承包人应得的延长工期；</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发包人不支付给承包人任何的额外增加费用。</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846" w:name="_Toc10473"/>
      <w:bookmarkStart w:id="2847" w:name="_Toc20291"/>
      <w:bookmarkStart w:id="2848" w:name="_Toc25347"/>
      <w:bookmarkStart w:id="2849" w:name="_Toc10800"/>
      <w:bookmarkStart w:id="2850" w:name="_Toc20140"/>
      <w:bookmarkStart w:id="2851" w:name="_Toc31731"/>
      <w:bookmarkStart w:id="2852" w:name="_Toc11468"/>
      <w:bookmarkStart w:id="2853" w:name="_Toc18708"/>
      <w:bookmarkStart w:id="2854" w:name="_Toc15226"/>
      <w:bookmarkStart w:id="2855" w:name="_Toc8456"/>
      <w:bookmarkStart w:id="2856" w:name="_Toc27971"/>
      <w:bookmarkStart w:id="2857" w:name="_Toc9271"/>
      <w:bookmarkStart w:id="2858" w:name="_Toc8409"/>
      <w:bookmarkStart w:id="2859" w:name="_Toc1623"/>
      <w:bookmarkStart w:id="2860" w:name="_Toc21816"/>
      <w:bookmarkStart w:id="2861" w:name="_Toc28835"/>
      <w:bookmarkStart w:id="2862" w:name="_Toc517530831"/>
      <w:bookmarkStart w:id="2863" w:name="_Toc517532107"/>
      <w:bookmarkStart w:id="2864" w:name="_Toc15392"/>
      <w:bookmarkStart w:id="2865" w:name="_Toc8175"/>
      <w:r>
        <w:rPr>
          <w:rFonts w:ascii="宋体" w:hAnsi="宋体" w:eastAsia="宋体" w:cs="华文仿宋"/>
          <w:b/>
          <w:bCs/>
          <w:color w:val="auto"/>
          <w:sz w:val="24"/>
          <w:szCs w:val="24"/>
        </w:rPr>
        <w:t>7.8.3</w:t>
      </w:r>
      <w:r>
        <w:rPr>
          <w:rFonts w:ascii="宋体" w:hAnsi="宋体" w:cs="华文仿宋"/>
          <w:b/>
          <w:bCs/>
          <w:color w:val="auto"/>
          <w:sz w:val="24"/>
          <w:szCs w:val="24"/>
        </w:rPr>
        <w:t>暂时停工持续</w:t>
      </w:r>
      <w:r>
        <w:rPr>
          <w:rFonts w:ascii="宋体" w:hAnsi="宋体" w:eastAsia="宋体" w:cs="华文仿宋"/>
          <w:b/>
          <w:bCs/>
          <w:color w:val="auto"/>
          <w:sz w:val="24"/>
          <w:szCs w:val="24"/>
        </w:rPr>
        <w:t>63</w:t>
      </w:r>
      <w:r>
        <w:rPr>
          <w:rFonts w:ascii="宋体" w:hAnsi="宋体" w:cs="华文仿宋"/>
          <w:b/>
          <w:bCs/>
          <w:color w:val="auto"/>
          <w:sz w:val="24"/>
          <w:szCs w:val="24"/>
        </w:rPr>
        <w:t>天以上</w:t>
      </w:r>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如果根据监理人的书面指令暂时停止了本合同工程或其部分工程的施工，并且在自暂时停工之日起</w:t>
      </w:r>
      <w:r>
        <w:rPr>
          <w:rFonts w:ascii="宋体" w:hAnsi="宋体" w:eastAsia="宋体" w:cs="华文仿宋"/>
          <w:color w:val="auto"/>
          <w:szCs w:val="21"/>
          <w:u w:val="single"/>
        </w:rPr>
        <w:t>63</w:t>
      </w:r>
      <w:r>
        <w:rPr>
          <w:rFonts w:ascii="宋体" w:hAnsi="宋体" w:cs="华文仿宋"/>
          <w:color w:val="auto"/>
          <w:szCs w:val="21"/>
        </w:rPr>
        <w:t>天的时间内，监理人仍未发出复工许可，如果该项暂时停工不属于第</w:t>
      </w:r>
      <w:r>
        <w:rPr>
          <w:rFonts w:ascii="宋体" w:hAnsi="宋体" w:eastAsia="宋体" w:cs="华文仿宋"/>
          <w:color w:val="auto"/>
          <w:szCs w:val="21"/>
        </w:rPr>
        <w:t>7.8.1</w:t>
      </w:r>
      <w:r>
        <w:rPr>
          <w:rFonts w:ascii="宋体" w:hAnsi="宋体" w:cs="华文仿宋"/>
          <w:color w:val="auto"/>
          <w:szCs w:val="21"/>
        </w:rPr>
        <w:t>条</w:t>
      </w:r>
      <w:r>
        <w:rPr>
          <w:rFonts w:ascii="宋体" w:hAnsi="宋体" w:eastAsia="宋体" w:cs="华文仿宋"/>
          <w:color w:val="auto"/>
          <w:szCs w:val="21"/>
        </w:rPr>
        <w:t>(a)</w:t>
      </w: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或</w:t>
      </w:r>
      <w:r>
        <w:rPr>
          <w:rFonts w:ascii="宋体" w:hAnsi="宋体" w:eastAsia="宋体" w:cs="华文仿宋"/>
          <w:color w:val="auto"/>
          <w:szCs w:val="21"/>
        </w:rPr>
        <w:t>(d)</w:t>
      </w:r>
      <w:r>
        <w:rPr>
          <w:rFonts w:ascii="宋体" w:hAnsi="宋体" w:cs="华文仿宋"/>
          <w:color w:val="auto"/>
          <w:szCs w:val="21"/>
        </w:rPr>
        <w:t>所述范围之内，则承包人可向监理人发出书面通知，要求自收到该通知后</w:t>
      </w:r>
      <w:r>
        <w:rPr>
          <w:rFonts w:ascii="宋体" w:hAnsi="宋体" w:eastAsia="宋体" w:cs="华文仿宋"/>
          <w:color w:val="auto"/>
          <w:szCs w:val="21"/>
          <w:u w:val="single"/>
        </w:rPr>
        <w:t>14</w:t>
      </w:r>
      <w:r>
        <w:rPr>
          <w:rFonts w:ascii="宋体" w:hAnsi="宋体" w:cs="华文仿宋"/>
          <w:color w:val="auto"/>
          <w:szCs w:val="21"/>
        </w:rPr>
        <w:t>天内准许暂停的该工程或其部分工程继续施工，如果在上述期限内未得到此项准许，则承包人可以（但非必须如此）作如下选择：当此项停工仅影响本工程的一部分时，则按照第</w:t>
      </w:r>
      <w:r>
        <w:rPr>
          <w:rFonts w:ascii="宋体" w:hAnsi="宋体" w:eastAsia="宋体" w:cs="华文仿宋"/>
          <w:color w:val="auto"/>
          <w:szCs w:val="21"/>
        </w:rPr>
        <w:t>10</w:t>
      </w:r>
      <w:r>
        <w:rPr>
          <w:rFonts w:ascii="宋体" w:hAnsi="宋体" w:cs="华文仿宋"/>
          <w:color w:val="auto"/>
          <w:szCs w:val="21"/>
        </w:rPr>
        <w:t>条规定将该部分工程从合同中取消，同时将此事通知监理人；或者，当此项停工影响整个合同工程时，则根据第</w:t>
      </w:r>
      <w:r>
        <w:rPr>
          <w:rFonts w:ascii="宋体" w:hAnsi="宋体" w:eastAsia="宋体" w:cs="华文仿宋"/>
          <w:color w:val="auto"/>
          <w:szCs w:val="21"/>
        </w:rPr>
        <w:t>16.1</w:t>
      </w:r>
      <w:r>
        <w:rPr>
          <w:rFonts w:ascii="宋体" w:hAnsi="宋体" w:cs="华文仿宋"/>
          <w:color w:val="auto"/>
          <w:szCs w:val="21"/>
        </w:rPr>
        <w:t>条的规定将此项停工视为发包人违约事件，并终止对本合同项下的承包，有关问题按第</w:t>
      </w:r>
      <w:r>
        <w:rPr>
          <w:rFonts w:ascii="宋体" w:hAnsi="宋体" w:eastAsia="宋体" w:cs="华文仿宋"/>
          <w:color w:val="auto"/>
          <w:szCs w:val="21"/>
        </w:rPr>
        <w:t>16</w:t>
      </w:r>
      <w:r>
        <w:rPr>
          <w:rFonts w:ascii="宋体" w:hAnsi="宋体" w:cs="华文仿宋"/>
          <w:color w:val="auto"/>
          <w:szCs w:val="21"/>
        </w:rPr>
        <w:t>条的各项规定办理。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866" w:name="_Toc21318"/>
      <w:bookmarkStart w:id="2867" w:name="_Toc29097"/>
      <w:bookmarkStart w:id="2868" w:name="_Toc26662"/>
      <w:bookmarkStart w:id="2869" w:name="_Toc26071"/>
      <w:bookmarkStart w:id="2870" w:name="_Toc517530832"/>
      <w:bookmarkStart w:id="2871" w:name="_Toc25016"/>
      <w:bookmarkStart w:id="2872" w:name="_Toc517532108"/>
      <w:bookmarkStart w:id="2873" w:name="_Toc3103"/>
      <w:bookmarkStart w:id="2874" w:name="_Toc32675"/>
      <w:bookmarkStart w:id="2875" w:name="_Toc517528691"/>
      <w:r>
        <w:rPr>
          <w:rFonts w:ascii="宋体" w:hAnsi="宋体" w:eastAsia="宋体" w:cs="华文仿宋"/>
          <w:b/>
          <w:bCs/>
          <w:color w:val="auto"/>
          <w:sz w:val="28"/>
          <w:szCs w:val="28"/>
        </w:rPr>
        <w:t>7.9</w:t>
      </w:r>
      <w:r>
        <w:rPr>
          <w:rFonts w:ascii="宋体" w:hAnsi="宋体" w:cs="华文仿宋"/>
          <w:b/>
          <w:bCs/>
          <w:color w:val="auto"/>
          <w:sz w:val="28"/>
          <w:szCs w:val="28"/>
        </w:rPr>
        <w:t>工程复工</w:t>
      </w:r>
      <w:bookmarkEnd w:id="2866"/>
      <w:bookmarkEnd w:id="2867"/>
      <w:bookmarkEnd w:id="2868"/>
      <w:bookmarkEnd w:id="2869"/>
      <w:bookmarkEnd w:id="2870"/>
      <w:bookmarkEnd w:id="2871"/>
      <w:bookmarkEnd w:id="2872"/>
      <w:bookmarkEnd w:id="2873"/>
      <w:bookmarkEnd w:id="2874"/>
      <w:bookmarkEnd w:id="287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承包人无故拖延和拒绝复工的，承包人承担由此增加的费用和（或）延误的工期。</w:t>
      </w:r>
      <w:bookmarkStart w:id="2876" w:name="_Toc296346578"/>
      <w:bookmarkEnd w:id="2876"/>
      <w:bookmarkStart w:id="2877" w:name="_Toc296503077"/>
      <w:bookmarkEnd w:id="2877"/>
      <w:bookmarkStart w:id="2878" w:name="_Toc337558775"/>
      <w:bookmarkEnd w:id="2878"/>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2879" w:name="_Toc351203552"/>
      <w:bookmarkStart w:id="2880" w:name="_Toc12994"/>
      <w:bookmarkStart w:id="2881" w:name="_Toc24646"/>
      <w:bookmarkStart w:id="2882" w:name="_Toc1562"/>
      <w:bookmarkStart w:id="2883" w:name="_Toc15020"/>
      <w:bookmarkStart w:id="2884" w:name="_Toc517528692"/>
      <w:bookmarkStart w:id="2885" w:name="_Toc7357"/>
      <w:bookmarkStart w:id="2886" w:name="_Toc22866"/>
      <w:bookmarkStart w:id="2887" w:name="_Toc31889"/>
      <w:bookmarkStart w:id="2888" w:name="_Toc18470"/>
      <w:bookmarkStart w:id="2889" w:name="_Toc517529741"/>
      <w:bookmarkStart w:id="2890" w:name="_Toc12627"/>
      <w:bookmarkStart w:id="2891" w:name="_Toc4439"/>
      <w:bookmarkStart w:id="2892" w:name="_Toc32115"/>
      <w:bookmarkStart w:id="2893" w:name="_Toc465237116"/>
      <w:bookmarkStart w:id="2894" w:name="_Toc465237214"/>
      <w:bookmarkStart w:id="2895" w:name="_Toc5684"/>
      <w:bookmarkStart w:id="2896" w:name="_Toc517532109"/>
      <w:bookmarkStart w:id="2897" w:name="_Toc517530833"/>
      <w:bookmarkStart w:id="2898" w:name="_Toc21366"/>
      <w:bookmarkStart w:id="2899" w:name="_Toc29290"/>
      <w:bookmarkStart w:id="2900" w:name="_Toc21913"/>
      <w:bookmarkStart w:id="2901" w:name="_Toc13885"/>
      <w:bookmarkStart w:id="2902" w:name="_Toc26340"/>
      <w:bookmarkStart w:id="2903" w:name="_Toc31957"/>
      <w:r>
        <w:rPr>
          <w:rFonts w:ascii="宋体" w:hAnsi="宋体" w:eastAsia="宋体" w:cs="华文仿宋"/>
          <w:b/>
          <w:bCs/>
          <w:color w:val="auto"/>
          <w:sz w:val="30"/>
          <w:szCs w:val="30"/>
        </w:rPr>
        <w:t>8.</w:t>
      </w:r>
      <w:bookmarkEnd w:id="2879"/>
      <w:r>
        <w:rPr>
          <w:rFonts w:ascii="宋体" w:hAnsi="宋体" w:eastAsia="宋体" w:cs="华文仿宋"/>
          <w:b/>
          <w:bCs/>
          <w:color w:val="auto"/>
          <w:sz w:val="30"/>
          <w:szCs w:val="30"/>
        </w:rPr>
        <w:t xml:space="preserve"> </w:t>
      </w:r>
      <w:r>
        <w:rPr>
          <w:rFonts w:ascii="宋体" w:hAnsi="宋体" w:cs="华文仿宋"/>
          <w:b/>
          <w:bCs/>
          <w:color w:val="auto"/>
          <w:sz w:val="30"/>
          <w:szCs w:val="30"/>
        </w:rPr>
        <w:t>材料与设备</w:t>
      </w:r>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Start w:id="2904" w:name="_Toc296503058"/>
      <w:bookmarkEnd w:id="2904"/>
      <w:bookmarkStart w:id="2905" w:name="_Toc296346559"/>
      <w:bookmarkEnd w:id="2905"/>
      <w:bookmarkStart w:id="2906" w:name="_Toc337558776"/>
      <w:bookmarkEnd w:id="2906"/>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2907" w:name="_Toc351203554"/>
      <w:bookmarkStart w:id="2908" w:name="_Toc2010"/>
      <w:bookmarkStart w:id="2909" w:name="_Toc28281"/>
      <w:bookmarkStart w:id="2910" w:name="_Toc30886"/>
      <w:bookmarkStart w:id="2911" w:name="_Toc30178"/>
      <w:bookmarkStart w:id="2912" w:name="_Toc14033"/>
      <w:bookmarkStart w:id="2913" w:name="_Toc517528693"/>
      <w:bookmarkStart w:id="2914" w:name="_Toc15516"/>
      <w:bookmarkStart w:id="2915" w:name="_Toc1996"/>
      <w:bookmarkStart w:id="2916" w:name="_Toc24224"/>
      <w:bookmarkStart w:id="2917" w:name="_Toc30213"/>
      <w:bookmarkStart w:id="2918" w:name="_Toc1531"/>
      <w:bookmarkStart w:id="2919" w:name="_Toc30085"/>
      <w:bookmarkStart w:id="2920" w:name="_Toc8650"/>
      <w:bookmarkStart w:id="2921" w:name="_Toc655"/>
      <w:bookmarkStart w:id="2922" w:name="_Toc517532110"/>
      <w:bookmarkStart w:id="2923" w:name="_Toc7445"/>
      <w:bookmarkStart w:id="2924" w:name="_Toc4845"/>
      <w:bookmarkStart w:id="2925" w:name="_Toc12958"/>
      <w:bookmarkStart w:id="2926" w:name="_Toc465237215"/>
      <w:bookmarkStart w:id="2927" w:name="_Toc26132"/>
      <w:bookmarkStart w:id="2928" w:name="_Toc465237117"/>
      <w:bookmarkStart w:id="2929" w:name="_Toc17331"/>
      <w:bookmarkStart w:id="2930" w:name="_Toc517530834"/>
      <w:r>
        <w:rPr>
          <w:rFonts w:ascii="宋体" w:hAnsi="宋体" w:eastAsia="宋体" w:cs="华文仿宋"/>
          <w:b/>
          <w:bCs/>
          <w:color w:val="auto"/>
          <w:sz w:val="28"/>
          <w:szCs w:val="28"/>
        </w:rPr>
        <w:t>8.1</w:t>
      </w:r>
      <w:r>
        <w:rPr>
          <w:rFonts w:ascii="宋体" w:hAnsi="宋体" w:cs="华文仿宋"/>
          <w:b/>
          <w:bCs/>
          <w:color w:val="auto"/>
          <w:sz w:val="28"/>
          <w:szCs w:val="28"/>
        </w:rPr>
        <w:t>承包人采购</w:t>
      </w:r>
      <w:bookmarkEnd w:id="2907"/>
      <w:r>
        <w:rPr>
          <w:rFonts w:ascii="宋体" w:hAnsi="宋体" w:cs="华文仿宋"/>
          <w:b/>
          <w:bCs/>
          <w:color w:val="auto"/>
          <w:sz w:val="28"/>
          <w:szCs w:val="28"/>
        </w:rPr>
        <w:t>或提供材料与工程设备</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931" w:name="_Toc6476"/>
      <w:bookmarkStart w:id="2932" w:name="_Toc2852"/>
      <w:bookmarkStart w:id="2933" w:name="_Toc20722"/>
      <w:bookmarkStart w:id="2934" w:name="_Toc15254"/>
      <w:bookmarkStart w:id="2935" w:name="_Toc4478"/>
      <w:bookmarkStart w:id="2936" w:name="_Toc517532111"/>
      <w:bookmarkStart w:id="2937" w:name="_Toc11974"/>
      <w:bookmarkStart w:id="2938" w:name="_Toc22073"/>
      <w:bookmarkStart w:id="2939" w:name="_Toc10192"/>
      <w:bookmarkStart w:id="2940" w:name="_Toc26402"/>
      <w:bookmarkStart w:id="2941" w:name="_Toc12359"/>
      <w:bookmarkStart w:id="2942" w:name="_Toc5096"/>
      <w:bookmarkStart w:id="2943" w:name="_Toc15442"/>
      <w:bookmarkStart w:id="2944" w:name="_Toc28861"/>
      <w:bookmarkStart w:id="2945" w:name="_Toc25917"/>
      <w:bookmarkStart w:id="2946" w:name="_Toc5417"/>
      <w:bookmarkStart w:id="2947" w:name="_Toc21613"/>
      <w:bookmarkStart w:id="2948" w:name="_Toc7454"/>
      <w:bookmarkStart w:id="2949" w:name="_Toc517530835"/>
      <w:bookmarkStart w:id="2950" w:name="_Toc5254"/>
      <w:r>
        <w:rPr>
          <w:rFonts w:ascii="宋体" w:hAnsi="宋体" w:eastAsia="宋体" w:cs="华文仿宋"/>
          <w:b/>
          <w:bCs/>
          <w:color w:val="auto"/>
          <w:sz w:val="24"/>
          <w:szCs w:val="24"/>
        </w:rPr>
        <w:t>8.1.1</w:t>
      </w:r>
      <w:r>
        <w:rPr>
          <w:rFonts w:ascii="宋体" w:hAnsi="宋体" w:cs="华文仿宋"/>
          <w:b/>
          <w:bCs/>
          <w:color w:val="auto"/>
          <w:sz w:val="24"/>
          <w:szCs w:val="24"/>
        </w:rPr>
        <w:t>材料与工程设备的提供和专用</w:t>
      </w:r>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p>
    <w:p>
      <w:pPr>
        <w:snapToGrid w:val="0"/>
        <w:spacing w:line="360" w:lineRule="auto"/>
        <w:ind w:firstLine="420"/>
        <w:rPr>
          <w:rFonts w:ascii="宋体" w:hAnsi="宋体" w:eastAsia="宋体" w:cs="华文仿宋"/>
          <w:color w:val="auto"/>
          <w:szCs w:val="21"/>
        </w:rPr>
      </w:pPr>
      <w:r>
        <w:rPr>
          <w:rFonts w:ascii="宋体" w:hAnsi="宋体" w:cs="华文仿宋"/>
          <w:color w:val="auto"/>
          <w:szCs w:val="21"/>
        </w:rPr>
        <w:t>合同约定由承包人负责采购材料、工程设备的，应按照设计和有关标准要求采购，并提供产品合格证明及出厂证明，对材料、工程设备质量负责。</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由承包人为本工程提供的一切承包人装备、临时工程和材料，一经运到现场，即视为供本合同工程施工专用。承包人除将上述物品在现场内转移外，若无监理人的同意，不得将上述物品或其中任何部分运出现场，但运输车辆进出现场可不需经监理人的同意。</w:t>
      </w:r>
      <w:bookmarkStart w:id="2951" w:name="_Toc296346561"/>
      <w:bookmarkEnd w:id="2951"/>
      <w:bookmarkStart w:id="2952" w:name="_Toc337558778"/>
      <w:bookmarkEnd w:id="2952"/>
      <w:bookmarkStart w:id="2953" w:name="_Toc296503060"/>
      <w:bookmarkEnd w:id="2953"/>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954" w:name="_Toc22889"/>
      <w:bookmarkStart w:id="2955" w:name="_Toc6194"/>
      <w:bookmarkStart w:id="2956" w:name="_Toc6925"/>
      <w:bookmarkStart w:id="2957" w:name="_Toc30946"/>
      <w:bookmarkStart w:id="2958" w:name="_Toc29034"/>
      <w:bookmarkStart w:id="2959" w:name="_Toc13644"/>
      <w:bookmarkStart w:id="2960" w:name="_Toc3783"/>
      <w:bookmarkStart w:id="2961" w:name="_Toc28826"/>
      <w:bookmarkStart w:id="2962" w:name="_Toc8058"/>
      <w:bookmarkStart w:id="2963" w:name="_Toc13618"/>
      <w:bookmarkStart w:id="2964" w:name="_Toc11042"/>
      <w:bookmarkStart w:id="2965" w:name="_Toc12117"/>
      <w:bookmarkStart w:id="2966" w:name="_Toc1177"/>
      <w:bookmarkStart w:id="2967" w:name="_Toc20139"/>
      <w:bookmarkStart w:id="2968" w:name="_Toc2335"/>
      <w:bookmarkStart w:id="2969" w:name="_Toc7251"/>
      <w:bookmarkStart w:id="2970" w:name="_Toc609"/>
      <w:bookmarkStart w:id="2971" w:name="_Toc517532112"/>
      <w:bookmarkStart w:id="2972" w:name="_Toc16899"/>
      <w:bookmarkStart w:id="2973" w:name="_Toc517530836"/>
      <w:r>
        <w:rPr>
          <w:rFonts w:ascii="宋体" w:hAnsi="宋体" w:eastAsia="宋体" w:cs="华文仿宋"/>
          <w:b/>
          <w:bCs/>
          <w:color w:val="auto"/>
          <w:sz w:val="24"/>
          <w:szCs w:val="24"/>
        </w:rPr>
        <w:t>8.1.2</w:t>
      </w:r>
      <w:r>
        <w:rPr>
          <w:rFonts w:ascii="宋体" w:hAnsi="宋体" w:cs="华文仿宋"/>
          <w:b/>
          <w:bCs/>
          <w:color w:val="auto"/>
          <w:sz w:val="24"/>
          <w:szCs w:val="24"/>
        </w:rPr>
        <w:t>材料、设备的品牌</w:t>
      </w:r>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p>
    <w:p>
      <w:pPr>
        <w:snapToGrid w:val="0"/>
        <w:spacing w:line="360" w:lineRule="auto"/>
        <w:ind w:firstLine="723"/>
        <w:jc w:val="left"/>
        <w:rPr>
          <w:rFonts w:ascii="宋体" w:hAnsi="宋体" w:eastAsia="宋体" w:cs="华文仿宋"/>
          <w:b/>
          <w:bCs/>
          <w:color w:val="auto"/>
          <w:szCs w:val="21"/>
        </w:rPr>
      </w:pPr>
      <w:r>
        <w:rPr>
          <w:rFonts w:ascii="宋体" w:hAnsi="宋体" w:eastAsia="宋体" w:cs="华文仿宋"/>
          <w:b/>
          <w:bCs/>
          <w:color w:val="auto"/>
          <w:szCs w:val="21"/>
        </w:rPr>
        <w:t>(1)</w:t>
      </w:r>
      <w:r>
        <w:rPr>
          <w:rFonts w:ascii="宋体" w:hAnsi="宋体" w:cs="华文仿宋"/>
          <w:b/>
          <w:bCs/>
          <w:color w:val="auto"/>
          <w:szCs w:val="21"/>
        </w:rPr>
        <w:t>材料、设备的品牌的更换原则</w:t>
      </w:r>
    </w:p>
    <w:p>
      <w:pPr>
        <w:snapToGrid w:val="0"/>
        <w:spacing w:line="360" w:lineRule="auto"/>
        <w:ind w:left="315" w:firstLine="420"/>
        <w:jc w:val="left"/>
        <w:rPr>
          <w:rFonts w:ascii="宋体" w:hAnsi="宋体" w:eastAsia="宋体" w:cs="华文仿宋"/>
          <w:color w:val="auto"/>
          <w:szCs w:val="21"/>
        </w:rPr>
      </w:pPr>
      <w:r>
        <w:rPr>
          <w:rFonts w:ascii="宋体" w:hAnsi="宋体" w:cs="华文仿宋"/>
          <w:color w:val="auto"/>
          <w:szCs w:val="21"/>
        </w:rPr>
        <w:t>发包人在招标文件中给定了材料、设备参考品牌的，承包人应选用给定的参考品牌。品牌选用及更换原则如下：</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）无论承包人在投标时是否选定唯一品牌，可以更换为招标文件列明参考品牌中同一品种、同一档次的其他品牌；</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）某种材料设备在项目招标阶段尚未建立品牌库，而在项目实施阶段已建立品牌库的，承包人自愿将拟用品牌更换为品牌库内品牌的，发包人予以支持；</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）如果承包人提出申请使用未入库但优于中标品牌的其他品牌，经发包人同意后可以更换品牌，但发包人定期集中审核时未入库的品牌不得使用；</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）更换品牌扣减费用为原品牌招标控制价扣除招标项目净下浮率后与新品牌市场价之差；</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e</w:t>
      </w:r>
      <w:r>
        <w:rPr>
          <w:rFonts w:ascii="宋体" w:hAnsi="宋体" w:cs="华文仿宋"/>
          <w:color w:val="auto"/>
          <w:szCs w:val="21"/>
        </w:rPr>
        <w:t>）本项目招标之后发包人发布的新版材料设备品牌库，同档次品牌与本项目招标文件所列参考品牌具有同等效力。</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被清除出我署材料设备参考品牌库或暂停使用的品牌，对已签署购销合同的，根据以下三种情况分别处理：</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）若产品还未到施工现场，应立即停止供货，不得使用；</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）若产品已到施工现场，但尚未使用，由发包人进行现场抽检，检测结果合格后，方可投入使用；检测结果不合格，则全部清退出场；</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）若产品已使用，由发包人根据具体情况加强抽检。若检测结果不合格，必须采取拆除等措施处理。</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被我署列入材料设备黑名单的产品处理方式如下：</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）该材料设备品牌自列入之日起三年内，在工务署工程项目中不得使用；</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）若产品已到施工现场，尚未使用，须在发包人和监理单位见证下全部清退出场；</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）若产品已使用，由发包人根据具体情况加强抽检。若检测结果不合格，必须采取拆除等措施处理。</w:t>
      </w:r>
    </w:p>
    <w:p>
      <w:pPr>
        <w:snapToGrid w:val="0"/>
        <w:spacing w:line="360" w:lineRule="auto"/>
        <w:ind w:firstLine="422"/>
        <w:jc w:val="left"/>
        <w:rPr>
          <w:rFonts w:ascii="宋体" w:hAnsi="宋体" w:eastAsia="宋体" w:cs="华文仿宋"/>
          <w:b/>
          <w:bCs/>
          <w:color w:val="auto"/>
          <w:szCs w:val="21"/>
        </w:rPr>
      </w:pPr>
      <w:r>
        <w:rPr>
          <w:rFonts w:ascii="宋体" w:hAnsi="宋体" w:eastAsia="宋体" w:cs="华文仿宋"/>
          <w:b/>
          <w:bCs/>
          <w:color w:val="auto"/>
          <w:szCs w:val="21"/>
        </w:rPr>
        <w:t>(2)</w:t>
      </w:r>
      <w:r>
        <w:rPr>
          <w:rFonts w:ascii="宋体" w:hAnsi="宋体" w:cs="华文仿宋"/>
          <w:b/>
          <w:bCs/>
          <w:color w:val="auto"/>
          <w:szCs w:val="21"/>
        </w:rPr>
        <w:t>采购程序</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承包人选定实施品牌签订采购合同后，须在</w:t>
      </w:r>
      <w:r>
        <w:rPr>
          <w:rFonts w:ascii="宋体" w:hAnsi="宋体" w:eastAsia="宋体" w:cs="华文仿宋"/>
          <w:color w:val="auto"/>
          <w:szCs w:val="21"/>
        </w:rPr>
        <w:t>3</w:t>
      </w:r>
      <w:r>
        <w:rPr>
          <w:rFonts w:ascii="宋体" w:hAnsi="宋体" w:cs="华文仿宋"/>
          <w:color w:val="auto"/>
          <w:szCs w:val="21"/>
        </w:rPr>
        <w:t>天内将采购合同报送发包人备案，发包人将与该品牌生产厂家联系，要求该厂家向发包人核对材料设备的采购数量、技术参数是否与招标文件要求相符，生产厂家发货时将向发包人报送发货单，必要时协助发包人验收材料设备。</w:t>
      </w:r>
    </w:p>
    <w:p>
      <w:pPr>
        <w:snapToGrid w:val="0"/>
        <w:spacing w:line="360" w:lineRule="auto"/>
        <w:ind w:firstLine="422"/>
        <w:jc w:val="left"/>
        <w:rPr>
          <w:rFonts w:ascii="宋体" w:hAnsi="宋体" w:eastAsia="宋体" w:cs="华文仿宋"/>
          <w:b/>
          <w:bCs/>
          <w:color w:val="auto"/>
          <w:szCs w:val="21"/>
        </w:rPr>
      </w:pPr>
      <w:r>
        <w:rPr>
          <w:rFonts w:ascii="宋体" w:hAnsi="宋体" w:eastAsia="宋体" w:cs="华文仿宋"/>
          <w:b/>
          <w:bCs/>
          <w:color w:val="auto"/>
          <w:szCs w:val="21"/>
        </w:rPr>
        <w:t>(3)</w:t>
      </w:r>
      <w:r>
        <w:rPr>
          <w:rFonts w:ascii="宋体" w:hAnsi="宋体" w:cs="华文仿宋"/>
          <w:b/>
          <w:bCs/>
          <w:color w:val="auto"/>
          <w:szCs w:val="21"/>
        </w:rPr>
        <w:t>材料采购注意事项</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承包人采购参考品牌材料设备注意事项：</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）承包人不得与材料设备供应商签订阴阳合同；</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）承包人不得要求供应商供货定制不符合招标文件要求的材料设备；</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）承包人不得以投标报价偏低为由，要求材料设备供应商低于正常的市场价格供货；</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）承包人采购相关人员不得收受材料设备供应商的回扣、“红包”、有价证券等财物，或向材料设备供应商报销应由个人支付的费用，不得参与商业贿赂行为；</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e</w:t>
      </w:r>
      <w:r>
        <w:rPr>
          <w:rFonts w:ascii="宋体" w:hAnsi="宋体" w:cs="华文仿宋"/>
          <w:color w:val="auto"/>
          <w:szCs w:val="21"/>
        </w:rPr>
        <w:t>）承包人不得以各种理由拖延时间采购参考品牌的材料设备，因承包人原因未及时采购材料设备导致工期延误的，不得要求发包人批准更换品牌。对此，发包人保留对承包人工期索赔的权利。</w:t>
      </w:r>
    </w:p>
    <w:p>
      <w:pPr>
        <w:snapToGrid w:val="0"/>
        <w:spacing w:line="360" w:lineRule="auto"/>
        <w:ind w:firstLine="422"/>
        <w:jc w:val="left"/>
        <w:rPr>
          <w:rFonts w:ascii="宋体" w:hAnsi="宋体" w:eastAsia="宋体" w:cs="华文仿宋"/>
          <w:b/>
          <w:bCs/>
          <w:color w:val="auto"/>
          <w:szCs w:val="21"/>
        </w:rPr>
      </w:pPr>
      <w:r>
        <w:rPr>
          <w:rFonts w:ascii="宋体" w:hAnsi="宋体" w:cs="华文仿宋"/>
          <w:b/>
          <w:bCs/>
          <w:color w:val="auto"/>
          <w:szCs w:val="21"/>
        </w:rPr>
        <w:t xml:space="preserve"> </w:t>
      </w:r>
      <w:r>
        <w:rPr>
          <w:rFonts w:ascii="宋体" w:hAnsi="宋体" w:eastAsia="宋体" w:cs="华文仿宋"/>
          <w:b/>
          <w:bCs/>
          <w:color w:val="auto"/>
          <w:szCs w:val="21"/>
        </w:rPr>
        <w:t xml:space="preserve">(4) </w:t>
      </w:r>
      <w:r>
        <w:rPr>
          <w:rFonts w:ascii="宋体" w:hAnsi="宋体" w:cs="华文仿宋"/>
          <w:b/>
          <w:bCs/>
          <w:color w:val="auto"/>
          <w:szCs w:val="21"/>
        </w:rPr>
        <w:t>处罚</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如承包人不按招标文件要求采购材料设备，对工程质量、进度造成不良影响的，发包人将根据情节轻重记录其不良行为，直至处于停标的处罚。</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974" w:name="_Toc13965"/>
      <w:bookmarkStart w:id="2975" w:name="_Toc15646"/>
      <w:bookmarkStart w:id="2976" w:name="_Toc17312"/>
      <w:bookmarkStart w:id="2977" w:name="_Toc14097"/>
      <w:bookmarkStart w:id="2978" w:name="_Toc7342"/>
      <w:bookmarkStart w:id="2979" w:name="_Toc13525"/>
      <w:bookmarkStart w:id="2980" w:name="_Toc24305"/>
      <w:bookmarkStart w:id="2981" w:name="_Toc26128"/>
      <w:bookmarkStart w:id="2982" w:name="_Toc30223"/>
      <w:bookmarkStart w:id="2983" w:name="_Toc32515"/>
      <w:bookmarkStart w:id="2984" w:name="_Toc25952"/>
      <w:bookmarkStart w:id="2985" w:name="_Toc8095"/>
      <w:bookmarkStart w:id="2986" w:name="_Toc17504"/>
      <w:bookmarkStart w:id="2987" w:name="_Toc17175"/>
      <w:bookmarkStart w:id="2988" w:name="_Toc18902"/>
      <w:bookmarkStart w:id="2989" w:name="_Toc517532113"/>
      <w:bookmarkStart w:id="2990" w:name="_Toc13325"/>
      <w:bookmarkStart w:id="2991" w:name="_Toc517530837"/>
      <w:bookmarkStart w:id="2992" w:name="_Toc13133"/>
      <w:bookmarkStart w:id="2993" w:name="_Toc250"/>
      <w:r>
        <w:rPr>
          <w:rFonts w:ascii="宋体" w:hAnsi="宋体" w:eastAsia="宋体" w:cs="华文仿宋"/>
          <w:b/>
          <w:bCs/>
          <w:color w:val="auto"/>
          <w:sz w:val="24"/>
          <w:szCs w:val="24"/>
        </w:rPr>
        <w:t>8.1.3</w:t>
      </w:r>
      <w:r>
        <w:rPr>
          <w:rFonts w:ascii="宋体" w:hAnsi="宋体" w:cs="华文仿宋"/>
          <w:b/>
          <w:bCs/>
          <w:color w:val="auto"/>
          <w:sz w:val="24"/>
          <w:szCs w:val="24"/>
        </w:rPr>
        <w:t>混凝土使用</w:t>
      </w:r>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本项目混凝土工程要求必须采用商品混凝土浇筑，零星工程混凝土如果采用现场拌制，必须事先征得监理人的批准。</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承包人应按建设行政主管部门有关建筑废弃物、预拌混凝土和预拌砂浆等相关管理规定，使用预拌混凝土和预拌砂浆。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2994" w:name="_Toc5053"/>
      <w:bookmarkStart w:id="2995" w:name="_Toc16897"/>
      <w:bookmarkStart w:id="2996" w:name="_Toc27894"/>
      <w:bookmarkStart w:id="2997" w:name="_Toc15653"/>
      <w:bookmarkStart w:id="2998" w:name="_Toc517532114"/>
      <w:bookmarkStart w:id="2999" w:name="_Toc26102"/>
      <w:bookmarkStart w:id="3000" w:name="_Toc32181"/>
      <w:bookmarkStart w:id="3001" w:name="_Toc8568"/>
      <w:bookmarkStart w:id="3002" w:name="_Toc4784"/>
      <w:bookmarkStart w:id="3003" w:name="_Toc517530838"/>
      <w:bookmarkStart w:id="3004" w:name="_Toc18505"/>
      <w:bookmarkStart w:id="3005" w:name="_Toc289"/>
      <w:bookmarkStart w:id="3006" w:name="_Toc27392"/>
      <w:bookmarkStart w:id="3007" w:name="_Toc30155"/>
      <w:bookmarkStart w:id="3008" w:name="_Toc867"/>
      <w:bookmarkStart w:id="3009" w:name="_Toc2153"/>
      <w:bookmarkStart w:id="3010" w:name="_Toc29530"/>
      <w:bookmarkStart w:id="3011" w:name="_Toc18219"/>
      <w:bookmarkStart w:id="3012" w:name="_Toc29378"/>
      <w:bookmarkStart w:id="3013" w:name="_Toc5012"/>
      <w:r>
        <w:rPr>
          <w:rFonts w:ascii="宋体" w:hAnsi="宋体" w:eastAsia="宋体" w:cs="华文仿宋"/>
          <w:b/>
          <w:bCs/>
          <w:color w:val="auto"/>
          <w:sz w:val="24"/>
          <w:szCs w:val="24"/>
        </w:rPr>
        <w:t>8.1.4</w:t>
      </w:r>
      <w:r>
        <w:rPr>
          <w:rFonts w:ascii="宋体" w:hAnsi="宋体" w:cs="华文仿宋"/>
          <w:b/>
          <w:bCs/>
          <w:color w:val="auto"/>
          <w:sz w:val="24"/>
          <w:szCs w:val="24"/>
        </w:rPr>
        <w:t>材料的批准</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履行第</w:t>
      </w:r>
      <w:r>
        <w:rPr>
          <w:rFonts w:ascii="宋体" w:hAnsi="宋体" w:eastAsia="宋体" w:cs="华文仿宋"/>
          <w:color w:val="auto"/>
          <w:szCs w:val="21"/>
        </w:rPr>
        <w:t>8.1</w:t>
      </w:r>
      <w:r>
        <w:rPr>
          <w:rFonts w:ascii="宋体" w:hAnsi="宋体" w:cs="华文仿宋"/>
          <w:color w:val="auto"/>
          <w:szCs w:val="21"/>
        </w:rPr>
        <w:t>条的约定，并不意味着监理人对其中所涉及的进场材料或其他物品的批准，监理人有权拒绝使用任何上述材料。</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14" w:name="_Toc17786"/>
      <w:bookmarkStart w:id="3015" w:name="_Toc22669"/>
      <w:bookmarkStart w:id="3016" w:name="_Toc13617"/>
      <w:bookmarkStart w:id="3017" w:name="_Toc21470"/>
      <w:bookmarkStart w:id="3018" w:name="_Toc517532115"/>
      <w:bookmarkStart w:id="3019" w:name="_Toc25979"/>
      <w:bookmarkStart w:id="3020" w:name="_Toc17589"/>
      <w:bookmarkStart w:id="3021" w:name="_Toc517530839"/>
      <w:bookmarkStart w:id="3022" w:name="_Toc2633"/>
      <w:bookmarkStart w:id="3023" w:name="_Toc12237"/>
      <w:bookmarkStart w:id="3024" w:name="_Toc20838"/>
      <w:bookmarkStart w:id="3025" w:name="_Toc25811"/>
      <w:bookmarkStart w:id="3026" w:name="_Toc2810"/>
      <w:bookmarkStart w:id="3027" w:name="_Toc1812"/>
      <w:bookmarkStart w:id="3028" w:name="_Toc17687"/>
      <w:bookmarkStart w:id="3029" w:name="_Toc25521"/>
      <w:bookmarkStart w:id="3030" w:name="_Toc2833"/>
      <w:bookmarkStart w:id="3031" w:name="_Toc6732"/>
      <w:bookmarkStart w:id="3032" w:name="_Toc670"/>
      <w:bookmarkStart w:id="3033" w:name="_Toc4795"/>
      <w:r>
        <w:rPr>
          <w:rFonts w:ascii="宋体" w:hAnsi="宋体" w:eastAsia="宋体" w:cs="华文仿宋"/>
          <w:b/>
          <w:bCs/>
          <w:color w:val="auto"/>
          <w:sz w:val="24"/>
          <w:szCs w:val="24"/>
        </w:rPr>
        <w:t>8.1.5</w:t>
      </w:r>
      <w:r>
        <w:rPr>
          <w:rFonts w:ascii="宋体" w:hAnsi="宋体" w:cs="华文仿宋"/>
          <w:b/>
          <w:bCs/>
          <w:color w:val="auto"/>
          <w:sz w:val="24"/>
          <w:szCs w:val="24"/>
        </w:rPr>
        <w:t>为发包人提供交通设施服务</w:t>
      </w:r>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为解决发包人管理人员前往工程现场的交通问题，由承包人提供机动车辆供发包人使用，承包人应在合同签订之日起</w:t>
      </w:r>
      <w:r>
        <w:rPr>
          <w:rFonts w:ascii="宋体" w:hAnsi="宋体" w:eastAsia="宋体" w:cs="华文仿宋"/>
          <w:color w:val="auto"/>
          <w:szCs w:val="21"/>
        </w:rPr>
        <w:t>15</w:t>
      </w:r>
      <w:r>
        <w:rPr>
          <w:rFonts w:ascii="宋体" w:hAnsi="宋体" w:cs="华文仿宋"/>
          <w:color w:val="auto"/>
          <w:szCs w:val="21"/>
        </w:rPr>
        <w:t>天内按照专用条款的有关约定将车辆交发包人。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34" w:name="_Toc26350"/>
      <w:bookmarkStart w:id="3035" w:name="_Toc7195"/>
      <w:bookmarkStart w:id="3036" w:name="_Toc22753"/>
      <w:bookmarkStart w:id="3037" w:name="_Toc17681"/>
      <w:bookmarkStart w:id="3038" w:name="_Toc13492"/>
      <w:bookmarkStart w:id="3039" w:name="_Toc517530840"/>
      <w:bookmarkStart w:id="3040" w:name="_Toc16169"/>
      <w:bookmarkStart w:id="3041" w:name="_Toc19290"/>
      <w:bookmarkStart w:id="3042" w:name="_Toc28974"/>
      <w:bookmarkStart w:id="3043" w:name="_Toc16912"/>
      <w:bookmarkStart w:id="3044" w:name="_Toc6641"/>
      <w:bookmarkStart w:id="3045" w:name="_Toc22537"/>
      <w:bookmarkStart w:id="3046" w:name="_Toc745"/>
      <w:bookmarkStart w:id="3047" w:name="_Toc27547"/>
      <w:bookmarkStart w:id="3048" w:name="_Toc763"/>
      <w:bookmarkStart w:id="3049" w:name="_Toc22970"/>
      <w:bookmarkStart w:id="3050" w:name="_Toc16325"/>
      <w:bookmarkStart w:id="3051" w:name="_Toc6531"/>
      <w:bookmarkStart w:id="3052" w:name="_Toc29126"/>
      <w:bookmarkStart w:id="3053" w:name="_Toc517532116"/>
      <w:r>
        <w:rPr>
          <w:rFonts w:ascii="宋体" w:hAnsi="宋体" w:eastAsia="宋体" w:cs="华文仿宋"/>
          <w:b/>
          <w:bCs/>
          <w:color w:val="auto"/>
          <w:sz w:val="24"/>
          <w:szCs w:val="24"/>
        </w:rPr>
        <w:t>8.1.6</w:t>
      </w:r>
      <w:r>
        <w:rPr>
          <w:rFonts w:ascii="宋体" w:hAnsi="宋体" w:cs="华文仿宋"/>
          <w:b/>
          <w:bCs/>
          <w:color w:val="auto"/>
          <w:sz w:val="24"/>
          <w:szCs w:val="24"/>
        </w:rPr>
        <w:t>发包人的免责</w:t>
      </w:r>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除第</w:t>
      </w:r>
      <w:r>
        <w:rPr>
          <w:rFonts w:ascii="宋体" w:hAnsi="宋体" w:eastAsia="宋体" w:cs="华文仿宋"/>
          <w:color w:val="auto"/>
          <w:szCs w:val="21"/>
        </w:rPr>
        <w:t>8.2</w:t>
      </w:r>
      <w:r>
        <w:rPr>
          <w:rFonts w:ascii="宋体" w:hAnsi="宋体" w:cs="华文仿宋"/>
          <w:color w:val="auto"/>
          <w:szCs w:val="21"/>
        </w:rPr>
        <w:t>条和第</w:t>
      </w:r>
      <w:r>
        <w:rPr>
          <w:rFonts w:ascii="宋体" w:hAnsi="宋体" w:eastAsia="宋体" w:cs="华文仿宋"/>
          <w:color w:val="auto"/>
          <w:szCs w:val="21"/>
        </w:rPr>
        <w:t>17</w:t>
      </w:r>
      <w:r>
        <w:rPr>
          <w:rFonts w:ascii="宋体" w:hAnsi="宋体" w:cs="华文仿宋"/>
          <w:color w:val="auto"/>
          <w:szCs w:val="21"/>
        </w:rPr>
        <w:t>条提到的外，发包人无论何时均不对上述承包人装备、临时工程或材料的损失或损坏承担责任。</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54" w:name="_Toc22318"/>
      <w:bookmarkStart w:id="3055" w:name="_Toc4228"/>
      <w:bookmarkStart w:id="3056" w:name="_Toc20627"/>
      <w:bookmarkStart w:id="3057" w:name="_Toc25345"/>
      <w:bookmarkStart w:id="3058" w:name="_Toc30532"/>
      <w:bookmarkStart w:id="3059" w:name="_Toc11327"/>
      <w:bookmarkStart w:id="3060" w:name="_Toc13984"/>
      <w:bookmarkStart w:id="3061" w:name="_Toc16769"/>
      <w:bookmarkStart w:id="3062" w:name="_Toc16223"/>
      <w:bookmarkStart w:id="3063" w:name="_Toc582"/>
      <w:bookmarkStart w:id="3064" w:name="_Toc21126"/>
      <w:bookmarkStart w:id="3065" w:name="_Toc517530841"/>
      <w:bookmarkStart w:id="3066" w:name="_Toc27710"/>
      <w:bookmarkStart w:id="3067" w:name="_Toc517532117"/>
      <w:bookmarkStart w:id="3068" w:name="_Toc20263"/>
      <w:bookmarkStart w:id="3069" w:name="_Toc12472"/>
      <w:bookmarkStart w:id="3070" w:name="_Toc6122"/>
      <w:bookmarkStart w:id="3071" w:name="_Toc20874"/>
      <w:bookmarkStart w:id="3072" w:name="_Toc7020"/>
      <w:bookmarkStart w:id="3073" w:name="_Toc8520"/>
      <w:r>
        <w:rPr>
          <w:rFonts w:ascii="宋体" w:hAnsi="宋体" w:eastAsia="宋体" w:cs="华文仿宋"/>
          <w:b/>
          <w:bCs/>
          <w:color w:val="auto"/>
          <w:sz w:val="24"/>
          <w:szCs w:val="24"/>
        </w:rPr>
        <w:t>8.1.7</w:t>
      </w:r>
      <w:r>
        <w:rPr>
          <w:rFonts w:ascii="宋体" w:hAnsi="宋体" w:cs="华文仿宋"/>
          <w:b/>
          <w:bCs/>
          <w:color w:val="auto"/>
          <w:sz w:val="24"/>
          <w:szCs w:val="24"/>
        </w:rPr>
        <w:t>承包人装备的继续租用</w:t>
      </w:r>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在根据第</w:t>
      </w:r>
      <w:r>
        <w:rPr>
          <w:rFonts w:ascii="宋体" w:hAnsi="宋体" w:eastAsia="宋体" w:cs="华文仿宋"/>
          <w:color w:val="auto"/>
          <w:szCs w:val="21"/>
        </w:rPr>
        <w:t>16.2</w:t>
      </w:r>
      <w:r>
        <w:rPr>
          <w:rFonts w:ascii="宋体" w:hAnsi="宋体" w:cs="华文仿宋"/>
          <w:color w:val="auto"/>
          <w:szCs w:val="21"/>
        </w:rPr>
        <w:t>条规定终止合同时，为了保证本工程施工的目的，发包人或其邀请实施本合同工程的其他承包人仍可继续使用承包人已租用的任何装备，其租用条件在各方面都应与租给承包人的条件相同。承包人应在设备租赁合同中明确约定租赁权可转让，以保障前述约定的实现。</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74" w:name="_Toc29359"/>
      <w:bookmarkStart w:id="3075" w:name="_Toc28069"/>
      <w:bookmarkStart w:id="3076" w:name="_Toc21296"/>
      <w:bookmarkStart w:id="3077" w:name="_Toc19955"/>
      <w:bookmarkStart w:id="3078" w:name="_Toc18098"/>
      <w:bookmarkStart w:id="3079" w:name="_Toc11051"/>
      <w:bookmarkStart w:id="3080" w:name="_Toc8245"/>
      <w:bookmarkStart w:id="3081" w:name="_Toc4310"/>
      <w:bookmarkStart w:id="3082" w:name="_Toc23503"/>
      <w:bookmarkStart w:id="3083" w:name="_Toc18874"/>
      <w:bookmarkStart w:id="3084" w:name="_Toc8072"/>
      <w:bookmarkStart w:id="3085" w:name="_Toc24218"/>
      <w:bookmarkStart w:id="3086" w:name="_Toc31088"/>
      <w:bookmarkStart w:id="3087" w:name="_Toc27263"/>
      <w:bookmarkStart w:id="3088" w:name="_Toc3402"/>
      <w:bookmarkStart w:id="3089" w:name="_Toc22179"/>
      <w:bookmarkStart w:id="3090" w:name="_Toc517530842"/>
      <w:bookmarkStart w:id="3091" w:name="_Toc517532118"/>
      <w:bookmarkStart w:id="3092" w:name="_Toc22610"/>
      <w:bookmarkStart w:id="3093" w:name="_Toc19933"/>
      <w:r>
        <w:rPr>
          <w:rFonts w:ascii="宋体" w:hAnsi="宋体" w:eastAsia="宋体" w:cs="华文仿宋"/>
          <w:b/>
          <w:bCs/>
          <w:color w:val="auto"/>
          <w:sz w:val="24"/>
          <w:szCs w:val="24"/>
        </w:rPr>
        <w:t>8.1.8</w:t>
      </w:r>
      <w:r>
        <w:rPr>
          <w:rFonts w:ascii="宋体" w:hAnsi="宋体" w:cs="华文仿宋"/>
          <w:b/>
          <w:bCs/>
          <w:color w:val="auto"/>
          <w:sz w:val="24"/>
          <w:szCs w:val="24"/>
        </w:rPr>
        <w:t>列入分包合同</w:t>
      </w:r>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承包人在签订本合同工程分包合同时，应将本条中有关分包人的装备、临时工程或材料运入现场的各项规定写入分包合同中。</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094" w:name="_Toc27713"/>
      <w:bookmarkStart w:id="3095" w:name="_Toc32616"/>
      <w:bookmarkStart w:id="3096" w:name="_Toc11158"/>
      <w:bookmarkStart w:id="3097" w:name="_Toc2717"/>
      <w:bookmarkStart w:id="3098" w:name="_Toc613"/>
      <w:bookmarkStart w:id="3099" w:name="_Toc25856"/>
      <w:bookmarkStart w:id="3100" w:name="_Toc31137"/>
      <w:bookmarkStart w:id="3101" w:name="_Toc32564"/>
      <w:bookmarkStart w:id="3102" w:name="_Toc18798"/>
      <w:bookmarkStart w:id="3103" w:name="_Toc3690"/>
      <w:bookmarkStart w:id="3104" w:name="_Toc11003"/>
      <w:bookmarkStart w:id="3105" w:name="_Toc3054"/>
      <w:bookmarkStart w:id="3106" w:name="_Toc20283"/>
      <w:bookmarkStart w:id="3107" w:name="_Toc3658"/>
      <w:bookmarkStart w:id="3108" w:name="_Toc23054"/>
      <w:bookmarkStart w:id="3109" w:name="_Toc517530843"/>
      <w:bookmarkStart w:id="3110" w:name="_Toc517532119"/>
      <w:bookmarkStart w:id="3111" w:name="_Toc29778"/>
      <w:bookmarkStart w:id="3112" w:name="_Toc24019"/>
      <w:bookmarkStart w:id="3113" w:name="_Toc26843"/>
      <w:r>
        <w:rPr>
          <w:rFonts w:ascii="宋体" w:hAnsi="宋体" w:eastAsia="宋体" w:cs="华文仿宋"/>
          <w:b/>
          <w:bCs/>
          <w:color w:val="auto"/>
          <w:sz w:val="24"/>
          <w:szCs w:val="24"/>
        </w:rPr>
        <w:t>8.1.9</w:t>
      </w:r>
      <w:r>
        <w:rPr>
          <w:rFonts w:ascii="宋体" w:hAnsi="宋体" w:cs="华文仿宋"/>
          <w:b/>
          <w:bCs/>
          <w:color w:val="auto"/>
          <w:sz w:val="24"/>
          <w:szCs w:val="24"/>
        </w:rPr>
        <w:t>料场使用费</w:t>
      </w:r>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另有规定外，承包人应承担并支付为获得本合同工程所需的石料、砂、砾石、粘土或其他当地材料等所发生的吨位费和其他料场使用费、租金及其他支付或补偿。发包人应协助承包人办理料场租用手续及解决使用过程中的有关问题。</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114" w:name="_Toc465237216"/>
      <w:bookmarkStart w:id="3115" w:name="_Toc13076"/>
      <w:bookmarkStart w:id="3116" w:name="_Toc12601"/>
      <w:bookmarkStart w:id="3117" w:name="_Toc23383"/>
      <w:bookmarkStart w:id="3118" w:name="_Toc30863"/>
      <w:bookmarkStart w:id="3119" w:name="_Toc13318"/>
      <w:bookmarkStart w:id="3120" w:name="_Toc14515"/>
      <w:bookmarkStart w:id="3121" w:name="_Toc22169"/>
      <w:bookmarkStart w:id="3122" w:name="_Toc21412"/>
      <w:bookmarkStart w:id="3123" w:name="_Toc17637"/>
      <w:bookmarkStart w:id="3124" w:name="_Toc707"/>
      <w:bookmarkStart w:id="3125" w:name="_Toc465237118"/>
      <w:bookmarkStart w:id="3126" w:name="_Toc1682"/>
      <w:bookmarkStart w:id="3127" w:name="_Toc24075"/>
      <w:bookmarkStart w:id="3128" w:name="_Toc9287"/>
      <w:bookmarkStart w:id="3129" w:name="_Toc517532120"/>
      <w:bookmarkStart w:id="3130" w:name="_Toc17210"/>
      <w:bookmarkStart w:id="3131" w:name="_Toc517530844"/>
      <w:bookmarkStart w:id="3132" w:name="_Toc26527"/>
      <w:bookmarkStart w:id="3133" w:name="_Toc27185"/>
      <w:bookmarkStart w:id="3134" w:name="_Toc19748"/>
      <w:bookmarkStart w:id="3135" w:name="_Toc19189"/>
      <w:bookmarkStart w:id="3136" w:name="_Toc517528694"/>
      <w:r>
        <w:rPr>
          <w:rFonts w:ascii="宋体" w:hAnsi="宋体" w:eastAsia="宋体" w:cs="华文仿宋"/>
          <w:b/>
          <w:bCs/>
          <w:color w:val="auto"/>
          <w:sz w:val="28"/>
          <w:szCs w:val="28"/>
        </w:rPr>
        <w:t>8.2</w:t>
      </w:r>
      <w:r>
        <w:rPr>
          <w:rFonts w:ascii="宋体" w:hAnsi="宋体" w:cs="华文仿宋"/>
          <w:b/>
          <w:bCs/>
          <w:color w:val="auto"/>
          <w:sz w:val="28"/>
          <w:szCs w:val="28"/>
        </w:rPr>
        <w:t>材料与工程设备的保管与使用</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137" w:name="_Toc517530845"/>
      <w:bookmarkStart w:id="3138" w:name="_Toc19343"/>
      <w:bookmarkStart w:id="3139" w:name="_Toc18356"/>
      <w:bookmarkStart w:id="3140" w:name="_Toc22834"/>
      <w:bookmarkStart w:id="3141" w:name="_Toc12735"/>
      <w:bookmarkStart w:id="3142" w:name="_Toc30741"/>
      <w:bookmarkStart w:id="3143" w:name="_Toc18958"/>
      <w:bookmarkStart w:id="3144" w:name="_Toc14832"/>
      <w:bookmarkStart w:id="3145" w:name="_Toc7576"/>
      <w:bookmarkStart w:id="3146" w:name="_Toc24581"/>
      <w:bookmarkStart w:id="3147" w:name="_Toc957"/>
      <w:bookmarkStart w:id="3148" w:name="_Toc29491"/>
      <w:bookmarkStart w:id="3149" w:name="_Toc8179"/>
      <w:bookmarkStart w:id="3150" w:name="_Toc517532121"/>
      <w:bookmarkStart w:id="3151" w:name="_Toc10712"/>
      <w:bookmarkStart w:id="3152" w:name="_Toc498"/>
      <w:bookmarkStart w:id="3153" w:name="_Toc20671"/>
      <w:bookmarkStart w:id="3154" w:name="_Toc8173"/>
      <w:bookmarkStart w:id="3155" w:name="_Toc22157"/>
      <w:bookmarkStart w:id="3156" w:name="_Toc12943"/>
      <w:r>
        <w:rPr>
          <w:rFonts w:ascii="宋体" w:hAnsi="宋体" w:eastAsia="宋体" w:cs="华文仿宋"/>
          <w:b/>
          <w:bCs/>
          <w:color w:val="auto"/>
          <w:sz w:val="24"/>
          <w:szCs w:val="24"/>
        </w:rPr>
        <w:t>8.2.1</w:t>
      </w:r>
      <w:r>
        <w:rPr>
          <w:rFonts w:ascii="宋体" w:hAnsi="宋体" w:cs="华文仿宋"/>
          <w:b/>
          <w:bCs/>
          <w:color w:val="auto"/>
          <w:sz w:val="24"/>
          <w:szCs w:val="24"/>
        </w:rPr>
        <w:t>工程的照管</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从开工之日起，承包人应全面负责照管本合同工程及将用于和安装在本合同工程中的材料、设备，直到本合同工程交接证书签发之日为止。此后，上述照管责任即交给发包人。但是：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如果合同工程的任何区段或单项工程颁发了交接证书，则从该交接证书签发之日起承包人应立即停止对该区段或单项工程的照管，此时该区段或单项工程的照管责任应交发包人；</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承包人应对其在缺陷责任期内承担的尚未完成的工程和将用于和安装在工程中的材料、设备的照管完全负责，直到根据合同有关第</w:t>
      </w:r>
      <w:r>
        <w:rPr>
          <w:rFonts w:ascii="宋体" w:hAnsi="宋体" w:eastAsia="宋体" w:cs="华文仿宋"/>
          <w:color w:val="auto"/>
          <w:szCs w:val="21"/>
        </w:rPr>
        <w:t>15</w:t>
      </w:r>
      <w:r>
        <w:rPr>
          <w:rFonts w:ascii="宋体" w:hAnsi="宋体" w:cs="华文仿宋"/>
          <w:color w:val="auto"/>
          <w:szCs w:val="21"/>
        </w:rPr>
        <w:t>条规定该未完成工程已经竣工为止。</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157" w:name="_Toc517532122"/>
      <w:bookmarkStart w:id="3158" w:name="_Toc26057"/>
      <w:bookmarkStart w:id="3159" w:name="_Toc21661"/>
      <w:bookmarkStart w:id="3160" w:name="_Toc4759"/>
      <w:bookmarkStart w:id="3161" w:name="_Toc517530846"/>
      <w:bookmarkStart w:id="3162" w:name="_Toc4074"/>
      <w:bookmarkStart w:id="3163" w:name="_Toc2736"/>
      <w:bookmarkStart w:id="3164" w:name="_Toc25839"/>
      <w:bookmarkStart w:id="3165" w:name="_Toc32209"/>
      <w:bookmarkStart w:id="3166" w:name="_Toc26513"/>
      <w:bookmarkStart w:id="3167" w:name="_Toc20242"/>
      <w:bookmarkStart w:id="3168" w:name="_Toc5590"/>
      <w:bookmarkStart w:id="3169" w:name="_Toc2789"/>
      <w:bookmarkStart w:id="3170" w:name="_Toc19357"/>
      <w:bookmarkStart w:id="3171" w:name="_Toc27306"/>
      <w:bookmarkStart w:id="3172" w:name="_Toc4625"/>
      <w:bookmarkStart w:id="3173" w:name="_Toc15870"/>
      <w:bookmarkStart w:id="3174" w:name="_Toc22450"/>
      <w:bookmarkStart w:id="3175" w:name="_Toc25183"/>
      <w:bookmarkStart w:id="3176" w:name="_Toc3789"/>
      <w:r>
        <w:rPr>
          <w:rFonts w:ascii="宋体" w:hAnsi="宋体" w:eastAsia="宋体" w:cs="华文仿宋"/>
          <w:b/>
          <w:bCs/>
          <w:color w:val="auto"/>
          <w:sz w:val="24"/>
          <w:szCs w:val="24"/>
        </w:rPr>
        <w:t>8.2.2</w:t>
      </w:r>
      <w:r>
        <w:rPr>
          <w:rFonts w:ascii="宋体" w:hAnsi="宋体" w:cs="华文仿宋"/>
          <w:b/>
          <w:bCs/>
          <w:color w:val="auto"/>
          <w:sz w:val="24"/>
          <w:szCs w:val="24"/>
        </w:rPr>
        <w:t>承包人在设备、材料管理的责任</w:t>
      </w:r>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承包人在设备、材料管理的责任包括但不限于下列内容：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甲供设备、材料的管理：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甲供设备、材料指由发包人直接提供的用于永久性建筑的材料、设备，甲供材料由发包人负责运送到工程现场，发包人、承包人、监理人、供应商共同对有关的证明文件（产品合格证、生产许可证、检验化验报告、质量保证书）进行联合验收，符合要求后予以签认。经承包人签收的甲供设备，在其安装前由承包人进行妥善保管，保证其质量，并对因保管不善造成的损失负责。</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对分包人的材料的管理：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承包人应对分包人已安装或送到工地未安装的材料、设备、货物负保管责任，但不需对分包人的机械、工具、施工设备及类似财产负责。</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177" w:name="_Toc26487"/>
      <w:bookmarkStart w:id="3178" w:name="_Toc13717"/>
      <w:bookmarkStart w:id="3179" w:name="_Toc28794"/>
      <w:bookmarkStart w:id="3180" w:name="_Toc10412"/>
      <w:bookmarkStart w:id="3181" w:name="_Toc10718"/>
      <w:bookmarkStart w:id="3182" w:name="_Toc27785"/>
      <w:bookmarkStart w:id="3183" w:name="_Toc26547"/>
      <w:bookmarkStart w:id="3184" w:name="_Toc517530847"/>
      <w:bookmarkStart w:id="3185" w:name="_Toc12022"/>
      <w:bookmarkStart w:id="3186" w:name="_Toc16116"/>
      <w:bookmarkStart w:id="3187" w:name="_Toc517532123"/>
      <w:bookmarkStart w:id="3188" w:name="_Toc19663"/>
      <w:bookmarkStart w:id="3189" w:name="_Toc5563"/>
      <w:bookmarkStart w:id="3190" w:name="_Toc22233"/>
      <w:bookmarkStart w:id="3191" w:name="_Toc12524"/>
      <w:bookmarkStart w:id="3192" w:name="_Toc29566"/>
      <w:bookmarkStart w:id="3193" w:name="_Toc1425"/>
      <w:bookmarkStart w:id="3194" w:name="_Toc22906"/>
      <w:bookmarkStart w:id="3195" w:name="_Toc12274"/>
      <w:bookmarkStart w:id="3196" w:name="_Toc31985"/>
      <w:r>
        <w:rPr>
          <w:rFonts w:ascii="宋体" w:hAnsi="宋体" w:eastAsia="宋体" w:cs="华文仿宋"/>
          <w:b/>
          <w:bCs/>
          <w:color w:val="auto"/>
          <w:sz w:val="24"/>
          <w:szCs w:val="24"/>
        </w:rPr>
        <w:t>8.2.3</w:t>
      </w:r>
      <w:r>
        <w:rPr>
          <w:rFonts w:ascii="宋体" w:hAnsi="宋体" w:cs="华文仿宋"/>
          <w:b/>
          <w:bCs/>
          <w:color w:val="auto"/>
          <w:sz w:val="24"/>
          <w:szCs w:val="24"/>
        </w:rPr>
        <w:t>成品、半成品保护</w:t>
      </w:r>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对工程中分期完成的成品和半成品，在工程竣工移交前，承包人应负保护责任，任何其他分包人对其使用或在其基础上施工，必须得到承包人的许可，对经监理人确认因承包人管理保护措施不当造成的损坏，由承包人负责修复，对分包人在施工过程中造成的损坏由责任人负责修复直到符合合同要求的标准为止。</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197" w:name="_Toc22615"/>
      <w:bookmarkStart w:id="3198" w:name="_Toc24592"/>
      <w:bookmarkStart w:id="3199" w:name="_Toc10017"/>
      <w:bookmarkStart w:id="3200" w:name="_Toc4473"/>
      <w:bookmarkStart w:id="3201" w:name="_Toc31944"/>
      <w:bookmarkStart w:id="3202" w:name="_Toc9738"/>
      <w:bookmarkStart w:id="3203" w:name="_Toc28065"/>
      <w:bookmarkStart w:id="3204" w:name="_Toc9918"/>
      <w:bookmarkStart w:id="3205" w:name="_Toc29759"/>
      <w:bookmarkStart w:id="3206" w:name="_Toc517532124"/>
      <w:bookmarkStart w:id="3207" w:name="_Toc4152"/>
      <w:bookmarkStart w:id="3208" w:name="_Toc11154"/>
      <w:bookmarkStart w:id="3209" w:name="_Toc13532"/>
      <w:bookmarkStart w:id="3210" w:name="_Toc6880"/>
      <w:bookmarkStart w:id="3211" w:name="_Toc7042"/>
      <w:bookmarkStart w:id="3212" w:name="_Toc31065"/>
      <w:bookmarkStart w:id="3213" w:name="_Toc20054"/>
      <w:bookmarkStart w:id="3214" w:name="_Toc14112"/>
      <w:bookmarkStart w:id="3215" w:name="_Toc23924"/>
      <w:bookmarkStart w:id="3216" w:name="_Toc517530848"/>
      <w:r>
        <w:rPr>
          <w:rFonts w:ascii="宋体" w:hAnsi="宋体" w:eastAsia="宋体" w:cs="华文仿宋"/>
          <w:b/>
          <w:bCs/>
          <w:color w:val="auto"/>
          <w:sz w:val="24"/>
          <w:szCs w:val="24"/>
        </w:rPr>
        <w:t>8.2.4</w:t>
      </w:r>
      <w:r>
        <w:rPr>
          <w:rFonts w:ascii="宋体" w:hAnsi="宋体" w:cs="华文仿宋"/>
          <w:b/>
          <w:bCs/>
          <w:color w:val="auto"/>
          <w:sz w:val="24"/>
          <w:szCs w:val="24"/>
        </w:rPr>
        <w:t>弥补损失的责任</w:t>
      </w:r>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在承包人负责照管期间，如果本合同工程或其任何部分，或将用于或安装在本合同工程材料、设备等发生任何损失或损害，不论出于什么原因，除第</w:t>
      </w:r>
      <w:r>
        <w:rPr>
          <w:rFonts w:ascii="宋体" w:hAnsi="宋体" w:eastAsia="宋体" w:cs="华文仿宋"/>
          <w:color w:val="auto"/>
          <w:szCs w:val="21"/>
        </w:rPr>
        <w:t>8.2.6</w:t>
      </w:r>
      <w:r>
        <w:rPr>
          <w:rFonts w:ascii="宋体" w:hAnsi="宋体" w:cs="华文仿宋"/>
          <w:color w:val="auto"/>
          <w:szCs w:val="21"/>
        </w:rPr>
        <w:t>条规定的风险外，承包人均应自费弥补上述损失或损害，以使永久工程在各方面都符合合同的规定。承包人为了履行第</w:t>
      </w:r>
      <w:r>
        <w:rPr>
          <w:rFonts w:ascii="宋体" w:hAnsi="宋体" w:eastAsia="宋体" w:cs="华文仿宋"/>
          <w:color w:val="auto"/>
          <w:szCs w:val="21"/>
        </w:rPr>
        <w:t>15</w:t>
      </w:r>
      <w:r>
        <w:rPr>
          <w:rFonts w:ascii="宋体" w:hAnsi="宋体" w:cs="华文仿宋"/>
          <w:color w:val="auto"/>
          <w:szCs w:val="21"/>
        </w:rPr>
        <w:t>条规定的义务，在进行作业过程中由承包人造成的对工程的任何损失或损害，承包人也应对此承担责任。</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承包人应对颁发工程交接证书前由承包人原因导致的损失负责，还应对损害结果发生在颁发工程交接证书后，但原因产生在承包人负责期间的损失负责。</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217" w:name="_Toc20724"/>
      <w:bookmarkStart w:id="3218" w:name="_Toc24279"/>
      <w:bookmarkStart w:id="3219" w:name="_Toc31987"/>
      <w:bookmarkStart w:id="3220" w:name="_Toc517530849"/>
      <w:bookmarkStart w:id="3221" w:name="_Toc10266"/>
      <w:bookmarkStart w:id="3222" w:name="_Toc30169"/>
      <w:bookmarkStart w:id="3223" w:name="_Toc517532125"/>
      <w:bookmarkStart w:id="3224" w:name="_Toc10057"/>
      <w:bookmarkStart w:id="3225" w:name="_Toc3933"/>
      <w:bookmarkStart w:id="3226" w:name="_Toc10301"/>
      <w:bookmarkStart w:id="3227" w:name="_Toc23863"/>
      <w:bookmarkStart w:id="3228" w:name="_Toc27249"/>
      <w:bookmarkStart w:id="3229" w:name="_Toc14773"/>
      <w:bookmarkStart w:id="3230" w:name="_Toc19457"/>
      <w:bookmarkStart w:id="3231" w:name="_Toc14282"/>
      <w:bookmarkStart w:id="3232" w:name="_Toc31964"/>
      <w:bookmarkStart w:id="3233" w:name="_Toc563"/>
      <w:bookmarkStart w:id="3234" w:name="_Toc3871"/>
      <w:bookmarkStart w:id="3235" w:name="_Toc12974"/>
      <w:bookmarkStart w:id="3236" w:name="_Toc6031"/>
      <w:r>
        <w:rPr>
          <w:rFonts w:ascii="宋体" w:hAnsi="宋体" w:eastAsia="宋体" w:cs="华文仿宋"/>
          <w:b/>
          <w:bCs/>
          <w:color w:val="auto"/>
          <w:sz w:val="24"/>
          <w:szCs w:val="24"/>
        </w:rPr>
        <w:t>8.2.5</w:t>
      </w:r>
      <w:r>
        <w:rPr>
          <w:rFonts w:ascii="宋体" w:hAnsi="宋体" w:cs="华文仿宋"/>
          <w:b/>
          <w:bCs/>
          <w:color w:val="auto"/>
          <w:sz w:val="24"/>
          <w:szCs w:val="24"/>
        </w:rPr>
        <w:t>由于发包人风险所造成的损失或损害</w:t>
      </w:r>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由于第</w:t>
      </w:r>
      <w:r>
        <w:rPr>
          <w:rFonts w:ascii="宋体" w:hAnsi="宋体" w:eastAsia="宋体" w:cs="华文仿宋"/>
          <w:color w:val="auto"/>
          <w:szCs w:val="21"/>
        </w:rPr>
        <w:t>8.2.6</w:t>
      </w:r>
      <w:r>
        <w:rPr>
          <w:rFonts w:ascii="宋体" w:hAnsi="宋体" w:cs="华文仿宋"/>
          <w:color w:val="auto"/>
          <w:szCs w:val="21"/>
        </w:rPr>
        <w:t>条规定的任何一种风险造成的，或结合其他风险而造成的任何上述损失或损害，承包人应在监理人要求的范围内弥补损失或损害，同时，监理人应按照第</w:t>
      </w:r>
      <w:r>
        <w:rPr>
          <w:rFonts w:ascii="宋体" w:hAnsi="宋体" w:eastAsia="宋体" w:cs="华文仿宋"/>
          <w:color w:val="auto"/>
          <w:szCs w:val="21"/>
        </w:rPr>
        <w:t>10</w:t>
      </w:r>
      <w:r>
        <w:rPr>
          <w:rFonts w:ascii="宋体" w:hAnsi="宋体" w:cs="华文仿宋"/>
          <w:color w:val="auto"/>
          <w:szCs w:val="21"/>
        </w:rPr>
        <w:t>条规定在与承包人协商并报发包人批准后，确定合同价格的增加额，通知承包人，并抄送发包人。对上述损失或损害的处理，监理人的任何确定都应充分考虑发包人和承包人按比例承担的原则。</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237" w:name="_Toc13252"/>
      <w:bookmarkStart w:id="3238" w:name="_Toc17941"/>
      <w:bookmarkStart w:id="3239" w:name="_Toc31972"/>
      <w:bookmarkStart w:id="3240" w:name="_Toc10346"/>
      <w:bookmarkStart w:id="3241" w:name="_Toc8915"/>
      <w:bookmarkStart w:id="3242" w:name="_Toc21547"/>
      <w:bookmarkStart w:id="3243" w:name="_Toc14859"/>
      <w:bookmarkStart w:id="3244" w:name="_Toc10365"/>
      <w:bookmarkStart w:id="3245" w:name="_Toc20418"/>
      <w:bookmarkStart w:id="3246" w:name="_Toc3137"/>
      <w:bookmarkStart w:id="3247" w:name="_Toc6539"/>
      <w:bookmarkStart w:id="3248" w:name="_Toc24804"/>
      <w:bookmarkStart w:id="3249" w:name="_Toc16699"/>
      <w:bookmarkStart w:id="3250" w:name="_Toc517530850"/>
      <w:bookmarkStart w:id="3251" w:name="_Toc11923"/>
      <w:bookmarkStart w:id="3252" w:name="_Toc5218"/>
      <w:bookmarkStart w:id="3253" w:name="_Toc29343"/>
      <w:bookmarkStart w:id="3254" w:name="_Toc1111"/>
      <w:bookmarkStart w:id="3255" w:name="_Toc23786"/>
      <w:bookmarkStart w:id="3256" w:name="_Toc517532126"/>
      <w:r>
        <w:rPr>
          <w:rFonts w:ascii="宋体" w:hAnsi="宋体" w:eastAsia="宋体" w:cs="华文仿宋"/>
          <w:b/>
          <w:bCs/>
          <w:color w:val="auto"/>
          <w:sz w:val="24"/>
          <w:szCs w:val="24"/>
        </w:rPr>
        <w:t>8.2.6</w:t>
      </w:r>
      <w:r>
        <w:rPr>
          <w:rFonts w:ascii="宋体" w:hAnsi="宋体" w:cs="华文仿宋"/>
          <w:b/>
          <w:bCs/>
          <w:color w:val="auto"/>
          <w:sz w:val="24"/>
          <w:szCs w:val="24"/>
        </w:rPr>
        <w:t>发包人的风险</w:t>
      </w:r>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发包人的风险包括：</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战争、入侵；</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核反应、幅射或放射性污染；</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空中飞行物体坠落或其他非发包人或承包人责任造成的爆炸、火灾；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暴乱、骚乱，但纯系承包人或其分包人派遣、雇用人员由于本合同工程施工引起的骚乱除外；</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除合同规定者外，永久工程的任何区段或单项工程被发包人使用或占用所造成的损失或损害；</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(f)</w:t>
      </w:r>
      <w:r>
        <w:rPr>
          <w:rFonts w:ascii="宋体" w:hAnsi="宋体" w:cs="华文仿宋"/>
          <w:color w:val="auto"/>
          <w:szCs w:val="21"/>
        </w:rPr>
        <w:t>除承包人提供的或承包人负责的设计的任何部分外，属于本工程设计引起的损失和损害；</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(g)</w:t>
      </w:r>
      <w:r>
        <w:rPr>
          <w:rFonts w:ascii="宋体" w:hAnsi="宋体" w:cs="华文仿宋"/>
          <w:color w:val="auto"/>
          <w:szCs w:val="21"/>
        </w:rPr>
        <w:t>任何自然界力量的作用，而一个有经验的承包人不能合理预见，或能合理预见，但其既不能合理采取措施以避免这种力量所造成的损失或损害，也不能合理地加以投保。这些自然灾害包括：</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①烈度为七级以上的地震；</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②十级以上持续一天的大风；</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③持续降雨</w:t>
      </w:r>
      <w:r>
        <w:rPr>
          <w:rFonts w:ascii="宋体" w:hAnsi="宋体" w:eastAsia="宋体" w:cs="华文仿宋"/>
          <w:color w:val="auto"/>
          <w:szCs w:val="21"/>
        </w:rPr>
        <w:t>24</w:t>
      </w:r>
      <w:r>
        <w:rPr>
          <w:rFonts w:ascii="宋体" w:hAnsi="宋体" w:cs="华文仿宋"/>
          <w:color w:val="auto"/>
          <w:szCs w:val="21"/>
        </w:rPr>
        <w:t>小时且降雨量为</w:t>
      </w:r>
      <w:r>
        <w:rPr>
          <w:rFonts w:ascii="宋体" w:hAnsi="宋体" w:eastAsia="宋体" w:cs="华文仿宋"/>
          <w:color w:val="auto"/>
          <w:szCs w:val="21"/>
        </w:rPr>
        <w:t>210mm</w:t>
      </w:r>
      <w:r>
        <w:rPr>
          <w:rFonts w:ascii="宋体" w:hAnsi="宋体" w:cs="华文仿宋"/>
          <w:color w:val="auto"/>
          <w:szCs w:val="21"/>
        </w:rPr>
        <w:t>以上；</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④连续二天超过</w:t>
      </w:r>
      <w:r>
        <w:rPr>
          <w:rFonts w:ascii="宋体" w:hAnsi="宋体" w:eastAsia="宋体" w:cs="华文仿宋"/>
          <w:color w:val="auto"/>
          <w:szCs w:val="21"/>
        </w:rPr>
        <w:t>39</w:t>
      </w:r>
      <w:r>
        <w:rPr>
          <w:rFonts w:ascii="宋体" w:hAnsi="宋体" w:cs="华文仿宋"/>
          <w:color w:val="auto"/>
          <w:szCs w:val="21"/>
        </w:rPr>
        <w:t>摄氏度的高温天气。</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h</w:t>
      </w:r>
      <w:r>
        <w:rPr>
          <w:rFonts w:ascii="宋体" w:hAnsi="宋体" w:cs="华文仿宋"/>
          <w:color w:val="auto"/>
          <w:szCs w:val="21"/>
        </w:rPr>
        <w:t>）其它：</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①对工程有直接影响的重大疫情；</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②政策性调整；</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③其它不可抗力的原因。</w:t>
      </w:r>
      <w:bookmarkStart w:id="3257" w:name="_Toc296503062"/>
      <w:bookmarkEnd w:id="3257"/>
      <w:bookmarkStart w:id="3258" w:name="_Toc296346563"/>
      <w:bookmarkEnd w:id="3258"/>
      <w:bookmarkStart w:id="3259" w:name="_Toc468936960"/>
      <w:bookmarkEnd w:id="3259"/>
      <w:bookmarkStart w:id="3260" w:name="_Toc337558780"/>
      <w:bookmarkEnd w:id="3260"/>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3261" w:name="_Toc351203562"/>
      <w:bookmarkStart w:id="3262" w:name="_Toc20504"/>
      <w:bookmarkStart w:id="3263" w:name="_Toc465237120"/>
      <w:bookmarkStart w:id="3264" w:name="_Toc517528695"/>
      <w:bookmarkStart w:id="3265" w:name="_Toc2523"/>
      <w:bookmarkStart w:id="3266" w:name="_Toc31370"/>
      <w:bookmarkStart w:id="3267" w:name="_Toc4469"/>
      <w:bookmarkStart w:id="3268" w:name="_Toc20876"/>
      <w:bookmarkStart w:id="3269" w:name="_Toc29221"/>
      <w:bookmarkStart w:id="3270" w:name="_Toc517529742"/>
      <w:bookmarkStart w:id="3271" w:name="_Toc14550"/>
      <w:bookmarkStart w:id="3272" w:name="_Toc9519"/>
      <w:bookmarkStart w:id="3273" w:name="_Toc23452"/>
      <w:bookmarkStart w:id="3274" w:name="_Toc3976"/>
      <w:bookmarkStart w:id="3275" w:name="_Toc11752"/>
      <w:bookmarkStart w:id="3276" w:name="_Toc4193"/>
      <w:bookmarkStart w:id="3277" w:name="_Toc5667"/>
      <w:bookmarkStart w:id="3278" w:name="_Toc517530851"/>
      <w:bookmarkStart w:id="3279" w:name="_Toc16871"/>
      <w:bookmarkStart w:id="3280" w:name="_Toc10075"/>
      <w:bookmarkStart w:id="3281" w:name="_Toc517532127"/>
      <w:bookmarkStart w:id="3282" w:name="_Toc17098"/>
      <w:bookmarkStart w:id="3283" w:name="_Toc465237218"/>
      <w:bookmarkStart w:id="3284" w:name="_Toc29033"/>
      <w:bookmarkStart w:id="3285" w:name="_Toc14968"/>
      <w:r>
        <w:rPr>
          <w:rFonts w:ascii="宋体" w:hAnsi="宋体" w:eastAsia="宋体" w:cs="华文仿宋"/>
          <w:b/>
          <w:bCs/>
          <w:color w:val="auto"/>
          <w:sz w:val="30"/>
          <w:szCs w:val="30"/>
        </w:rPr>
        <w:t>9.</w:t>
      </w:r>
      <w:bookmarkEnd w:id="3261"/>
      <w:r>
        <w:rPr>
          <w:rFonts w:ascii="宋体" w:hAnsi="宋体" w:eastAsia="宋体" w:cs="华文仿宋"/>
          <w:b/>
          <w:bCs/>
          <w:color w:val="auto"/>
          <w:sz w:val="30"/>
          <w:szCs w:val="30"/>
        </w:rPr>
        <w:t xml:space="preserve"> </w:t>
      </w:r>
      <w:r>
        <w:rPr>
          <w:rFonts w:ascii="宋体" w:hAnsi="宋体" w:cs="华文仿宋"/>
          <w:b/>
          <w:bCs/>
          <w:color w:val="auto"/>
          <w:sz w:val="30"/>
          <w:szCs w:val="30"/>
        </w:rPr>
        <w:t>试验与检验</w:t>
      </w:r>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Start w:id="3286" w:name="_Toc337558782"/>
      <w:bookmarkEnd w:id="3286"/>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287" w:name="_Toc13277"/>
      <w:bookmarkStart w:id="3288" w:name="_Toc6426"/>
      <w:bookmarkStart w:id="3289" w:name="_Toc28707"/>
      <w:bookmarkStart w:id="3290" w:name="_Toc17741"/>
      <w:bookmarkStart w:id="3291" w:name="_Toc21112"/>
      <w:bookmarkStart w:id="3292" w:name="_Toc17884"/>
      <w:bookmarkStart w:id="3293" w:name="_Toc16976"/>
      <w:bookmarkStart w:id="3294" w:name="_Toc517528696"/>
      <w:bookmarkStart w:id="3295" w:name="_Toc30679"/>
      <w:bookmarkStart w:id="3296" w:name="_Toc20305"/>
      <w:bookmarkStart w:id="3297" w:name="_Toc14594"/>
      <w:bookmarkStart w:id="3298" w:name="_Toc517530852"/>
      <w:bookmarkStart w:id="3299" w:name="_Toc32749"/>
      <w:bookmarkStart w:id="3300" w:name="_Toc4398"/>
      <w:bookmarkStart w:id="3301" w:name="_Toc11129"/>
      <w:bookmarkStart w:id="3302" w:name="_Toc17452"/>
      <w:bookmarkStart w:id="3303" w:name="_Toc15092"/>
      <w:bookmarkStart w:id="3304" w:name="_Toc517532128"/>
      <w:bookmarkStart w:id="3305" w:name="_Toc19496"/>
      <w:bookmarkStart w:id="3306" w:name="_Toc10872"/>
      <w:bookmarkStart w:id="3307" w:name="_Toc18242"/>
      <w:r>
        <w:rPr>
          <w:rFonts w:ascii="宋体" w:hAnsi="宋体" w:eastAsia="宋体" w:cs="华文仿宋"/>
          <w:b/>
          <w:bCs/>
          <w:color w:val="auto"/>
          <w:sz w:val="28"/>
          <w:szCs w:val="28"/>
        </w:rPr>
        <w:t>9.1</w:t>
      </w:r>
      <w:r>
        <w:rPr>
          <w:rFonts w:ascii="宋体" w:hAnsi="宋体" w:cs="华文仿宋"/>
          <w:b/>
          <w:bCs/>
          <w:color w:val="auto"/>
          <w:sz w:val="28"/>
          <w:szCs w:val="28"/>
        </w:rPr>
        <w:t>材料、设备和操作工艺的质量</w:t>
      </w:r>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一切材料、设备和操作工艺应该是：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属于合同所规定的相应类级，并符合监理人指令要求；</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随时按监理人的要求，在制造、加工或制配地点，或在现场进行检验。</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为了对材料或设备进行检查量测和检验，承包人应提供一切正常需要的手段，并应在用于工程之前，提供材料样品，按照监理人的选择和要求进行检验。</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308" w:name="_Toc11880"/>
      <w:bookmarkStart w:id="3309" w:name="_Toc9243"/>
      <w:bookmarkStart w:id="3310" w:name="_Toc28514"/>
      <w:bookmarkStart w:id="3311" w:name="_Toc10217"/>
      <w:bookmarkStart w:id="3312" w:name="_Toc12651"/>
      <w:bookmarkStart w:id="3313" w:name="_Toc167"/>
      <w:bookmarkStart w:id="3314" w:name="_Toc2697"/>
      <w:bookmarkStart w:id="3315" w:name="_Toc19328"/>
      <w:bookmarkStart w:id="3316" w:name="_Toc517532129"/>
      <w:bookmarkStart w:id="3317" w:name="_Toc21055"/>
      <w:bookmarkStart w:id="3318" w:name="_Toc32587"/>
      <w:bookmarkStart w:id="3319" w:name="_Toc31082"/>
      <w:bookmarkStart w:id="3320" w:name="_Toc23802"/>
      <w:bookmarkStart w:id="3321" w:name="_Toc23792"/>
      <w:bookmarkStart w:id="3322" w:name="_Toc517528697"/>
      <w:bookmarkStart w:id="3323" w:name="_Toc2627"/>
      <w:bookmarkStart w:id="3324" w:name="_Toc25664"/>
      <w:bookmarkStart w:id="3325" w:name="_Toc24178"/>
      <w:bookmarkStart w:id="3326" w:name="_Toc10282"/>
      <w:bookmarkStart w:id="3327" w:name="_Toc517530853"/>
      <w:bookmarkStart w:id="3328" w:name="_Toc24797"/>
      <w:r>
        <w:rPr>
          <w:rFonts w:ascii="宋体" w:hAnsi="宋体" w:eastAsia="宋体" w:cs="华文仿宋"/>
          <w:b/>
          <w:bCs/>
          <w:color w:val="auto"/>
          <w:sz w:val="28"/>
          <w:szCs w:val="28"/>
        </w:rPr>
        <w:t>9.2</w:t>
      </w:r>
      <w:r>
        <w:rPr>
          <w:rFonts w:ascii="宋体" w:hAnsi="宋体" w:cs="华文仿宋"/>
          <w:b/>
          <w:bCs/>
          <w:color w:val="auto"/>
          <w:sz w:val="28"/>
          <w:szCs w:val="28"/>
        </w:rPr>
        <w:t>检查与检验</w:t>
      </w:r>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329" w:name="_Toc8653"/>
      <w:bookmarkStart w:id="3330" w:name="_Toc30248"/>
      <w:bookmarkStart w:id="3331" w:name="_Toc27248"/>
      <w:bookmarkStart w:id="3332" w:name="_Toc24586"/>
      <w:bookmarkStart w:id="3333" w:name="_Toc517530854"/>
      <w:bookmarkStart w:id="3334" w:name="_Toc517532130"/>
      <w:bookmarkStart w:id="3335" w:name="_Toc8356"/>
      <w:bookmarkStart w:id="3336" w:name="_Toc30291"/>
      <w:bookmarkStart w:id="3337" w:name="_Toc19020"/>
      <w:bookmarkStart w:id="3338" w:name="_Toc12136"/>
      <w:bookmarkStart w:id="3339" w:name="_Toc24602"/>
      <w:bookmarkStart w:id="3340" w:name="_Toc600"/>
      <w:bookmarkStart w:id="3341" w:name="_Toc23112"/>
      <w:bookmarkStart w:id="3342" w:name="_Toc3396"/>
      <w:bookmarkStart w:id="3343" w:name="_Toc10552"/>
      <w:bookmarkStart w:id="3344" w:name="_Toc14552"/>
      <w:bookmarkStart w:id="3345" w:name="_Toc10577"/>
      <w:bookmarkStart w:id="3346" w:name="_Toc1950"/>
      <w:bookmarkStart w:id="3347" w:name="_Toc18143"/>
      <w:bookmarkStart w:id="3348" w:name="_Toc14474"/>
      <w:r>
        <w:rPr>
          <w:rFonts w:ascii="宋体" w:hAnsi="宋体" w:eastAsia="宋体" w:cs="华文仿宋"/>
          <w:b/>
          <w:bCs/>
          <w:color w:val="auto"/>
          <w:sz w:val="24"/>
          <w:szCs w:val="24"/>
        </w:rPr>
        <w:t>9.2.1</w:t>
      </w:r>
      <w:r>
        <w:rPr>
          <w:rFonts w:ascii="宋体" w:hAnsi="宋体" w:cs="华文仿宋"/>
          <w:b/>
          <w:bCs/>
          <w:color w:val="auto"/>
          <w:sz w:val="24"/>
          <w:szCs w:val="24"/>
        </w:rPr>
        <w:t>作业的检查</w:t>
      </w:r>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监理人及其委派的人员，在合理时间内均应能进入工程现场、材料或设备的制造的所有车间和场所，承包人应提供一切便利和协助。</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材料和设备制造、加工或制配期间，监理人有权检查和检验按合同提供的材料和设备。如果材料和设备在不属于承包人的车间或场所进行制造、加工或制配时，则承包人应取得第三方同意，准许监理人在他们的制配车间或场所进行上述检查和检验。上述检查和检验并不能解除承包人对合同所承担的任何责任。</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349" w:name="_Toc25640"/>
      <w:bookmarkStart w:id="3350" w:name="_Toc5113"/>
      <w:bookmarkStart w:id="3351" w:name="_Toc1524"/>
      <w:bookmarkStart w:id="3352" w:name="_Toc424"/>
      <w:bookmarkStart w:id="3353" w:name="_Toc30089"/>
      <w:bookmarkStart w:id="3354" w:name="_Toc29913"/>
      <w:bookmarkStart w:id="3355" w:name="_Toc10130"/>
      <w:bookmarkStart w:id="3356" w:name="_Toc3249"/>
      <w:bookmarkStart w:id="3357" w:name="_Toc4584"/>
      <w:bookmarkStart w:id="3358" w:name="_Toc12477"/>
      <w:bookmarkStart w:id="3359" w:name="_Toc2688"/>
      <w:bookmarkStart w:id="3360" w:name="_Toc517532131"/>
      <w:bookmarkStart w:id="3361" w:name="_Toc2753"/>
      <w:bookmarkStart w:id="3362" w:name="_Toc7608"/>
      <w:bookmarkStart w:id="3363" w:name="_Toc32245"/>
      <w:bookmarkStart w:id="3364" w:name="_Toc27453"/>
      <w:bookmarkStart w:id="3365" w:name="_Toc517530855"/>
      <w:bookmarkStart w:id="3366" w:name="_Toc806"/>
      <w:bookmarkStart w:id="3367" w:name="_Toc16650"/>
      <w:bookmarkStart w:id="3368" w:name="_Toc23797"/>
      <w:r>
        <w:rPr>
          <w:rFonts w:ascii="宋体" w:hAnsi="宋体" w:eastAsia="宋体" w:cs="华文仿宋"/>
          <w:b/>
          <w:bCs/>
          <w:color w:val="auto"/>
          <w:sz w:val="24"/>
          <w:szCs w:val="24"/>
        </w:rPr>
        <w:t>9.2.2</w:t>
      </w:r>
      <w:r>
        <w:rPr>
          <w:rFonts w:ascii="宋体" w:hAnsi="宋体" w:cs="华文仿宋"/>
          <w:b/>
          <w:bCs/>
          <w:color w:val="auto"/>
          <w:sz w:val="24"/>
          <w:szCs w:val="24"/>
        </w:rPr>
        <w:t>检查和检验的日期</w:t>
      </w:r>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承包人应与监理人商定检查或检验合同规定的材料或设备的时间和地点。监理人至少提前</w:t>
      </w:r>
      <w:r>
        <w:rPr>
          <w:rFonts w:ascii="宋体" w:hAnsi="宋体" w:eastAsia="宋体" w:cs="华文仿宋"/>
          <w:color w:val="auto"/>
          <w:szCs w:val="21"/>
          <w:u w:val="single"/>
        </w:rPr>
        <w:t>24</w:t>
      </w:r>
      <w:r>
        <w:rPr>
          <w:rFonts w:ascii="宋体" w:hAnsi="宋体" w:cs="华文仿宋"/>
          <w:color w:val="auto"/>
          <w:szCs w:val="21"/>
        </w:rPr>
        <w:t>小时通知承包人其将执行检查或参加检验。如果监理人或其正式委派的代表未能在约定的时间到场，则在监理人没有另外发出指令的情况下，承包人可以进行检验，而且应该认为这一检验是在监理人在场的情况下完成的。承包人应立即向监理人提出交检验数据的正式证明的复印件，如果监理人没有参加检验，其应对上述检验数据的准确性给予认可。</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369" w:name="_Toc15406"/>
      <w:bookmarkStart w:id="3370" w:name="_Toc7135"/>
      <w:bookmarkStart w:id="3371" w:name="_Toc26291"/>
      <w:bookmarkStart w:id="3372" w:name="_Toc27750"/>
      <w:bookmarkStart w:id="3373" w:name="_Toc26379"/>
      <w:bookmarkStart w:id="3374" w:name="_Toc23625"/>
      <w:bookmarkStart w:id="3375" w:name="_Toc21294"/>
      <w:bookmarkStart w:id="3376" w:name="_Toc517530856"/>
      <w:bookmarkStart w:id="3377" w:name="_Toc517532132"/>
      <w:bookmarkStart w:id="3378" w:name="_Toc15104"/>
      <w:bookmarkStart w:id="3379" w:name="_Toc9026"/>
      <w:bookmarkStart w:id="3380" w:name="_Toc16260"/>
      <w:bookmarkStart w:id="3381" w:name="_Toc838"/>
      <w:bookmarkStart w:id="3382" w:name="_Toc9609"/>
      <w:bookmarkStart w:id="3383" w:name="_Toc925"/>
      <w:bookmarkStart w:id="3384" w:name="_Toc7942"/>
      <w:bookmarkStart w:id="3385" w:name="_Toc31914"/>
      <w:bookmarkStart w:id="3386" w:name="_Toc29788"/>
      <w:bookmarkStart w:id="3387" w:name="_Toc4982"/>
      <w:bookmarkStart w:id="3388" w:name="_Toc24900"/>
      <w:r>
        <w:rPr>
          <w:rFonts w:ascii="宋体" w:hAnsi="宋体" w:eastAsia="宋体" w:cs="华文仿宋"/>
          <w:b/>
          <w:bCs/>
          <w:color w:val="auto"/>
          <w:sz w:val="24"/>
          <w:szCs w:val="24"/>
        </w:rPr>
        <w:t xml:space="preserve">9.2.3 </w:t>
      </w:r>
      <w:r>
        <w:rPr>
          <w:rFonts w:ascii="宋体" w:hAnsi="宋体" w:cs="华文仿宋"/>
          <w:b/>
          <w:bCs/>
          <w:color w:val="auto"/>
          <w:sz w:val="24"/>
          <w:szCs w:val="24"/>
        </w:rPr>
        <w:t>检验不合格的处理</w:t>
      </w:r>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pPr>
        <w:numPr>
          <w:ilvl w:val="0"/>
          <w:numId w:val="0"/>
        </w:numPr>
        <w:spacing w:line="360" w:lineRule="auto"/>
        <w:ind w:firstLine="422"/>
        <w:outlineLvl w:val="5"/>
        <w:rPr>
          <w:rFonts w:ascii="宋体" w:hAnsi="宋体" w:eastAsia="宋体" w:cs="华文仿宋"/>
          <w:b/>
          <w:bCs/>
          <w:color w:val="auto"/>
          <w:szCs w:val="21"/>
        </w:rPr>
      </w:pPr>
      <w:bookmarkStart w:id="3389" w:name="_Toc517532133"/>
      <w:bookmarkStart w:id="3390" w:name="_Toc517530857"/>
      <w:r>
        <w:rPr>
          <w:rFonts w:ascii="宋体" w:hAnsi="宋体" w:cs="华文仿宋"/>
          <w:b/>
          <w:bCs/>
          <w:color w:val="auto"/>
          <w:szCs w:val="21"/>
        </w:rPr>
        <w:t>（</w:t>
      </w:r>
      <w:r>
        <w:rPr>
          <w:rFonts w:ascii="宋体" w:hAnsi="宋体" w:eastAsia="宋体" w:cs="华文仿宋"/>
          <w:b/>
          <w:bCs/>
          <w:color w:val="auto"/>
          <w:szCs w:val="21"/>
        </w:rPr>
        <w:t>1</w:t>
      </w:r>
      <w:r>
        <w:rPr>
          <w:rFonts w:ascii="宋体" w:hAnsi="宋体" w:cs="华文仿宋"/>
          <w:b/>
          <w:bCs/>
          <w:color w:val="auto"/>
          <w:szCs w:val="21"/>
        </w:rPr>
        <w:t>）拒收</w:t>
      </w:r>
      <w:bookmarkEnd w:id="3389"/>
      <w:bookmarkEnd w:id="339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如果在按第</w:t>
      </w:r>
      <w:r>
        <w:rPr>
          <w:rFonts w:ascii="宋体" w:hAnsi="宋体" w:eastAsia="宋体" w:cs="华文仿宋"/>
          <w:color w:val="auto"/>
          <w:szCs w:val="21"/>
        </w:rPr>
        <w:t>9.2.2</w:t>
      </w:r>
      <w:r>
        <w:rPr>
          <w:rFonts w:ascii="宋体" w:hAnsi="宋体" w:cs="华文仿宋"/>
          <w:color w:val="auto"/>
          <w:szCs w:val="21"/>
        </w:rPr>
        <w:t>条商定的时间和地点供检查或检验的材料或设备未准备好，或监理人根据本条的检查或检验结果，确定材料或设备有缺陷或不符合合同要求，监理人可以拒收材料或设备，并将此情况立即通知承包人。通知应以理说明监理人的反对意见，承包人应监理人要求在同样条件下进行或重做被拒收材料或设备的检验，则重复检验所发生的全部费用由监理人在与发包人和承包人适当协商后确定，然后由发包人从承包人处收回，也可以从任何应付或到期应付给承包人的款项中扣除上述费用。监理人应通知承包人，抄送发包人。</w:t>
      </w:r>
    </w:p>
    <w:p>
      <w:pPr>
        <w:numPr>
          <w:ilvl w:val="0"/>
          <w:numId w:val="0"/>
        </w:numPr>
        <w:spacing w:line="360" w:lineRule="auto"/>
        <w:ind w:firstLine="422"/>
        <w:outlineLvl w:val="5"/>
        <w:rPr>
          <w:rFonts w:ascii="宋体" w:hAnsi="宋体" w:eastAsia="宋体" w:cs="华文仿宋"/>
          <w:b/>
          <w:bCs/>
          <w:color w:val="auto"/>
          <w:szCs w:val="21"/>
        </w:rPr>
      </w:pPr>
      <w:bookmarkStart w:id="3391" w:name="_Toc517530858"/>
      <w:bookmarkStart w:id="3392" w:name="_Toc517532134"/>
      <w:r>
        <w:rPr>
          <w:rFonts w:ascii="宋体" w:hAnsi="宋体" w:cs="华文仿宋"/>
          <w:b/>
          <w:bCs/>
          <w:color w:val="auto"/>
          <w:szCs w:val="21"/>
        </w:rPr>
        <w:t>（</w:t>
      </w:r>
      <w:r>
        <w:rPr>
          <w:rFonts w:ascii="宋体" w:hAnsi="宋体" w:eastAsia="宋体" w:cs="华文仿宋"/>
          <w:b/>
          <w:bCs/>
          <w:color w:val="auto"/>
          <w:szCs w:val="21"/>
        </w:rPr>
        <w:t>2</w:t>
      </w:r>
      <w:r>
        <w:rPr>
          <w:rFonts w:ascii="宋体" w:hAnsi="宋体" w:cs="华文仿宋"/>
          <w:b/>
          <w:bCs/>
          <w:color w:val="auto"/>
          <w:szCs w:val="21"/>
        </w:rPr>
        <w:t>）不合格工程材料或设备的拆运</w:t>
      </w:r>
      <w:bookmarkEnd w:id="3391"/>
      <w:bookmarkEnd w:id="339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监理人有权随时对下述事项发出指令：</w:t>
      </w:r>
    </w:p>
    <w:p>
      <w:pPr>
        <w:numPr>
          <w:ilvl w:val="0"/>
          <w:numId w:val="12"/>
        </w:numPr>
        <w:spacing w:line="360" w:lineRule="auto"/>
        <w:ind w:firstLine="420"/>
        <w:jc w:val="left"/>
        <w:rPr>
          <w:rFonts w:ascii="宋体" w:hAnsi="宋体" w:eastAsia="宋体" w:cs="华文仿宋"/>
          <w:color w:val="auto"/>
          <w:szCs w:val="21"/>
        </w:rPr>
      </w:pPr>
      <w:r>
        <w:rPr>
          <w:rFonts w:ascii="宋体" w:hAnsi="宋体" w:cs="华文仿宋"/>
          <w:color w:val="auto"/>
          <w:szCs w:val="21"/>
        </w:rPr>
        <w:t>根据指令规定的时间内，在监理人的见证下将监理人认为不符合合同规定的材料或设备从现场运走；</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用合格适用的材料或设备取代；</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尽管先前已经过检验或期中付款；但监理人认为工程由于材料、设备或操作工艺，或承包人的设计或承包人负责的设计不符合合同规定时，将这些工程拆除，并彻底重做。</w:t>
      </w:r>
    </w:p>
    <w:p>
      <w:pPr>
        <w:numPr>
          <w:ilvl w:val="0"/>
          <w:numId w:val="0"/>
        </w:numPr>
        <w:spacing w:line="360" w:lineRule="auto"/>
        <w:ind w:firstLine="422"/>
        <w:outlineLvl w:val="5"/>
        <w:rPr>
          <w:rFonts w:ascii="宋体" w:hAnsi="宋体" w:eastAsia="宋体" w:cs="华文仿宋"/>
          <w:b/>
          <w:bCs/>
          <w:color w:val="auto"/>
          <w:szCs w:val="21"/>
        </w:rPr>
      </w:pPr>
      <w:bookmarkStart w:id="3393" w:name="_Toc517530859"/>
      <w:bookmarkStart w:id="3394" w:name="_Toc517532135"/>
      <w:r>
        <w:rPr>
          <w:rFonts w:ascii="宋体" w:hAnsi="宋体" w:cs="华文仿宋"/>
          <w:b/>
          <w:bCs/>
          <w:color w:val="auto"/>
          <w:szCs w:val="21"/>
        </w:rPr>
        <w:t>（</w:t>
      </w:r>
      <w:r>
        <w:rPr>
          <w:rFonts w:ascii="宋体" w:hAnsi="宋体" w:eastAsia="宋体" w:cs="华文仿宋"/>
          <w:b/>
          <w:bCs/>
          <w:color w:val="auto"/>
          <w:szCs w:val="21"/>
        </w:rPr>
        <w:t>3</w:t>
      </w:r>
      <w:r>
        <w:rPr>
          <w:rFonts w:ascii="宋体" w:hAnsi="宋体" w:cs="华文仿宋"/>
          <w:b/>
          <w:bCs/>
          <w:color w:val="auto"/>
          <w:szCs w:val="21"/>
        </w:rPr>
        <w:t>）承包人不执行指令</w:t>
      </w:r>
      <w:bookmarkEnd w:id="3393"/>
      <w:bookmarkEnd w:id="339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一方在指令规定的时间内（如果没有规定，则在监理人认为合理的一段时间内）不执行上述指令，则发包人有权雇用他人执行该项指令，并向其支付有关费用。所有由此造成的或伴随产生的费用，由监理人在与发包人和承包人协商后确定，然后由发包人从承包人处收回，也可以从任何应付或到期应付给承包人的款项中扣除上述费用。监理人应通知承包人，并抄送发包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395" w:name="_Toc21822"/>
      <w:bookmarkStart w:id="3396" w:name="_Toc26268"/>
      <w:bookmarkStart w:id="3397" w:name="_Toc23080"/>
      <w:bookmarkStart w:id="3398" w:name="_Toc26413"/>
      <w:bookmarkStart w:id="3399" w:name="_Toc17033"/>
      <w:bookmarkStart w:id="3400" w:name="_Toc758"/>
      <w:bookmarkStart w:id="3401" w:name="_Toc16839"/>
      <w:bookmarkStart w:id="3402" w:name="_Toc3466"/>
      <w:bookmarkStart w:id="3403" w:name="_Toc517528698"/>
      <w:bookmarkStart w:id="3404" w:name="_Toc10415"/>
      <w:bookmarkStart w:id="3405" w:name="_Toc517530860"/>
      <w:bookmarkStart w:id="3406" w:name="_Toc7980"/>
      <w:bookmarkStart w:id="3407" w:name="_Toc21935"/>
      <w:bookmarkStart w:id="3408" w:name="_Toc8472"/>
      <w:bookmarkStart w:id="3409" w:name="_Toc2864"/>
      <w:bookmarkStart w:id="3410" w:name="_Toc26091"/>
      <w:bookmarkStart w:id="3411" w:name="_Toc26134"/>
      <w:bookmarkStart w:id="3412" w:name="_Toc19479"/>
      <w:bookmarkStart w:id="3413" w:name="_Toc17503"/>
      <w:bookmarkStart w:id="3414" w:name="_Toc9643"/>
      <w:bookmarkStart w:id="3415" w:name="_Toc517532136"/>
      <w:r>
        <w:rPr>
          <w:rFonts w:ascii="宋体" w:hAnsi="宋体" w:eastAsia="宋体" w:cs="华文仿宋"/>
          <w:b/>
          <w:bCs/>
          <w:color w:val="auto"/>
          <w:sz w:val="28"/>
          <w:szCs w:val="28"/>
        </w:rPr>
        <w:t>9.3</w:t>
      </w:r>
      <w:r>
        <w:rPr>
          <w:rFonts w:ascii="宋体" w:hAnsi="宋体" w:cs="华文仿宋"/>
          <w:b/>
          <w:bCs/>
          <w:color w:val="auto"/>
          <w:sz w:val="28"/>
          <w:szCs w:val="28"/>
        </w:rPr>
        <w:t>工程覆盖前的检查</w:t>
      </w:r>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没有监理人的批准，任何工程均不得覆盖或掩蔽，承包人应保证监理人有充分的机会对将予以覆盖或掩蔽的任何工程进行检查和量测，尤其在基础以上的任一部分工程修筑之前，对该基础进行检查。在检查前，承包人应事先通知监理人，并约定检查的时间，监理人则应按时参加上述工程或基础的检查和量测，不得无故拖延，除非认为没有必要检查，并就此通知承包人。如果上述约定时间后的</w:t>
      </w:r>
      <w:r>
        <w:rPr>
          <w:rFonts w:ascii="宋体" w:hAnsi="宋体" w:eastAsia="宋体" w:cs="华文仿宋"/>
          <w:color w:val="auto"/>
          <w:szCs w:val="21"/>
          <w:u w:val="single"/>
        </w:rPr>
        <w:t>12</w:t>
      </w:r>
      <w:r>
        <w:rPr>
          <w:rFonts w:ascii="宋体" w:hAnsi="宋体" w:cs="华文仿宋"/>
          <w:color w:val="auto"/>
          <w:szCs w:val="21"/>
        </w:rPr>
        <w:t>小时内，监理人或其代表未能到场对上述工程或基础进行检查和量测，承包人即可自行检查，并如实作出自检报告后覆盖或掩蔽，监理人或其代表事后应予认可。监理人在组织工程覆盖前的检查时，应通知发包人及政府质检部门派人参加。</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416" w:name="_Toc28117"/>
      <w:bookmarkStart w:id="3417" w:name="_Toc29323"/>
      <w:bookmarkStart w:id="3418" w:name="_Toc21286"/>
      <w:bookmarkStart w:id="3419" w:name="_Toc15187"/>
      <w:bookmarkStart w:id="3420" w:name="_Toc19839"/>
      <w:bookmarkStart w:id="3421" w:name="_Toc517530861"/>
      <w:bookmarkStart w:id="3422" w:name="_Toc13722"/>
      <w:bookmarkStart w:id="3423" w:name="_Toc11769"/>
      <w:bookmarkStart w:id="3424" w:name="_Toc19155"/>
      <w:bookmarkStart w:id="3425" w:name="_Toc25583"/>
      <w:bookmarkStart w:id="3426" w:name="_Toc30217"/>
      <w:bookmarkStart w:id="3427" w:name="_Toc11004"/>
      <w:bookmarkStart w:id="3428" w:name="_Toc517532137"/>
      <w:bookmarkStart w:id="3429" w:name="_Toc29838"/>
      <w:bookmarkStart w:id="3430" w:name="_Toc3508"/>
      <w:bookmarkStart w:id="3431" w:name="_Toc23985"/>
      <w:bookmarkStart w:id="3432" w:name="_Toc5307"/>
      <w:bookmarkStart w:id="3433" w:name="_Toc15076"/>
      <w:bookmarkStart w:id="3434" w:name="_Toc517528699"/>
      <w:bookmarkStart w:id="3435" w:name="_Toc11479"/>
      <w:bookmarkStart w:id="3436" w:name="_Toc3428"/>
      <w:r>
        <w:rPr>
          <w:rFonts w:ascii="宋体" w:hAnsi="宋体" w:eastAsia="宋体" w:cs="华文仿宋"/>
          <w:b/>
          <w:bCs/>
          <w:color w:val="auto"/>
          <w:sz w:val="28"/>
          <w:szCs w:val="28"/>
        </w:rPr>
        <w:t>9.4</w:t>
      </w:r>
      <w:r>
        <w:rPr>
          <w:rFonts w:ascii="宋体" w:hAnsi="宋体" w:cs="华文仿宋"/>
          <w:b/>
          <w:bCs/>
          <w:color w:val="auto"/>
          <w:sz w:val="28"/>
          <w:szCs w:val="28"/>
        </w:rPr>
        <w:t>剥开和开孔</w:t>
      </w:r>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承包人应按监理人随时发出的指令，剥开工程的任何一部分，或在其内部或贯穿其内部开孔，并负责使该部分恢复原状。如果该部分已经根据第</w:t>
      </w:r>
      <w:r>
        <w:rPr>
          <w:rFonts w:ascii="宋体" w:hAnsi="宋体" w:eastAsia="宋体" w:cs="华文仿宋"/>
          <w:color w:val="auto"/>
          <w:szCs w:val="21"/>
        </w:rPr>
        <w:t>9.3</w:t>
      </w:r>
      <w:r>
        <w:rPr>
          <w:rFonts w:ascii="宋体" w:hAnsi="宋体" w:cs="华文仿宋"/>
          <w:color w:val="auto"/>
          <w:szCs w:val="21"/>
        </w:rPr>
        <w:t>条要求执行并已予覆盖或掩蔽，其施工被认为符合合同规定，则监理人在与发包人和承包人适当协商后，应确定剥开或在其内部贯穿其内部钻孔以及恢复原状的费用，并应将此费用加到合同价格上，然后通知承包人并抄送发包人。除此之外，一切费用应由承包人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437" w:name="_Toc14044"/>
      <w:bookmarkStart w:id="3438" w:name="_Toc12130"/>
      <w:bookmarkStart w:id="3439" w:name="_Toc517532138"/>
      <w:bookmarkStart w:id="3440" w:name="_Toc517528700"/>
      <w:bookmarkStart w:id="3441" w:name="_Toc4959"/>
      <w:bookmarkStart w:id="3442" w:name="_Toc23753"/>
      <w:bookmarkStart w:id="3443" w:name="_Toc23890"/>
      <w:bookmarkStart w:id="3444" w:name="_Toc22416"/>
      <w:bookmarkStart w:id="3445" w:name="_Toc25194"/>
      <w:bookmarkStart w:id="3446" w:name="_Toc2692"/>
      <w:bookmarkStart w:id="3447" w:name="_Toc29463"/>
      <w:bookmarkStart w:id="3448" w:name="_Toc18513"/>
      <w:bookmarkStart w:id="3449" w:name="_Toc20076"/>
      <w:bookmarkStart w:id="3450" w:name="_Toc16902"/>
      <w:bookmarkStart w:id="3451" w:name="_Toc13818"/>
      <w:bookmarkStart w:id="3452" w:name="_Toc24784"/>
      <w:bookmarkStart w:id="3453" w:name="_Toc19202"/>
      <w:bookmarkStart w:id="3454" w:name="_Toc26631"/>
      <w:bookmarkStart w:id="3455" w:name="_Toc13232"/>
      <w:bookmarkStart w:id="3456" w:name="_Toc10899"/>
      <w:bookmarkStart w:id="3457" w:name="_Toc517530862"/>
      <w:r>
        <w:rPr>
          <w:rFonts w:ascii="宋体" w:hAnsi="宋体" w:eastAsia="宋体" w:cs="华文仿宋"/>
          <w:b/>
          <w:bCs/>
          <w:color w:val="auto"/>
          <w:sz w:val="28"/>
          <w:szCs w:val="28"/>
        </w:rPr>
        <w:t>9.5</w:t>
      </w:r>
      <w:r>
        <w:rPr>
          <w:rFonts w:ascii="宋体" w:hAnsi="宋体" w:cs="华文仿宋"/>
          <w:b/>
          <w:bCs/>
          <w:color w:val="auto"/>
          <w:sz w:val="28"/>
          <w:szCs w:val="28"/>
        </w:rPr>
        <w:t>委托检查</w:t>
      </w:r>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监理人可以将材料或设备的检查和检验委托给一家独立的检验单位。按照第</w:t>
      </w:r>
      <w:r>
        <w:rPr>
          <w:rFonts w:ascii="宋体" w:hAnsi="宋体" w:eastAsia="宋体" w:cs="华文仿宋"/>
          <w:color w:val="auto"/>
          <w:szCs w:val="21"/>
        </w:rPr>
        <w:t>4.2.2</w:t>
      </w:r>
      <w:r>
        <w:rPr>
          <w:rFonts w:ascii="宋体" w:hAnsi="宋体" w:cs="华文仿宋"/>
          <w:color w:val="auto"/>
          <w:szCs w:val="21"/>
        </w:rPr>
        <w:t>条的规定，这样的委托应是有合同效力的，为此，该委托检验单位的检验结果应视为监理人完成的，监理人应至少提前</w:t>
      </w:r>
      <w:r>
        <w:rPr>
          <w:rFonts w:ascii="宋体" w:hAnsi="宋体" w:eastAsia="宋体" w:cs="华文仿宋"/>
          <w:color w:val="auto"/>
          <w:szCs w:val="21"/>
        </w:rPr>
        <w:t>7</w:t>
      </w:r>
      <w:r>
        <w:rPr>
          <w:rFonts w:ascii="宋体" w:hAnsi="宋体" w:cs="华文仿宋"/>
          <w:color w:val="auto"/>
          <w:szCs w:val="21"/>
        </w:rPr>
        <w:t>天将该委托书面通知承包人。委托检验的费用的支出按以下原则办理：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材料或设备检验结果为合格的，所发生的检验费用由发包人承担；</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材料或设备检验结果为不合格的，所发生的检验费用由承包人承担。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458" w:name="_Toc19065"/>
      <w:bookmarkStart w:id="3459" w:name="_Toc517530863"/>
      <w:bookmarkStart w:id="3460" w:name="_Toc25621"/>
      <w:bookmarkStart w:id="3461" w:name="_Toc20929"/>
      <w:bookmarkStart w:id="3462" w:name="_Toc27989"/>
      <w:bookmarkStart w:id="3463" w:name="_Toc20018"/>
      <w:bookmarkStart w:id="3464" w:name="_Toc5664"/>
      <w:bookmarkStart w:id="3465" w:name="_Toc18698"/>
      <w:bookmarkStart w:id="3466" w:name="_Toc517532139"/>
      <w:bookmarkStart w:id="3467" w:name="_Toc27746"/>
      <w:bookmarkStart w:id="3468" w:name="_Toc698"/>
      <w:bookmarkStart w:id="3469" w:name="_Toc2233"/>
      <w:bookmarkStart w:id="3470" w:name="_Toc8255"/>
      <w:bookmarkStart w:id="3471" w:name="_Toc31550"/>
      <w:bookmarkStart w:id="3472" w:name="_Toc21246"/>
      <w:bookmarkStart w:id="3473" w:name="_Toc26796"/>
      <w:bookmarkStart w:id="3474" w:name="_Toc11136"/>
      <w:bookmarkStart w:id="3475" w:name="_Toc5943"/>
      <w:bookmarkStart w:id="3476" w:name="_Toc10654"/>
      <w:bookmarkStart w:id="3477" w:name="_Toc29800"/>
      <w:bookmarkStart w:id="3478" w:name="_Toc517528701"/>
      <w:r>
        <w:rPr>
          <w:rFonts w:ascii="宋体" w:hAnsi="宋体" w:eastAsia="宋体" w:cs="华文仿宋"/>
          <w:b/>
          <w:bCs/>
          <w:color w:val="auto"/>
          <w:sz w:val="28"/>
          <w:szCs w:val="28"/>
        </w:rPr>
        <w:t>9.6</w:t>
      </w:r>
      <w:r>
        <w:rPr>
          <w:rFonts w:ascii="宋体" w:hAnsi="宋体" w:cs="华文仿宋"/>
          <w:b/>
          <w:bCs/>
          <w:color w:val="auto"/>
          <w:sz w:val="28"/>
          <w:szCs w:val="28"/>
        </w:rPr>
        <w:t>检验费用</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479" w:name="_Toc3414"/>
      <w:bookmarkStart w:id="3480" w:name="_Toc13830"/>
      <w:bookmarkStart w:id="3481" w:name="_Toc12842"/>
      <w:bookmarkStart w:id="3482" w:name="_Toc517530864"/>
      <w:bookmarkStart w:id="3483" w:name="_Toc17154"/>
      <w:bookmarkStart w:id="3484" w:name="_Toc517532140"/>
      <w:bookmarkStart w:id="3485" w:name="_Toc10299"/>
      <w:bookmarkStart w:id="3486" w:name="_Toc21671"/>
      <w:bookmarkStart w:id="3487" w:name="_Toc27505"/>
      <w:bookmarkStart w:id="3488" w:name="_Toc24892"/>
      <w:bookmarkStart w:id="3489" w:name="_Toc8945"/>
      <w:bookmarkStart w:id="3490" w:name="_Toc24244"/>
      <w:bookmarkStart w:id="3491" w:name="_Toc29012"/>
      <w:bookmarkStart w:id="3492" w:name="_Toc30266"/>
      <w:bookmarkStart w:id="3493" w:name="_Toc1220"/>
      <w:bookmarkStart w:id="3494" w:name="_Toc10699"/>
      <w:bookmarkStart w:id="3495" w:name="_Toc20016"/>
      <w:bookmarkStart w:id="3496" w:name="_Toc6471"/>
      <w:bookmarkStart w:id="3497" w:name="_Toc6790"/>
      <w:bookmarkStart w:id="3498" w:name="_Toc24129"/>
      <w:r>
        <w:rPr>
          <w:rFonts w:ascii="宋体" w:hAnsi="宋体" w:eastAsia="宋体" w:cs="华文仿宋"/>
          <w:b/>
          <w:bCs/>
          <w:color w:val="auto"/>
          <w:sz w:val="24"/>
          <w:szCs w:val="24"/>
        </w:rPr>
        <w:t>9.6.1</w:t>
      </w:r>
      <w:r>
        <w:rPr>
          <w:rFonts w:ascii="宋体" w:hAnsi="宋体" w:cs="华文仿宋"/>
          <w:b/>
          <w:bCs/>
          <w:color w:val="auto"/>
          <w:sz w:val="24"/>
          <w:szCs w:val="24"/>
        </w:rPr>
        <w:t>有约定的检验费用</w:t>
      </w:r>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如果检验属于下述情况，则进行检验的费用由承包人负担</w:t>
      </w:r>
      <w:r>
        <w:rPr>
          <w:rFonts w:ascii="宋体" w:hAnsi="宋体" w:eastAsia="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在合同中明确规定的；</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在合同中特别指出的，并作出了足够详细的说明，使承包人能在其投标文件中报价或便于报价的（如荷载试验，或旨在确认已竣工或部分竣工的工程的设计是否达到预定目的的检验）。</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499" w:name="_Toc18672"/>
      <w:bookmarkStart w:id="3500" w:name="_Toc30635"/>
      <w:bookmarkStart w:id="3501" w:name="_Toc20410"/>
      <w:bookmarkStart w:id="3502" w:name="_Toc26064"/>
      <w:bookmarkStart w:id="3503" w:name="_Toc28306"/>
      <w:bookmarkStart w:id="3504" w:name="_Toc9827"/>
      <w:bookmarkStart w:id="3505" w:name="_Toc4701"/>
      <w:bookmarkStart w:id="3506" w:name="_Toc11572"/>
      <w:bookmarkStart w:id="3507" w:name="_Toc22391"/>
      <w:bookmarkStart w:id="3508" w:name="_Toc27400"/>
      <w:bookmarkStart w:id="3509" w:name="_Toc17597"/>
      <w:bookmarkStart w:id="3510" w:name="_Toc31610"/>
      <w:bookmarkStart w:id="3511" w:name="_Toc28510"/>
      <w:bookmarkStart w:id="3512" w:name="_Toc23292"/>
      <w:bookmarkStart w:id="3513" w:name="_Toc28831"/>
      <w:bookmarkStart w:id="3514" w:name="_Toc18252"/>
      <w:bookmarkStart w:id="3515" w:name="_Toc21404"/>
      <w:bookmarkStart w:id="3516" w:name="_Toc517530865"/>
      <w:bookmarkStart w:id="3517" w:name="_Toc517532141"/>
      <w:bookmarkStart w:id="3518" w:name="_Toc15747"/>
      <w:r>
        <w:rPr>
          <w:rFonts w:ascii="宋体" w:hAnsi="宋体" w:eastAsia="宋体" w:cs="华文仿宋"/>
          <w:b/>
          <w:bCs/>
          <w:color w:val="auto"/>
          <w:sz w:val="24"/>
          <w:szCs w:val="24"/>
        </w:rPr>
        <w:t>9.6.2</w:t>
      </w:r>
      <w:r>
        <w:rPr>
          <w:rFonts w:ascii="宋体" w:hAnsi="宋体" w:cs="华文仿宋"/>
          <w:b/>
          <w:bCs/>
          <w:color w:val="auto"/>
          <w:sz w:val="24"/>
          <w:szCs w:val="24"/>
        </w:rPr>
        <w:t>未约定的检验费用</w:t>
      </w:r>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如果监理人所要求做的试验为：</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合同未曾指明或规定的；</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（在上款所述情况下）没有特别指出的；</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（虽已指明或规定）但监理人所要求做的检验是在被检验材料或设备的制造、加工、制配场地以外的任何其他场所进行，</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在上述任一情况下所要求的检验，如表明操作工艺或材料没有达到合同要求的标准，则其费用由承包人承担。</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519" w:name="_Toc7019"/>
      <w:bookmarkStart w:id="3520" w:name="_Toc22552"/>
      <w:bookmarkStart w:id="3521" w:name="_Toc10522"/>
      <w:bookmarkStart w:id="3522" w:name="_Toc1189"/>
      <w:bookmarkStart w:id="3523" w:name="_Toc32747"/>
      <w:bookmarkStart w:id="3524" w:name="_Toc24276"/>
      <w:bookmarkStart w:id="3525" w:name="_Toc11373"/>
      <w:bookmarkStart w:id="3526" w:name="_Toc24504"/>
      <w:bookmarkStart w:id="3527" w:name="_Toc20944"/>
      <w:bookmarkStart w:id="3528" w:name="_Toc517530866"/>
      <w:bookmarkStart w:id="3529" w:name="_Toc9883"/>
      <w:bookmarkStart w:id="3530" w:name="_Toc28199"/>
      <w:bookmarkStart w:id="3531" w:name="_Toc23231"/>
      <w:bookmarkStart w:id="3532" w:name="_Toc3129"/>
      <w:bookmarkStart w:id="3533" w:name="_Toc517532142"/>
      <w:bookmarkStart w:id="3534" w:name="_Toc30403"/>
      <w:bookmarkStart w:id="3535" w:name="_Toc23060"/>
      <w:r>
        <w:rPr>
          <w:rFonts w:ascii="宋体" w:hAnsi="宋体" w:eastAsia="宋体" w:cs="华文仿宋"/>
          <w:b/>
          <w:bCs/>
          <w:color w:val="auto"/>
          <w:sz w:val="24"/>
          <w:szCs w:val="24"/>
        </w:rPr>
        <w:t>9.6.3</w:t>
      </w:r>
      <w:r>
        <w:rPr>
          <w:rFonts w:ascii="宋体" w:hAnsi="宋体" w:cs="华文仿宋"/>
          <w:b/>
          <w:bCs/>
          <w:color w:val="auto"/>
          <w:sz w:val="24"/>
          <w:szCs w:val="24"/>
        </w:rPr>
        <w:t>监理人未规定的检验的决定</w:t>
      </w:r>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根据第</w:t>
      </w:r>
      <w:r>
        <w:rPr>
          <w:rFonts w:ascii="宋体" w:hAnsi="宋体" w:eastAsia="宋体" w:cs="华文仿宋"/>
          <w:color w:val="auto"/>
          <w:szCs w:val="21"/>
        </w:rPr>
        <w:t>9.6.2</w:t>
      </w:r>
      <w:r>
        <w:rPr>
          <w:rFonts w:ascii="宋体" w:hAnsi="宋体" w:cs="华文仿宋"/>
          <w:color w:val="auto"/>
          <w:szCs w:val="21"/>
        </w:rPr>
        <w:t>条</w:t>
      </w:r>
      <w:r>
        <w:rPr>
          <w:rFonts w:ascii="宋体" w:hAnsi="宋体" w:eastAsia="宋体" w:cs="华文仿宋"/>
          <w:color w:val="auto"/>
          <w:szCs w:val="21"/>
        </w:rPr>
        <w:t>(a)</w:t>
      </w: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所做的检验，若结果表明达到合同要求的标准，则监理人应在与发包人和承包人适当协商后，承包人有权获得：</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根据第</w:t>
      </w:r>
      <w:r>
        <w:rPr>
          <w:rFonts w:ascii="宋体" w:hAnsi="宋体" w:eastAsia="宋体" w:cs="华文仿宋"/>
          <w:color w:val="auto"/>
          <w:szCs w:val="21"/>
        </w:rPr>
        <w:t>7.6</w:t>
      </w:r>
      <w:r>
        <w:rPr>
          <w:rFonts w:ascii="宋体" w:hAnsi="宋体" w:cs="华文仿宋"/>
          <w:color w:val="auto"/>
          <w:szCs w:val="21"/>
        </w:rPr>
        <w:t>条的规定承包人应得的延长工期；</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应该加到合同价格上的上述费用款额；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上述确定应通知承包人，抄送发包人。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536" w:name="_Toc517528702"/>
      <w:bookmarkStart w:id="3537" w:name="_Toc10869"/>
      <w:bookmarkStart w:id="3538" w:name="_Toc517532143"/>
      <w:bookmarkStart w:id="3539" w:name="_Toc7253"/>
      <w:bookmarkStart w:id="3540" w:name="_Toc14758"/>
      <w:bookmarkStart w:id="3541" w:name="_Toc22932"/>
      <w:bookmarkStart w:id="3542" w:name="_Toc517530867"/>
      <w:bookmarkStart w:id="3543" w:name="_Toc26297"/>
      <w:bookmarkStart w:id="3544" w:name="_Toc4105"/>
      <w:bookmarkStart w:id="3545" w:name="_Toc23164"/>
      <w:bookmarkStart w:id="3546" w:name="_Toc3788"/>
      <w:bookmarkStart w:id="3547" w:name="_Toc26147"/>
      <w:bookmarkStart w:id="3548" w:name="_Toc10277"/>
      <w:bookmarkStart w:id="3549" w:name="_Toc11814"/>
      <w:bookmarkStart w:id="3550" w:name="_Toc12552"/>
      <w:bookmarkStart w:id="3551" w:name="_Toc20285"/>
      <w:bookmarkStart w:id="3552" w:name="_Toc16997"/>
      <w:bookmarkStart w:id="3553" w:name="_Toc7916"/>
      <w:r>
        <w:rPr>
          <w:rFonts w:ascii="宋体" w:hAnsi="宋体" w:eastAsia="宋体" w:cs="华文仿宋"/>
          <w:b/>
          <w:bCs/>
          <w:color w:val="auto"/>
          <w:sz w:val="28"/>
          <w:szCs w:val="28"/>
        </w:rPr>
        <w:t>9.7</w:t>
      </w:r>
      <w:r>
        <w:rPr>
          <w:rFonts w:ascii="宋体" w:hAnsi="宋体" w:cs="华文仿宋"/>
          <w:b/>
          <w:bCs/>
          <w:color w:val="auto"/>
          <w:sz w:val="28"/>
          <w:szCs w:val="28"/>
        </w:rPr>
        <w:t>样品</w:t>
      </w:r>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检验全部样品应由承包人提供，并承担其费用。</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3554" w:name="_Toc296346584"/>
      <w:bookmarkStart w:id="3555" w:name="_Toc296503083"/>
      <w:bookmarkStart w:id="3556" w:name="_Toc351203567"/>
      <w:bookmarkStart w:id="3557" w:name="_Toc15055"/>
      <w:bookmarkStart w:id="3558" w:name="_Toc23569"/>
      <w:bookmarkStart w:id="3559" w:name="_Toc23839"/>
      <w:bookmarkStart w:id="3560" w:name="_Toc19501"/>
      <w:bookmarkStart w:id="3561" w:name="_Toc517532144"/>
      <w:bookmarkStart w:id="3562" w:name="_Toc28477"/>
      <w:bookmarkStart w:id="3563" w:name="_Toc17097"/>
      <w:bookmarkStart w:id="3564" w:name="_Toc9228"/>
      <w:bookmarkStart w:id="3565" w:name="_Toc517530868"/>
      <w:bookmarkStart w:id="3566" w:name="_Toc9069"/>
      <w:bookmarkStart w:id="3567" w:name="_Toc517529743"/>
      <w:bookmarkStart w:id="3568" w:name="_Toc24573"/>
      <w:bookmarkStart w:id="3569" w:name="_Toc31817"/>
      <w:bookmarkStart w:id="3570" w:name="_Toc26652"/>
      <w:bookmarkStart w:id="3571" w:name="_Toc19704"/>
      <w:bookmarkStart w:id="3572" w:name="_Toc9778"/>
      <w:bookmarkStart w:id="3573" w:name="_Toc465237121"/>
      <w:bookmarkStart w:id="3574" w:name="_Toc28958"/>
      <w:bookmarkStart w:id="3575" w:name="_Toc30294"/>
      <w:bookmarkStart w:id="3576" w:name="_Toc517528703"/>
      <w:bookmarkStart w:id="3577" w:name="_Toc465237219"/>
      <w:bookmarkStart w:id="3578" w:name="_Toc4227"/>
      <w:bookmarkStart w:id="3579" w:name="_Toc19641"/>
      <w:bookmarkStart w:id="3580" w:name="_Toc25403"/>
      <w:r>
        <w:rPr>
          <w:rFonts w:ascii="宋体" w:hAnsi="宋体" w:eastAsia="宋体" w:cs="华文仿宋"/>
          <w:b/>
          <w:bCs/>
          <w:color w:val="auto"/>
          <w:sz w:val="30"/>
          <w:szCs w:val="30"/>
        </w:rPr>
        <w:t>10.</w:t>
      </w:r>
      <w:bookmarkEnd w:id="3554"/>
      <w:bookmarkEnd w:id="3555"/>
      <w:bookmarkEnd w:id="3556"/>
      <w:r>
        <w:rPr>
          <w:rFonts w:ascii="宋体" w:hAnsi="宋体" w:eastAsia="宋体" w:cs="华文仿宋"/>
          <w:b/>
          <w:bCs/>
          <w:color w:val="auto"/>
          <w:sz w:val="30"/>
          <w:szCs w:val="30"/>
        </w:rPr>
        <w:t xml:space="preserve"> </w:t>
      </w:r>
      <w:r>
        <w:rPr>
          <w:rFonts w:ascii="宋体" w:hAnsi="宋体" w:cs="华文仿宋"/>
          <w:b/>
          <w:bCs/>
          <w:color w:val="auto"/>
          <w:sz w:val="30"/>
          <w:szCs w:val="30"/>
        </w:rPr>
        <w:t>变更</w:t>
      </w:r>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581" w:name="_Toc21202"/>
      <w:bookmarkStart w:id="3582" w:name="_Toc28067"/>
      <w:bookmarkStart w:id="3583" w:name="_Toc23075"/>
      <w:bookmarkStart w:id="3584" w:name="_Toc1838"/>
      <w:bookmarkStart w:id="3585" w:name="_Toc5372"/>
      <w:bookmarkStart w:id="3586" w:name="_Toc7318"/>
      <w:bookmarkStart w:id="3587" w:name="_Toc12693"/>
      <w:bookmarkStart w:id="3588" w:name="_Toc31626"/>
      <w:bookmarkStart w:id="3589" w:name="_Toc517528704"/>
      <w:bookmarkStart w:id="3590" w:name="_Toc222"/>
      <w:bookmarkStart w:id="3591" w:name="_Toc31813"/>
      <w:bookmarkStart w:id="3592" w:name="_Toc11304"/>
      <w:bookmarkStart w:id="3593" w:name="_Toc8357"/>
      <w:bookmarkStart w:id="3594" w:name="_Toc12085"/>
      <w:bookmarkStart w:id="3595" w:name="_Toc28283"/>
      <w:bookmarkStart w:id="3596" w:name="_Toc517532145"/>
      <w:bookmarkStart w:id="3597" w:name="_Toc2319"/>
      <w:bookmarkStart w:id="3598" w:name="_Toc32588"/>
      <w:bookmarkStart w:id="3599" w:name="_Toc6303"/>
      <w:bookmarkStart w:id="3600" w:name="_Toc517530869"/>
      <w:bookmarkStart w:id="3601" w:name="_Toc10998"/>
      <w:r>
        <w:rPr>
          <w:rFonts w:ascii="宋体" w:hAnsi="宋体" w:eastAsia="宋体" w:cs="华文仿宋"/>
          <w:b/>
          <w:bCs/>
          <w:color w:val="auto"/>
          <w:sz w:val="28"/>
          <w:szCs w:val="28"/>
        </w:rPr>
        <w:t>10.1</w:t>
      </w:r>
      <w:r>
        <w:rPr>
          <w:rFonts w:ascii="宋体" w:hAnsi="宋体" w:cs="华文仿宋"/>
          <w:b/>
          <w:bCs/>
          <w:color w:val="auto"/>
          <w:sz w:val="28"/>
          <w:szCs w:val="28"/>
        </w:rPr>
        <w:t>变更的范围和权限</w:t>
      </w:r>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监理人如认为有必要时，可对本合同工程或其任何部分的形式、质量或数量做出变更，有权指令承包人进行下述任何工作：</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增加或减少合同中包括的任何工作的数量；</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取消任何此类工作；</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改变任何此类工作的性质、质量或种类；</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改变本工程任何部分的标高、线形、位置和尺寸；</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完成本工程所必要的任何种类的附加工作；</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(f)</w:t>
      </w:r>
      <w:r>
        <w:rPr>
          <w:rFonts w:ascii="宋体" w:hAnsi="宋体" w:cs="华文仿宋"/>
          <w:color w:val="auto"/>
          <w:szCs w:val="21"/>
        </w:rPr>
        <w:t>改变本工程任何部分施工的规定顺序或时间安排。</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上述变更均不应以任何方式使合同作废或无效，所有这类变更（如果有）的结果应该根据第</w:t>
      </w:r>
      <w:r>
        <w:rPr>
          <w:rFonts w:ascii="宋体" w:hAnsi="宋体" w:eastAsia="宋体" w:cs="华文仿宋"/>
          <w:color w:val="auto"/>
          <w:szCs w:val="21"/>
        </w:rPr>
        <w:t>10</w:t>
      </w:r>
      <w:r>
        <w:rPr>
          <w:rFonts w:ascii="宋体" w:hAnsi="宋体" w:cs="华文仿宋"/>
          <w:color w:val="auto"/>
          <w:szCs w:val="21"/>
        </w:rPr>
        <w:t>条规定进行估价。但是，如果发出本工程的变更指令是因承包人过错、承包人违反合同或承包人责任造成的，则这种违约引起的任何额外费用由承包人承担。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602" w:name="_Toc28407"/>
      <w:bookmarkStart w:id="3603" w:name="_Toc7361"/>
      <w:bookmarkStart w:id="3604" w:name="_Toc19527"/>
      <w:bookmarkStart w:id="3605" w:name="_Toc16000"/>
      <w:bookmarkStart w:id="3606" w:name="_Toc517530870"/>
      <w:bookmarkStart w:id="3607" w:name="_Toc4687"/>
      <w:bookmarkStart w:id="3608" w:name="_Toc24092"/>
      <w:bookmarkStart w:id="3609" w:name="_Toc5515"/>
      <w:bookmarkStart w:id="3610" w:name="_Toc517532146"/>
      <w:bookmarkStart w:id="3611" w:name="_Toc7098"/>
      <w:bookmarkStart w:id="3612" w:name="_Toc14394"/>
      <w:bookmarkStart w:id="3613" w:name="_Toc11734"/>
      <w:bookmarkStart w:id="3614" w:name="_Toc5571"/>
      <w:bookmarkStart w:id="3615" w:name="_Toc18846"/>
      <w:bookmarkStart w:id="3616" w:name="_Toc2044"/>
      <w:bookmarkStart w:id="3617" w:name="_Toc23006"/>
      <w:bookmarkStart w:id="3618" w:name="_Toc18637"/>
      <w:bookmarkStart w:id="3619" w:name="_Toc9067"/>
      <w:bookmarkStart w:id="3620" w:name="_Toc517528705"/>
      <w:bookmarkStart w:id="3621" w:name="_Toc31214"/>
      <w:bookmarkStart w:id="3622" w:name="_Toc5156"/>
      <w:r>
        <w:rPr>
          <w:rFonts w:ascii="宋体" w:hAnsi="宋体" w:eastAsia="宋体" w:cs="华文仿宋"/>
          <w:b/>
          <w:bCs/>
          <w:color w:val="auto"/>
          <w:sz w:val="28"/>
          <w:szCs w:val="28"/>
        </w:rPr>
        <w:t>10.2</w:t>
      </w:r>
      <w:r>
        <w:rPr>
          <w:rFonts w:ascii="宋体" w:hAnsi="宋体" w:cs="华文仿宋"/>
          <w:b/>
          <w:bCs/>
          <w:color w:val="auto"/>
          <w:sz w:val="28"/>
          <w:szCs w:val="28"/>
        </w:rPr>
        <w:t>变更的指令</w:t>
      </w:r>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没有监理人的指令，承包人不能进行任何变更。但如果工程量的增减并非执行本条规定发出的指令的结果，而是由于其工程量超过或少于工程量清单中开列的数量，则该项增减不需任何指令。如果承包人为了便于组织施工，或为了施工安全、避免干扰等原因需采取相应的技术措施而提出的局部变更设计，除须得到监理人的批准外，由此而增加的费用应由承包人自行负担。变更程序，按照《深圳市建筑工务署工程变更管理办法》及发包人要求进行，由承包人或设计人提出工程变更，报监理人审查，监理人签署审查意见后，报发包人审核，发包人同意后，监理人据此下发变更指令。</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623" w:name="_Toc21993"/>
      <w:bookmarkStart w:id="3624" w:name="_Toc14396"/>
      <w:bookmarkStart w:id="3625" w:name="_Toc14234"/>
      <w:bookmarkStart w:id="3626" w:name="_Toc30606"/>
      <w:bookmarkStart w:id="3627" w:name="_Toc517532147"/>
      <w:bookmarkStart w:id="3628" w:name="_Toc6334"/>
      <w:bookmarkStart w:id="3629" w:name="_Toc1119"/>
      <w:bookmarkStart w:id="3630" w:name="_Toc27256"/>
      <w:bookmarkStart w:id="3631" w:name="_Toc27084"/>
      <w:bookmarkStart w:id="3632" w:name="_Toc14890"/>
      <w:bookmarkStart w:id="3633" w:name="_Toc23632"/>
      <w:bookmarkStart w:id="3634" w:name="_Toc4021"/>
      <w:bookmarkStart w:id="3635" w:name="_Toc517530871"/>
      <w:bookmarkStart w:id="3636" w:name="_Toc517528706"/>
      <w:bookmarkStart w:id="3637" w:name="_Toc20947"/>
      <w:bookmarkStart w:id="3638" w:name="_Toc19444"/>
      <w:bookmarkStart w:id="3639" w:name="_Toc2892"/>
      <w:bookmarkStart w:id="3640" w:name="_Toc17201"/>
      <w:bookmarkStart w:id="3641" w:name="_Toc29056"/>
      <w:bookmarkStart w:id="3642" w:name="_Toc24495"/>
      <w:bookmarkStart w:id="3643" w:name="_Toc29446"/>
      <w:r>
        <w:rPr>
          <w:rFonts w:ascii="宋体" w:hAnsi="宋体" w:eastAsia="宋体" w:cs="华文仿宋"/>
          <w:b/>
          <w:bCs/>
          <w:color w:val="auto"/>
          <w:sz w:val="28"/>
          <w:szCs w:val="28"/>
        </w:rPr>
        <w:t>10.3</w:t>
      </w:r>
      <w:r>
        <w:rPr>
          <w:rFonts w:ascii="宋体" w:hAnsi="宋体" w:cs="华文仿宋"/>
          <w:b/>
          <w:bCs/>
          <w:color w:val="auto"/>
          <w:sz w:val="28"/>
          <w:szCs w:val="28"/>
        </w:rPr>
        <w:t>变更的估价</w:t>
      </w:r>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第</w:t>
      </w:r>
      <w:r>
        <w:rPr>
          <w:rFonts w:ascii="宋体" w:hAnsi="宋体" w:eastAsia="宋体" w:cs="华文仿宋"/>
          <w:color w:val="auto"/>
          <w:szCs w:val="21"/>
        </w:rPr>
        <w:t>10</w:t>
      </w:r>
      <w:r>
        <w:rPr>
          <w:rFonts w:ascii="宋体" w:hAnsi="宋体" w:cs="华文仿宋"/>
          <w:color w:val="auto"/>
          <w:szCs w:val="21"/>
        </w:rPr>
        <w:t>条所指的所有变更和根据第</w:t>
      </w:r>
      <w:r>
        <w:rPr>
          <w:rFonts w:ascii="宋体" w:hAnsi="宋体" w:eastAsia="宋体" w:cs="华文仿宋"/>
          <w:color w:val="auto"/>
          <w:szCs w:val="21"/>
        </w:rPr>
        <w:t>10</w:t>
      </w:r>
      <w:r>
        <w:rPr>
          <w:rFonts w:ascii="宋体" w:hAnsi="宋体" w:cs="华文仿宋"/>
          <w:color w:val="auto"/>
          <w:szCs w:val="21"/>
        </w:rPr>
        <w:t>条要求确定的合同价格的任何增加额（就本条而言，称之为“变更的工作”），只要监理人认为适当，应以合同中规定的综合单价或总额价进行估价。如果合同并未包含任何适用于变更的工作的综合单价或总额价，则合同内的综合单价或总额价只要合理，可用作估价的基础，如果不适用，则监理人可要求承包人报预算书由监理人审核，再报送发包人、评审中心或发包人指定的第三方确定后按本条的有关规定执行。在评审中心或发包人指定的第三方最后确定之前，监理人可先确定暂时的综合单价或总额价，以便使暂付账款能够列入根据合同有关规定签发的证书中。</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工程量清单中，任何工程项目的实际计量的工程量，无论是高于还是低于工程量清单中开列的估算工程量，其单价（或总额价）均不作调整。工程量清单以外的工程项目，只要监理人认为适当：</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若工程量清单有相同项目单价，应按工程量清单单价进行计价；</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若工程量清单有类似项目单价，可按类似项目单价进行计价；</w:t>
      </w:r>
    </w:p>
    <w:p>
      <w:pPr>
        <w:spacing w:line="360" w:lineRule="auto"/>
        <w:ind w:firstLine="420"/>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若工程量清单无类似项目单价，或类似单价不适用时，需重新定价。定价原则为：无品牌要求的且有信息价的主要材料设备采用施工期信息价</w:t>
      </w:r>
      <w:r>
        <w:rPr>
          <w:rFonts w:ascii="宋体" w:hAnsi="宋体" w:eastAsia="宋体" w:cs="华文仿宋"/>
          <w:color w:val="auto"/>
          <w:szCs w:val="21"/>
        </w:rPr>
        <w:t>(</w:t>
      </w:r>
      <w:r>
        <w:rPr>
          <w:rFonts w:ascii="宋体" w:hAnsi="宋体" w:cs="华文仿宋"/>
          <w:color w:val="auto"/>
          <w:szCs w:val="21"/>
        </w:rPr>
        <w:t>不执行合同专用条款</w:t>
      </w:r>
      <w:r>
        <w:rPr>
          <w:rFonts w:ascii="宋体" w:hAnsi="宋体" w:eastAsia="宋体" w:cs="华文仿宋"/>
          <w:color w:val="auto"/>
          <w:szCs w:val="21"/>
        </w:rPr>
        <w:t>11.1</w:t>
      </w:r>
      <w:r>
        <w:rPr>
          <w:rFonts w:ascii="宋体" w:hAnsi="宋体" w:cs="华文仿宋"/>
          <w:color w:val="auto"/>
          <w:szCs w:val="21"/>
        </w:rPr>
        <w:t>条</w:t>
      </w:r>
      <w:r>
        <w:rPr>
          <w:rFonts w:ascii="宋体" w:hAnsi="宋体" w:eastAsia="宋体" w:cs="华文仿宋"/>
          <w:color w:val="auto"/>
          <w:szCs w:val="21"/>
        </w:rPr>
        <w:t>)</w:t>
      </w:r>
      <w:r>
        <w:rPr>
          <w:rFonts w:ascii="宋体" w:hAnsi="宋体" w:cs="华文仿宋"/>
          <w:color w:val="auto"/>
          <w:szCs w:val="21"/>
        </w:rPr>
        <w:t>，人工、机械等按截标当日已发布的最新一期《深圳建设工程价格信息》信息价或截标当日已生效的人工工日单价执行</w:t>
      </w:r>
      <w:r>
        <w:rPr>
          <w:rFonts w:ascii="宋体" w:hAnsi="宋体" w:eastAsia="宋体" w:cs="华文仿宋"/>
          <w:color w:val="auto"/>
          <w:szCs w:val="21"/>
        </w:rPr>
        <w:t>(</w:t>
      </w:r>
      <w:r>
        <w:rPr>
          <w:rFonts w:ascii="宋体" w:hAnsi="宋体" w:cs="华文仿宋"/>
          <w:color w:val="auto"/>
          <w:szCs w:val="21"/>
        </w:rPr>
        <w:t>并执行合同专用条款</w:t>
      </w:r>
      <w:r>
        <w:rPr>
          <w:rFonts w:ascii="宋体" w:hAnsi="宋体" w:eastAsia="宋体" w:cs="华文仿宋"/>
          <w:color w:val="auto"/>
          <w:szCs w:val="21"/>
        </w:rPr>
        <w:t>11.1</w:t>
      </w:r>
      <w:r>
        <w:rPr>
          <w:rFonts w:ascii="宋体" w:hAnsi="宋体" w:cs="华文仿宋"/>
          <w:color w:val="auto"/>
          <w:szCs w:val="21"/>
        </w:rPr>
        <w:t>条</w:t>
      </w:r>
      <w:r>
        <w:rPr>
          <w:rFonts w:ascii="宋体" w:hAnsi="宋体" w:eastAsia="宋体" w:cs="华文仿宋"/>
          <w:color w:val="auto"/>
          <w:szCs w:val="21"/>
        </w:rPr>
        <w:t>)</w:t>
      </w:r>
      <w:r>
        <w:rPr>
          <w:rFonts w:ascii="宋体" w:hAnsi="宋体" w:cs="华文仿宋"/>
          <w:color w:val="auto"/>
          <w:szCs w:val="21"/>
        </w:rPr>
        <w:t>，之后再下浮一定比例作为结算价；有品牌要求或无信息价的主要材料设备通过市场询价或竞价方式定价的，结算时价格不再下浮。</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下浮比例为投标总价的净下浮率，即净下浮率</w:t>
      </w:r>
      <w:r>
        <w:rPr>
          <w:rFonts w:ascii="宋体" w:hAnsi="宋体" w:eastAsia="宋体" w:cs="华文仿宋"/>
          <w:color w:val="auto"/>
          <w:szCs w:val="21"/>
        </w:rPr>
        <w:t>=[1-(</w:t>
      </w:r>
      <w:r>
        <w:rPr>
          <w:rFonts w:ascii="宋体" w:hAnsi="宋体" w:cs="华文仿宋"/>
          <w:color w:val="auto"/>
          <w:szCs w:val="21"/>
        </w:rPr>
        <w:t>投标总价</w:t>
      </w:r>
      <w:r>
        <w:rPr>
          <w:rFonts w:ascii="宋体" w:hAnsi="宋体" w:eastAsia="宋体" w:cs="华文仿宋"/>
          <w:color w:val="auto"/>
          <w:szCs w:val="21"/>
        </w:rPr>
        <w:t>-</w:t>
      </w:r>
      <w:r>
        <w:rPr>
          <w:rFonts w:ascii="宋体" w:hAnsi="宋体" w:cs="华文仿宋"/>
          <w:color w:val="auto"/>
          <w:szCs w:val="21"/>
        </w:rPr>
        <w:t>不可竞争费</w:t>
      </w:r>
      <w:r>
        <w:rPr>
          <w:rFonts w:ascii="宋体" w:hAnsi="宋体" w:eastAsia="宋体" w:cs="华文仿宋"/>
          <w:color w:val="auto"/>
          <w:szCs w:val="21"/>
        </w:rPr>
        <w:t>)/(</w:t>
      </w:r>
      <w:r>
        <w:rPr>
          <w:rFonts w:ascii="宋体" w:hAnsi="宋体" w:cs="华文仿宋"/>
          <w:color w:val="auto"/>
          <w:szCs w:val="21"/>
        </w:rPr>
        <w:t>公示的招标控制价</w:t>
      </w:r>
      <w:r>
        <w:rPr>
          <w:rFonts w:ascii="宋体" w:hAnsi="宋体" w:eastAsia="宋体" w:cs="华文仿宋"/>
          <w:color w:val="auto"/>
          <w:szCs w:val="21"/>
        </w:rPr>
        <w:t>-</w:t>
      </w:r>
      <w:r>
        <w:rPr>
          <w:rFonts w:ascii="宋体" w:hAnsi="宋体" w:cs="华文仿宋"/>
          <w:color w:val="auto"/>
          <w:szCs w:val="21"/>
        </w:rPr>
        <w:t>不可竞争费</w:t>
      </w:r>
      <w:r>
        <w:rPr>
          <w:rFonts w:ascii="宋体" w:hAnsi="宋体" w:eastAsia="宋体" w:cs="华文仿宋"/>
          <w:color w:val="auto"/>
          <w:szCs w:val="21"/>
        </w:rPr>
        <w:t>)]*100%</w:t>
      </w:r>
      <w:r>
        <w:rPr>
          <w:rFonts w:ascii="宋体" w:hAnsi="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款中，如发包人在招标阶段已对承包人的投标价格进行调整的，则执行调整后的清单单价。</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644" w:name="_Toc2258"/>
      <w:bookmarkStart w:id="3645" w:name="_Toc6189"/>
      <w:bookmarkStart w:id="3646" w:name="_Toc26569"/>
      <w:bookmarkStart w:id="3647" w:name="_Toc19397"/>
      <w:bookmarkStart w:id="3648" w:name="_Toc4463"/>
      <w:bookmarkStart w:id="3649" w:name="_Toc20843"/>
      <w:bookmarkStart w:id="3650" w:name="_Toc31207"/>
      <w:bookmarkStart w:id="3651" w:name="_Toc24299"/>
      <w:bookmarkStart w:id="3652" w:name="_Toc3267"/>
      <w:bookmarkStart w:id="3653" w:name="_Toc17592"/>
      <w:bookmarkStart w:id="3654" w:name="_Toc1469"/>
      <w:bookmarkStart w:id="3655" w:name="_Toc517532148"/>
      <w:bookmarkStart w:id="3656" w:name="_Toc29186"/>
      <w:bookmarkStart w:id="3657" w:name="_Toc20127"/>
      <w:bookmarkStart w:id="3658" w:name="_Toc22408"/>
      <w:bookmarkStart w:id="3659" w:name="_Toc517530872"/>
      <w:bookmarkStart w:id="3660" w:name="_Toc564"/>
      <w:bookmarkStart w:id="3661" w:name="_Toc24590"/>
      <w:bookmarkStart w:id="3662" w:name="_Toc517528707"/>
      <w:bookmarkStart w:id="3663" w:name="_Toc12060"/>
      <w:bookmarkStart w:id="3664" w:name="_Toc8332"/>
      <w:r>
        <w:rPr>
          <w:rFonts w:ascii="宋体" w:hAnsi="宋体" w:eastAsia="宋体" w:cs="华文仿宋"/>
          <w:b/>
          <w:bCs/>
          <w:color w:val="auto"/>
          <w:sz w:val="28"/>
          <w:szCs w:val="28"/>
        </w:rPr>
        <w:t>10.4</w:t>
      </w:r>
      <w:r>
        <w:rPr>
          <w:rFonts w:ascii="宋体" w:hAnsi="宋体" w:cs="华文仿宋"/>
          <w:b/>
          <w:bCs/>
          <w:color w:val="auto"/>
          <w:sz w:val="28"/>
          <w:szCs w:val="28"/>
        </w:rPr>
        <w:t>计日工</w:t>
      </w:r>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如认为有必要，可以指令按计日工完成任何需变更的工作。对于这种变更的工作，应按合同中包括的计日工明细表中所定的项目，和承包人在其投标书中对此所报的单价或总额价，向承包人付款。承包人应向监理人提交已付款的凭证、收据或其他凭单，并应在订购材料之前，向监理人提交订货报价单，以供批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对所有按计日工方式施工的工程，承包人应在该工程持续进行过程中，每天向监理人提交从事该项工作的所有工人的姓名、工种及工时的清单一式两份，以及表明该项工程所用的材料和承包人装备（计日工明细表中已包括了以附加百分比表示的承包人装备除外）的名称和数量的报表一式两份，如果清单和报表的内容正确或经同意时，应由监理人在每种清单和报表的一份上签字，并退还给承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每月结束时，承包人应向监理人送交一份所用劳务、材料和承包人装备（以上提到的除外）的附有价格的账单，除非已完全而准确地提交了上述清单与报表，否则承包人无权获得任何款项。但如监理人认为承包人由于某种原因不可能按上述规定报送清单或报表，监理人仍应有权核准并报发包人批准后为此种工作付款。此项付款可以是对该工程所用的劳务、材料和承包人装备按计日工计算的，也可以是按监理人认为是对该项工程公平合理的价值计算。</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3665" w:name="_Toc16630"/>
      <w:bookmarkStart w:id="3666" w:name="_Toc10918"/>
      <w:bookmarkStart w:id="3667" w:name="_Toc21251"/>
      <w:bookmarkStart w:id="3668" w:name="_Toc517532149"/>
      <w:bookmarkStart w:id="3669" w:name="_Toc27079"/>
      <w:bookmarkStart w:id="3670" w:name="_Toc517530873"/>
      <w:bookmarkStart w:id="3671" w:name="_Toc8715"/>
      <w:bookmarkStart w:id="3672" w:name="_Toc20534"/>
      <w:bookmarkStart w:id="3673" w:name="_Toc22052"/>
      <w:bookmarkStart w:id="3674" w:name="_Toc16236"/>
      <w:bookmarkStart w:id="3675" w:name="_Toc8988"/>
      <w:bookmarkStart w:id="3676" w:name="_Toc21108"/>
      <w:bookmarkStart w:id="3677" w:name="_Toc517528708"/>
      <w:bookmarkStart w:id="3678" w:name="_Toc8726"/>
      <w:bookmarkStart w:id="3679" w:name="_Toc1464"/>
      <w:bookmarkStart w:id="3680" w:name="_Toc10723"/>
      <w:bookmarkStart w:id="3681" w:name="_Toc16184"/>
      <w:bookmarkStart w:id="3682" w:name="_Toc517529744"/>
      <w:bookmarkStart w:id="3683" w:name="_Toc1474"/>
      <w:r>
        <w:rPr>
          <w:rFonts w:ascii="宋体" w:hAnsi="宋体" w:eastAsia="宋体" w:cs="华文仿宋"/>
          <w:b/>
          <w:bCs/>
          <w:color w:val="auto"/>
          <w:sz w:val="30"/>
          <w:szCs w:val="30"/>
        </w:rPr>
        <w:t xml:space="preserve">11. </w:t>
      </w:r>
      <w:r>
        <w:rPr>
          <w:rFonts w:ascii="宋体" w:hAnsi="宋体" w:cs="华文仿宋"/>
          <w:b/>
          <w:bCs/>
          <w:color w:val="auto"/>
          <w:sz w:val="30"/>
          <w:szCs w:val="30"/>
        </w:rPr>
        <w:t>价格调整</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684" w:name="_Toc517530874"/>
      <w:bookmarkStart w:id="3685" w:name="_Toc3591"/>
      <w:bookmarkStart w:id="3686" w:name="_Toc31433"/>
      <w:bookmarkStart w:id="3687" w:name="_Toc13063"/>
      <w:bookmarkStart w:id="3688" w:name="_Toc3667"/>
      <w:bookmarkStart w:id="3689" w:name="_Toc14326"/>
      <w:bookmarkStart w:id="3690" w:name="_Toc8242"/>
      <w:bookmarkStart w:id="3691" w:name="_Toc22462"/>
      <w:bookmarkStart w:id="3692" w:name="_Toc7969"/>
      <w:bookmarkStart w:id="3693" w:name="_Toc15220"/>
      <w:bookmarkStart w:id="3694" w:name="_Toc25137"/>
      <w:bookmarkStart w:id="3695" w:name="_Toc26730"/>
      <w:bookmarkStart w:id="3696" w:name="_Toc13949"/>
      <w:bookmarkStart w:id="3697" w:name="_Toc15426"/>
      <w:bookmarkStart w:id="3698" w:name="_Toc517528709"/>
      <w:bookmarkStart w:id="3699" w:name="_Toc517532150"/>
      <w:bookmarkStart w:id="3700" w:name="_Toc3672"/>
      <w:bookmarkStart w:id="3701" w:name="_Toc28120"/>
      <w:r>
        <w:rPr>
          <w:rFonts w:ascii="宋体" w:hAnsi="宋体" w:eastAsia="宋体" w:cs="华文仿宋"/>
          <w:b/>
          <w:bCs/>
          <w:color w:val="auto"/>
          <w:sz w:val="28"/>
          <w:szCs w:val="28"/>
        </w:rPr>
        <w:t xml:space="preserve">11.1 </w:t>
      </w:r>
      <w:r>
        <w:rPr>
          <w:rFonts w:ascii="宋体" w:hAnsi="宋体" w:cs="华文仿宋"/>
          <w:b/>
          <w:bCs/>
          <w:color w:val="auto"/>
          <w:sz w:val="28"/>
          <w:szCs w:val="28"/>
        </w:rPr>
        <w:t>市场变化引起的费用的增加或减少</w:t>
      </w:r>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在合同履行期间，随着劳务和（或）材料或影响工程施工成本的任何其他事项的价格涨落而引起费用增减时，应根据专用合同条款规定的价格调整公式给予调价，将此费用加到合同价格或从合同价格中扣除。</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702" w:name="_Toc23883"/>
      <w:bookmarkStart w:id="3703" w:name="_Toc17653"/>
      <w:bookmarkStart w:id="3704" w:name="_Toc18713"/>
      <w:bookmarkStart w:id="3705" w:name="_Toc517528710"/>
      <w:bookmarkStart w:id="3706" w:name="_Toc16725"/>
      <w:bookmarkStart w:id="3707" w:name="_Toc22592"/>
      <w:bookmarkStart w:id="3708" w:name="_Toc28918"/>
      <w:bookmarkStart w:id="3709" w:name="_Toc15769"/>
      <w:bookmarkStart w:id="3710" w:name="_Toc19498"/>
      <w:bookmarkStart w:id="3711" w:name="_Toc25762"/>
      <w:bookmarkStart w:id="3712" w:name="_Toc12563"/>
      <w:bookmarkStart w:id="3713" w:name="_Toc18885"/>
      <w:bookmarkStart w:id="3714" w:name="_Toc517532151"/>
      <w:bookmarkStart w:id="3715" w:name="_Toc1606"/>
      <w:bookmarkStart w:id="3716" w:name="_Toc13117"/>
      <w:bookmarkStart w:id="3717" w:name="_Toc517530875"/>
      <w:bookmarkStart w:id="3718" w:name="_Toc26180"/>
      <w:bookmarkStart w:id="3719" w:name="_Toc24275"/>
      <w:r>
        <w:rPr>
          <w:rFonts w:ascii="宋体" w:hAnsi="宋体" w:eastAsia="宋体" w:cs="华文仿宋"/>
          <w:b/>
          <w:bCs/>
          <w:color w:val="auto"/>
          <w:sz w:val="28"/>
          <w:szCs w:val="28"/>
        </w:rPr>
        <w:t xml:space="preserve">11.2 </w:t>
      </w:r>
      <w:r>
        <w:rPr>
          <w:rFonts w:ascii="宋体" w:hAnsi="宋体" w:cs="华文仿宋"/>
          <w:b/>
          <w:bCs/>
          <w:color w:val="auto"/>
          <w:sz w:val="28"/>
          <w:szCs w:val="28"/>
        </w:rPr>
        <w:t>法规变更的影响</w:t>
      </w:r>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除非合同另有规定，如果在送交投标书截止期前</w:t>
      </w:r>
      <w:r>
        <w:rPr>
          <w:rFonts w:ascii="宋体" w:hAnsi="宋体" w:eastAsia="宋体" w:cs="华文仿宋"/>
          <w:color w:val="auto"/>
          <w:szCs w:val="21"/>
        </w:rPr>
        <w:t>28</w:t>
      </w:r>
      <w:r>
        <w:rPr>
          <w:rFonts w:ascii="宋体" w:hAnsi="宋体" w:cs="华文仿宋"/>
          <w:color w:val="auto"/>
          <w:szCs w:val="21"/>
        </w:rPr>
        <w:t>天之后，国家或省（自治区、直辖市）颁布的法律、法令、规章或条例出现修改或变更，因采用上述法律、法令、规章、条例等，致使承包人在履行合同中的费用发生第</w:t>
      </w:r>
      <w:r>
        <w:rPr>
          <w:rFonts w:ascii="宋体" w:hAnsi="宋体" w:eastAsia="宋体" w:cs="华文仿宋"/>
          <w:color w:val="auto"/>
          <w:szCs w:val="21"/>
        </w:rPr>
        <w:t>11.1</w:t>
      </w:r>
      <w:r>
        <w:rPr>
          <w:rFonts w:ascii="宋体" w:hAnsi="宋体" w:cs="华文仿宋"/>
          <w:color w:val="auto"/>
          <w:szCs w:val="21"/>
        </w:rPr>
        <w:t>条规定情况以外的增加或减少，则此项增加或减少的费用应由监理人在与承包人协商并报经业主批准后确定，增加到合同价格上或从合同价格中扣除，监理人应通知承包人，并抄送业主。</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720" w:name="_Toc16874"/>
      <w:bookmarkStart w:id="3721" w:name="_Toc271"/>
      <w:bookmarkStart w:id="3722" w:name="_Toc19241"/>
      <w:bookmarkStart w:id="3723" w:name="_Toc9900"/>
      <w:bookmarkStart w:id="3724" w:name="_Toc32666"/>
      <w:bookmarkStart w:id="3725" w:name="_Toc31291"/>
      <w:bookmarkStart w:id="3726" w:name="_Toc31219"/>
      <w:bookmarkStart w:id="3727" w:name="_Toc26336"/>
      <w:bookmarkStart w:id="3728" w:name="_Toc15287"/>
      <w:bookmarkStart w:id="3729" w:name="_Toc517530876"/>
      <w:bookmarkStart w:id="3730" w:name="_Toc15496"/>
      <w:bookmarkStart w:id="3731" w:name="_Toc14338"/>
      <w:bookmarkStart w:id="3732" w:name="_Toc20331"/>
      <w:bookmarkStart w:id="3733" w:name="_Toc517528711"/>
      <w:bookmarkStart w:id="3734" w:name="_Toc19320"/>
      <w:bookmarkStart w:id="3735" w:name="_Toc517532152"/>
      <w:bookmarkStart w:id="3736" w:name="_Toc7496"/>
      <w:bookmarkStart w:id="3737" w:name="_Toc14400"/>
      <w:r>
        <w:rPr>
          <w:rFonts w:ascii="宋体" w:hAnsi="宋体" w:eastAsia="宋体" w:cs="华文仿宋"/>
          <w:b/>
          <w:bCs/>
          <w:color w:val="auto"/>
          <w:sz w:val="28"/>
          <w:szCs w:val="28"/>
        </w:rPr>
        <w:t xml:space="preserve">11.3 </w:t>
      </w:r>
      <w:r>
        <w:rPr>
          <w:rFonts w:ascii="宋体" w:hAnsi="宋体" w:cs="华文仿宋"/>
          <w:b/>
          <w:bCs/>
          <w:color w:val="auto"/>
          <w:sz w:val="28"/>
          <w:szCs w:val="28"/>
        </w:rPr>
        <w:t>合同价格的调整</w:t>
      </w:r>
      <w:bookmarkEnd w:id="3720"/>
      <w:bookmarkEnd w:id="3721"/>
      <w:bookmarkEnd w:id="3722"/>
      <w:bookmarkEnd w:id="3723"/>
      <w:bookmarkEnd w:id="3724"/>
      <w:bookmarkEnd w:id="3725"/>
      <w:r>
        <w:rPr>
          <w:rFonts w:ascii="宋体" w:hAnsi="宋体" w:cs="华文仿宋"/>
          <w:b/>
          <w:bCs/>
          <w:color w:val="auto"/>
          <w:sz w:val="28"/>
          <w:szCs w:val="28"/>
        </w:rPr>
        <w:t>方式</w:t>
      </w:r>
      <w:bookmarkEnd w:id="3726"/>
      <w:bookmarkEnd w:id="3727"/>
      <w:bookmarkEnd w:id="3728"/>
      <w:bookmarkEnd w:id="3729"/>
      <w:bookmarkEnd w:id="3730"/>
      <w:bookmarkEnd w:id="3731"/>
      <w:bookmarkEnd w:id="3732"/>
      <w:bookmarkEnd w:id="3733"/>
      <w:bookmarkEnd w:id="3734"/>
      <w:bookmarkEnd w:id="3735"/>
      <w:bookmarkEnd w:id="3736"/>
      <w:bookmarkEnd w:id="3737"/>
    </w:p>
    <w:p>
      <w:pPr>
        <w:snapToGrid w:val="0"/>
        <w:spacing w:line="360" w:lineRule="auto"/>
        <w:ind w:firstLine="428"/>
        <w:jc w:val="left"/>
        <w:rPr>
          <w:rFonts w:ascii="宋体" w:hAnsi="宋体" w:eastAsia="宋体" w:cs="华文仿宋"/>
          <w:color w:val="auto"/>
          <w:szCs w:val="21"/>
        </w:rPr>
      </w:pPr>
      <w:r>
        <w:rPr>
          <w:rFonts w:ascii="宋体" w:hAnsi="宋体" w:cs="华文仿宋"/>
          <w:bCs/>
          <w:color w:val="auto"/>
          <w:spacing w:val="2"/>
          <w:szCs w:val="21"/>
        </w:rPr>
        <w:t>合同各方应按照专用条款确定的合同价格调整原则来调整合同价格。</w:t>
      </w:r>
      <w:bookmarkStart w:id="3738" w:name="_Toc337558787"/>
      <w:bookmarkEnd w:id="3738"/>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3739" w:name="_Toc351203580"/>
      <w:bookmarkStart w:id="3740" w:name="_Toc22710"/>
      <w:bookmarkStart w:id="3741" w:name="_Toc20613"/>
      <w:bookmarkStart w:id="3742" w:name="_Toc14895"/>
      <w:bookmarkStart w:id="3743" w:name="_Toc4332"/>
      <w:bookmarkStart w:id="3744" w:name="_Toc17960"/>
      <w:bookmarkStart w:id="3745" w:name="_Toc587"/>
      <w:bookmarkStart w:id="3746" w:name="_Toc26572"/>
      <w:bookmarkStart w:id="3747" w:name="_Toc23043"/>
      <w:bookmarkStart w:id="3748" w:name="_Toc2145"/>
      <w:bookmarkStart w:id="3749" w:name="_Toc465237122"/>
      <w:bookmarkStart w:id="3750" w:name="_Toc31595"/>
      <w:bookmarkStart w:id="3751" w:name="_Toc19275"/>
      <w:bookmarkStart w:id="3752" w:name="_Toc780"/>
      <w:bookmarkStart w:id="3753" w:name="_Toc14132"/>
      <w:bookmarkStart w:id="3754" w:name="_Toc13675"/>
      <w:bookmarkStart w:id="3755" w:name="_Toc517528712"/>
      <w:bookmarkStart w:id="3756" w:name="_Toc465237220"/>
      <w:bookmarkStart w:id="3757" w:name="_Toc517530877"/>
      <w:bookmarkStart w:id="3758" w:name="_Toc517532153"/>
      <w:bookmarkStart w:id="3759" w:name="_Toc30907"/>
      <w:bookmarkStart w:id="3760" w:name="_Toc15726"/>
      <w:bookmarkStart w:id="3761" w:name="_Toc517529745"/>
      <w:bookmarkStart w:id="3762" w:name="_Toc26423"/>
      <w:bookmarkStart w:id="3763" w:name="_Toc29489"/>
      <w:r>
        <w:rPr>
          <w:rFonts w:ascii="宋体" w:hAnsi="宋体" w:eastAsia="宋体" w:cs="华文仿宋"/>
          <w:b/>
          <w:bCs/>
          <w:color w:val="auto"/>
          <w:sz w:val="30"/>
          <w:szCs w:val="30"/>
        </w:rPr>
        <w:t>12.</w:t>
      </w:r>
      <w:bookmarkEnd w:id="3739"/>
      <w:r>
        <w:rPr>
          <w:rFonts w:ascii="宋体" w:hAnsi="宋体" w:eastAsia="宋体" w:cs="华文仿宋"/>
          <w:b/>
          <w:bCs/>
          <w:color w:val="auto"/>
          <w:sz w:val="30"/>
          <w:szCs w:val="30"/>
        </w:rPr>
        <w:t xml:space="preserve"> </w:t>
      </w:r>
      <w:r>
        <w:rPr>
          <w:rFonts w:ascii="宋体" w:hAnsi="宋体" w:cs="华文仿宋"/>
          <w:b/>
          <w:bCs/>
          <w:color w:val="auto"/>
          <w:sz w:val="30"/>
          <w:szCs w:val="30"/>
        </w:rPr>
        <w:t>合同价格、计量与支付</w:t>
      </w:r>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764" w:name="_Toc30889"/>
      <w:bookmarkStart w:id="3765" w:name="_Toc12779"/>
      <w:bookmarkStart w:id="3766" w:name="_Toc14337"/>
      <w:bookmarkStart w:id="3767" w:name="_Toc29339"/>
      <w:bookmarkStart w:id="3768" w:name="_Toc517532154"/>
      <w:bookmarkStart w:id="3769" w:name="_Toc517530878"/>
      <w:bookmarkStart w:id="3770" w:name="_Toc15199"/>
      <w:bookmarkStart w:id="3771" w:name="_Toc25565"/>
      <w:bookmarkStart w:id="3772" w:name="_Toc465237123"/>
      <w:bookmarkStart w:id="3773" w:name="_Toc9539"/>
      <w:bookmarkStart w:id="3774" w:name="_Toc15114"/>
      <w:bookmarkStart w:id="3775" w:name="_Toc18176"/>
      <w:bookmarkStart w:id="3776" w:name="_Toc465237221"/>
      <w:bookmarkStart w:id="3777" w:name="_Toc5769"/>
      <w:bookmarkStart w:id="3778" w:name="_Toc11195"/>
      <w:bookmarkStart w:id="3779" w:name="_Toc17664"/>
      <w:bookmarkStart w:id="3780" w:name="_Toc26203"/>
      <w:bookmarkStart w:id="3781" w:name="_Toc14413"/>
      <w:bookmarkStart w:id="3782" w:name="_Toc27979"/>
      <w:bookmarkStart w:id="3783" w:name="_Toc8729"/>
      <w:bookmarkStart w:id="3784" w:name="_Toc20232"/>
      <w:bookmarkStart w:id="3785" w:name="_Toc21830"/>
      <w:bookmarkStart w:id="3786" w:name="_Toc517528713"/>
      <w:r>
        <w:rPr>
          <w:rFonts w:ascii="宋体" w:hAnsi="宋体" w:eastAsia="宋体" w:cs="华文仿宋"/>
          <w:b/>
          <w:bCs/>
          <w:color w:val="auto"/>
          <w:sz w:val="28"/>
          <w:szCs w:val="28"/>
        </w:rPr>
        <w:t xml:space="preserve">12.1 </w:t>
      </w:r>
      <w:r>
        <w:rPr>
          <w:rFonts w:ascii="宋体" w:hAnsi="宋体" w:cs="华文仿宋"/>
          <w:b/>
          <w:bCs/>
          <w:color w:val="auto"/>
          <w:sz w:val="28"/>
          <w:szCs w:val="28"/>
        </w:rPr>
        <w:t>合同价格和费用</w:t>
      </w:r>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787" w:name="_Toc20342"/>
      <w:bookmarkStart w:id="3788" w:name="_Toc19268"/>
      <w:bookmarkStart w:id="3789" w:name="_Toc517532155"/>
      <w:bookmarkStart w:id="3790" w:name="_Toc13031"/>
      <w:bookmarkStart w:id="3791" w:name="_Toc25567"/>
      <w:bookmarkStart w:id="3792" w:name="_Toc18156"/>
      <w:bookmarkStart w:id="3793" w:name="_Toc19656"/>
      <w:bookmarkStart w:id="3794" w:name="_Toc20039"/>
      <w:bookmarkStart w:id="3795" w:name="_Toc465237124"/>
      <w:bookmarkStart w:id="3796" w:name="_Toc517530879"/>
      <w:bookmarkStart w:id="3797" w:name="_Toc32433"/>
      <w:bookmarkStart w:id="3798" w:name="_Toc28877"/>
      <w:bookmarkStart w:id="3799" w:name="_Toc10313"/>
      <w:bookmarkStart w:id="3800" w:name="_Toc5224"/>
      <w:bookmarkStart w:id="3801" w:name="_Toc29157"/>
      <w:bookmarkStart w:id="3802" w:name="_Toc27947"/>
      <w:bookmarkStart w:id="3803" w:name="_Toc16745"/>
      <w:bookmarkStart w:id="3804" w:name="_Toc1004"/>
      <w:bookmarkStart w:id="3805" w:name="_Toc14293"/>
      <w:bookmarkStart w:id="3806" w:name="_Toc29600"/>
      <w:bookmarkStart w:id="3807" w:name="_Toc28050"/>
      <w:r>
        <w:rPr>
          <w:rFonts w:ascii="宋体" w:hAnsi="宋体" w:eastAsia="宋体" w:cs="华文仿宋"/>
          <w:b/>
          <w:bCs/>
          <w:color w:val="auto"/>
          <w:sz w:val="24"/>
          <w:szCs w:val="24"/>
        </w:rPr>
        <w:t>12.1.1</w:t>
      </w:r>
      <w:r>
        <w:rPr>
          <w:rFonts w:ascii="宋体" w:hAnsi="宋体" w:cs="华文仿宋"/>
          <w:b/>
          <w:bCs/>
          <w:color w:val="auto"/>
          <w:sz w:val="24"/>
          <w:szCs w:val="24"/>
        </w:rPr>
        <w:t>合同价格的合理性</w:t>
      </w:r>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确认，其在送交投标文件前，对本合同工程的投标文件和标价的工程量清单中开列的综合单价和总额价的正确性与完备性是认可的。除在合同中另有规定外，投标的综合单价和总额价应已包括了承包人为履行合同中规定的全部义务（包括提供货物、材料、设备、服务的义务，并包括处理意外事件的义务）以及为实施和完成本合同工程和其缺陷修复所必需的一切工作和事宜的价款。</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808" w:name="_Toc185"/>
      <w:bookmarkStart w:id="3809" w:name="_Toc7197"/>
      <w:bookmarkStart w:id="3810" w:name="_Toc3786"/>
      <w:bookmarkStart w:id="3811" w:name="_Toc20071"/>
      <w:bookmarkStart w:id="3812" w:name="_Toc3468"/>
      <w:bookmarkStart w:id="3813" w:name="_Toc9089"/>
      <w:bookmarkStart w:id="3814" w:name="_Toc12157"/>
      <w:bookmarkStart w:id="3815" w:name="_Toc1909"/>
      <w:bookmarkStart w:id="3816" w:name="_Toc13904"/>
      <w:bookmarkStart w:id="3817" w:name="_Toc1190"/>
      <w:bookmarkStart w:id="3818" w:name="_Toc9580"/>
      <w:bookmarkStart w:id="3819" w:name="_Toc27383"/>
      <w:bookmarkStart w:id="3820" w:name="_Toc517530880"/>
      <w:bookmarkStart w:id="3821" w:name="_Toc21772"/>
      <w:bookmarkStart w:id="3822" w:name="_Toc83"/>
      <w:bookmarkStart w:id="3823" w:name="_Toc8967"/>
      <w:bookmarkStart w:id="3824" w:name="_Toc11872"/>
      <w:bookmarkStart w:id="3825" w:name="_Toc517532156"/>
      <w:bookmarkStart w:id="3826" w:name="_Toc23886"/>
      <w:bookmarkStart w:id="3827" w:name="_Toc401"/>
      <w:r>
        <w:rPr>
          <w:rFonts w:ascii="宋体" w:hAnsi="宋体" w:eastAsia="宋体" w:cs="华文仿宋"/>
          <w:b/>
          <w:bCs/>
          <w:color w:val="auto"/>
          <w:sz w:val="24"/>
          <w:szCs w:val="24"/>
        </w:rPr>
        <w:t>12.1.2</w:t>
      </w:r>
      <w:r>
        <w:rPr>
          <w:rFonts w:ascii="宋体" w:hAnsi="宋体" w:cs="华文仿宋"/>
          <w:b/>
          <w:bCs/>
          <w:color w:val="auto"/>
          <w:sz w:val="24"/>
          <w:szCs w:val="24"/>
        </w:rPr>
        <w:t>总额</w:t>
      </w:r>
      <w:r>
        <w:rPr>
          <w:rFonts w:ascii="宋体" w:hAnsi="宋体" w:eastAsia="宋体" w:cs="华文仿宋"/>
          <w:b/>
          <w:bCs/>
          <w:color w:val="auto"/>
          <w:sz w:val="24"/>
          <w:szCs w:val="24"/>
        </w:rPr>
        <w:t>(</w:t>
      </w:r>
      <w:r>
        <w:rPr>
          <w:rFonts w:ascii="宋体" w:hAnsi="宋体" w:cs="华文仿宋"/>
          <w:b/>
          <w:bCs/>
          <w:color w:val="auto"/>
          <w:sz w:val="24"/>
          <w:szCs w:val="24"/>
        </w:rPr>
        <w:t>包干</w:t>
      </w:r>
      <w:r>
        <w:rPr>
          <w:rFonts w:ascii="宋体" w:hAnsi="宋体" w:eastAsia="宋体" w:cs="华文仿宋"/>
          <w:b/>
          <w:bCs/>
          <w:color w:val="auto"/>
          <w:sz w:val="24"/>
          <w:szCs w:val="24"/>
        </w:rPr>
        <w:t>)</w:t>
      </w:r>
      <w:r>
        <w:rPr>
          <w:rFonts w:ascii="宋体" w:hAnsi="宋体" w:cs="华文仿宋"/>
          <w:b/>
          <w:bCs/>
          <w:color w:val="auto"/>
          <w:sz w:val="24"/>
          <w:szCs w:val="24"/>
        </w:rPr>
        <w:t>支付项的分目</w:t>
      </w:r>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为了根据第</w:t>
      </w:r>
      <w:r>
        <w:rPr>
          <w:rFonts w:ascii="宋体" w:hAnsi="宋体" w:eastAsia="宋体" w:cs="华文仿宋"/>
          <w:color w:val="auto"/>
          <w:szCs w:val="21"/>
        </w:rPr>
        <w:t>12.3.2</w:t>
      </w:r>
      <w:r>
        <w:rPr>
          <w:rFonts w:ascii="宋体" w:hAnsi="宋体" w:cs="华文仿宋"/>
          <w:color w:val="auto"/>
          <w:szCs w:val="21"/>
        </w:rPr>
        <w:t>条规定提交结账单，承包人收到中标通知书的</w:t>
      </w:r>
      <w:r>
        <w:rPr>
          <w:rFonts w:ascii="宋体" w:hAnsi="宋体" w:eastAsia="宋体" w:cs="华文仿宋"/>
          <w:color w:val="auto"/>
          <w:szCs w:val="21"/>
        </w:rPr>
        <w:t>28</w:t>
      </w:r>
      <w:r>
        <w:rPr>
          <w:rFonts w:ascii="宋体" w:hAnsi="宋体" w:cs="华文仿宋"/>
          <w:color w:val="auto"/>
          <w:szCs w:val="21"/>
        </w:rPr>
        <w:t>天之内，应向监理人提交包括在投标文件内的每个总额（包干）支付项的分目。该分目须经监理人的批准。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828" w:name="_Toc19921"/>
      <w:bookmarkStart w:id="3829" w:name="_Toc14856"/>
      <w:bookmarkStart w:id="3830" w:name="_Toc14257"/>
      <w:bookmarkStart w:id="3831" w:name="_Toc23045"/>
      <w:bookmarkStart w:id="3832" w:name="_Toc13239"/>
      <w:bookmarkStart w:id="3833" w:name="_Toc15153"/>
      <w:bookmarkStart w:id="3834" w:name="_Toc2530"/>
      <w:bookmarkStart w:id="3835" w:name="_Toc6495"/>
      <w:bookmarkStart w:id="3836" w:name="_Toc32380"/>
      <w:bookmarkStart w:id="3837" w:name="_Toc29890"/>
      <w:bookmarkStart w:id="3838" w:name="_Toc15974"/>
      <w:bookmarkStart w:id="3839" w:name="_Toc1213"/>
      <w:bookmarkStart w:id="3840" w:name="_Toc858"/>
      <w:bookmarkStart w:id="3841" w:name="_Toc22707"/>
      <w:bookmarkStart w:id="3842" w:name="_Toc17780"/>
      <w:bookmarkStart w:id="3843" w:name="_Toc13736"/>
      <w:bookmarkStart w:id="3844" w:name="_Toc29732"/>
      <w:bookmarkStart w:id="3845" w:name="_Toc517532157"/>
      <w:bookmarkStart w:id="3846" w:name="_Toc12928"/>
      <w:bookmarkStart w:id="3847" w:name="_Toc517530881"/>
      <w:r>
        <w:rPr>
          <w:rFonts w:ascii="宋体" w:hAnsi="宋体" w:eastAsia="宋体" w:cs="华文仿宋"/>
          <w:b/>
          <w:bCs/>
          <w:color w:val="auto"/>
          <w:sz w:val="24"/>
          <w:szCs w:val="24"/>
        </w:rPr>
        <w:t>12.1.3</w:t>
      </w:r>
      <w:r>
        <w:rPr>
          <w:rFonts w:ascii="宋体" w:hAnsi="宋体" w:cs="华文仿宋"/>
          <w:b/>
          <w:bCs/>
          <w:color w:val="auto"/>
          <w:sz w:val="24"/>
          <w:szCs w:val="24"/>
        </w:rPr>
        <w:t>专业工程暂估价的最后确定</w:t>
      </w:r>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使用专业工程暂估价的项目有两类，其费用的最后确定方式是不相同的：</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）该专项工程预算价未超过招标文件中所列的专业工程暂估价的：该专项工程施工前，承包人应按合同及规定做出预算书报监理人审核，再按</w:t>
      </w:r>
      <w:r>
        <w:rPr>
          <w:rFonts w:ascii="宋体" w:hAnsi="宋体" w:eastAsia="宋体" w:cs="华文仿宋"/>
          <w:color w:val="auto"/>
          <w:szCs w:val="21"/>
        </w:rPr>
        <w:t>10.3</w:t>
      </w:r>
      <w:r>
        <w:rPr>
          <w:rFonts w:ascii="宋体" w:hAnsi="宋体" w:cs="华文仿宋"/>
          <w:color w:val="auto"/>
          <w:szCs w:val="21"/>
        </w:rPr>
        <w:t>条款中工程量清单以外的项目的程序执行确定结算价，结算时应以暂估价为上限。</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）该专项工程预算价超过招标文件中所列的专业工程暂估价的：发包人通过公开招标方式重新确定该专项工程的承包人。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848" w:name="_Toc431"/>
      <w:bookmarkStart w:id="3849" w:name="_Toc28073"/>
      <w:bookmarkStart w:id="3850" w:name="_Toc10343"/>
      <w:bookmarkStart w:id="3851" w:name="_Toc8219"/>
      <w:bookmarkStart w:id="3852" w:name="_Toc517532158"/>
      <w:bookmarkStart w:id="3853" w:name="_Toc18676"/>
      <w:bookmarkStart w:id="3854" w:name="_Toc16710"/>
      <w:bookmarkStart w:id="3855" w:name="_Toc9473"/>
      <w:bookmarkStart w:id="3856" w:name="_Toc32686"/>
      <w:bookmarkStart w:id="3857" w:name="_Toc14213"/>
      <w:bookmarkStart w:id="3858" w:name="_Toc14216"/>
      <w:bookmarkStart w:id="3859" w:name="_Toc29230"/>
      <w:bookmarkStart w:id="3860" w:name="_Toc22979"/>
      <w:bookmarkStart w:id="3861" w:name="_Toc29742"/>
      <w:bookmarkStart w:id="3862" w:name="_Toc7640"/>
      <w:bookmarkStart w:id="3863" w:name="_Toc11324"/>
      <w:bookmarkStart w:id="3864" w:name="_Toc5529"/>
      <w:bookmarkStart w:id="3865" w:name="_Toc517530882"/>
      <w:bookmarkStart w:id="3866" w:name="_Toc27117"/>
      <w:bookmarkStart w:id="3867" w:name="_Toc17972"/>
      <w:r>
        <w:rPr>
          <w:rFonts w:ascii="宋体" w:hAnsi="宋体" w:eastAsia="宋体" w:cs="华文仿宋"/>
          <w:b/>
          <w:bCs/>
          <w:color w:val="auto"/>
          <w:sz w:val="24"/>
          <w:szCs w:val="24"/>
        </w:rPr>
        <w:t>12.1.4</w:t>
      </w:r>
      <w:r>
        <w:rPr>
          <w:rFonts w:ascii="宋体" w:hAnsi="宋体" w:cs="华文仿宋"/>
          <w:b/>
          <w:bCs/>
          <w:color w:val="auto"/>
          <w:sz w:val="24"/>
          <w:szCs w:val="24"/>
        </w:rPr>
        <w:t>材料设备暂估价的最后确定</w:t>
      </w:r>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投标报价时采用的暂估价不作为结算依据。暂估价的最后确定均通过后期招标或询价方式进行（甲控乙供），同时需遵守深圳市相关主管部门的规定。结算时相应综合单价仅对主材价格及相关规费、税金进行调整（即补偿主材最终定价与暂估价间的差价），其它部分包干，不予调整。</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暂估价的最后确定的方式：</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）暂估价未达到法定应当招标限额的，按照深圳市相关主管部门的规定执行</w:t>
      </w:r>
      <w:r>
        <w:rPr>
          <w:rFonts w:ascii="宋体" w:hAnsi="宋体" w:eastAsia="宋体" w:cs="华文仿宋"/>
          <w:color w:val="auto"/>
          <w:szCs w:val="21"/>
        </w:rPr>
        <w:t>,</w:t>
      </w:r>
      <w:r>
        <w:rPr>
          <w:rFonts w:ascii="宋体" w:hAnsi="宋体" w:cs="华文仿宋"/>
          <w:color w:val="auto"/>
          <w:szCs w:val="21"/>
        </w:rPr>
        <w:t>根据具体情形采用询价采购、竞争性谈判等方式采购；</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 xml:space="preserve">(b) </w:t>
      </w:r>
      <w:r>
        <w:rPr>
          <w:rFonts w:ascii="宋体" w:hAnsi="宋体" w:cs="华文仿宋"/>
          <w:color w:val="auto"/>
          <w:szCs w:val="21"/>
        </w:rPr>
        <w:t>暂估价达到法定应当招标限额的，由承包人以公开招标方式进行定价，招标前相关技术标准和最高限价须报发包人审核确认。</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868" w:name="_Toc11714"/>
      <w:bookmarkStart w:id="3869" w:name="_Toc11574"/>
      <w:bookmarkStart w:id="3870" w:name="_Toc31437"/>
      <w:bookmarkStart w:id="3871" w:name="_Toc9142"/>
      <w:bookmarkStart w:id="3872" w:name="_Toc12823"/>
      <w:bookmarkStart w:id="3873" w:name="_Toc28959"/>
      <w:bookmarkStart w:id="3874" w:name="_Toc517532159"/>
      <w:bookmarkStart w:id="3875" w:name="_Toc25239"/>
      <w:bookmarkStart w:id="3876" w:name="_Toc15928"/>
      <w:bookmarkStart w:id="3877" w:name="_Toc29481"/>
      <w:bookmarkStart w:id="3878" w:name="_Toc32736"/>
      <w:bookmarkStart w:id="3879" w:name="_Toc13693"/>
      <w:bookmarkStart w:id="3880" w:name="_Toc4442"/>
      <w:bookmarkStart w:id="3881" w:name="_Toc2553"/>
      <w:bookmarkStart w:id="3882" w:name="_Toc29501"/>
      <w:bookmarkStart w:id="3883" w:name="_Toc14349"/>
      <w:bookmarkStart w:id="3884" w:name="_Toc26443"/>
      <w:bookmarkStart w:id="3885" w:name="_Toc9406"/>
      <w:bookmarkStart w:id="3886" w:name="_Toc13999"/>
      <w:bookmarkStart w:id="3887" w:name="_Toc517530883"/>
      <w:r>
        <w:rPr>
          <w:rFonts w:ascii="宋体" w:hAnsi="宋体" w:eastAsia="宋体" w:cs="华文仿宋"/>
          <w:b/>
          <w:bCs/>
          <w:color w:val="auto"/>
          <w:sz w:val="24"/>
          <w:szCs w:val="24"/>
        </w:rPr>
        <w:t>12.1.5</w:t>
      </w:r>
      <w:r>
        <w:rPr>
          <w:rFonts w:ascii="宋体" w:hAnsi="宋体" w:cs="华文仿宋"/>
          <w:b/>
          <w:bCs/>
          <w:color w:val="auto"/>
          <w:sz w:val="24"/>
          <w:szCs w:val="24"/>
        </w:rPr>
        <w:t>暂列金额的最后确定</w:t>
      </w:r>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暂列金额是发包人为可能发生的工程量变更而预留的金额，并非支付给承包人的实际费用。暂列金额的使用应按第</w:t>
      </w:r>
      <w:r>
        <w:rPr>
          <w:rFonts w:ascii="宋体" w:hAnsi="宋体" w:eastAsia="宋体" w:cs="华文仿宋"/>
          <w:color w:val="auto"/>
          <w:szCs w:val="21"/>
        </w:rPr>
        <w:t>10</w:t>
      </w:r>
      <w:r>
        <w:rPr>
          <w:rFonts w:ascii="宋体" w:hAnsi="宋体" w:cs="华文仿宋"/>
          <w:color w:val="auto"/>
          <w:szCs w:val="21"/>
        </w:rPr>
        <w:t>条规定并确定使用。</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888" w:name="_Toc31867"/>
      <w:bookmarkStart w:id="3889" w:name="_Toc8625"/>
      <w:bookmarkStart w:id="3890" w:name="_Toc12444"/>
      <w:bookmarkStart w:id="3891" w:name="_Toc22129"/>
      <w:bookmarkStart w:id="3892" w:name="_Toc465237125"/>
      <w:bookmarkStart w:id="3893" w:name="_Toc22071"/>
      <w:bookmarkStart w:id="3894" w:name="_Toc4086"/>
      <w:bookmarkStart w:id="3895" w:name="_Toc27898"/>
      <w:bookmarkStart w:id="3896" w:name="_Toc17777"/>
      <w:bookmarkStart w:id="3897" w:name="_Toc13381"/>
      <w:bookmarkStart w:id="3898" w:name="_Toc5994"/>
      <w:bookmarkStart w:id="3899" w:name="_Toc517530884"/>
      <w:bookmarkStart w:id="3900" w:name="_Toc1063"/>
      <w:bookmarkStart w:id="3901" w:name="_Toc25419"/>
      <w:bookmarkStart w:id="3902" w:name="_Toc7972"/>
      <w:bookmarkStart w:id="3903" w:name="_Toc18697"/>
      <w:bookmarkStart w:id="3904" w:name="_Toc19059"/>
      <w:bookmarkStart w:id="3905" w:name="_Toc17309"/>
      <w:bookmarkStart w:id="3906" w:name="_Toc517532160"/>
      <w:bookmarkStart w:id="3907" w:name="_Toc465237222"/>
      <w:bookmarkStart w:id="3908" w:name="_Toc517528714"/>
      <w:bookmarkStart w:id="3909" w:name="_Toc13285"/>
      <w:bookmarkStart w:id="3910" w:name="_Toc18532"/>
      <w:r>
        <w:rPr>
          <w:rFonts w:ascii="宋体" w:hAnsi="宋体" w:eastAsia="宋体" w:cs="华文仿宋"/>
          <w:b/>
          <w:bCs/>
          <w:color w:val="auto"/>
          <w:sz w:val="28"/>
          <w:szCs w:val="28"/>
        </w:rPr>
        <w:t>12.2</w:t>
      </w:r>
      <w:r>
        <w:rPr>
          <w:rFonts w:ascii="宋体" w:hAnsi="宋体" w:cs="华文仿宋"/>
          <w:b/>
          <w:bCs/>
          <w:color w:val="auto"/>
          <w:sz w:val="28"/>
          <w:szCs w:val="28"/>
        </w:rPr>
        <w:t>工程量</w:t>
      </w:r>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911" w:name="_Toc517530885"/>
      <w:bookmarkStart w:id="3912" w:name="_Toc517532161"/>
      <w:bookmarkStart w:id="3913" w:name="_Toc19845"/>
      <w:bookmarkStart w:id="3914" w:name="_Toc32101"/>
      <w:bookmarkStart w:id="3915" w:name="_Toc5169"/>
      <w:bookmarkStart w:id="3916" w:name="_Toc16545"/>
      <w:bookmarkStart w:id="3917" w:name="_Toc20886"/>
      <w:bookmarkStart w:id="3918" w:name="_Toc23948"/>
      <w:bookmarkStart w:id="3919" w:name="_Toc26072"/>
      <w:bookmarkStart w:id="3920" w:name="_Toc3825"/>
      <w:bookmarkStart w:id="3921" w:name="_Toc28954"/>
      <w:bookmarkStart w:id="3922" w:name="_Toc18755"/>
      <w:bookmarkStart w:id="3923" w:name="_Toc14408"/>
      <w:bookmarkStart w:id="3924" w:name="_Toc7541"/>
      <w:bookmarkStart w:id="3925" w:name="_Toc27771"/>
      <w:bookmarkStart w:id="3926" w:name="_Toc32275"/>
      <w:bookmarkStart w:id="3927" w:name="_Toc17655"/>
      <w:bookmarkStart w:id="3928" w:name="_Toc22291"/>
      <w:bookmarkStart w:id="3929" w:name="_Toc5660"/>
      <w:bookmarkStart w:id="3930" w:name="_Toc20618"/>
      <w:r>
        <w:rPr>
          <w:rFonts w:ascii="宋体" w:hAnsi="宋体" w:eastAsia="宋体" w:cs="华文仿宋"/>
          <w:b/>
          <w:bCs/>
          <w:color w:val="auto"/>
          <w:sz w:val="24"/>
          <w:szCs w:val="24"/>
        </w:rPr>
        <w:t>12.2.1</w:t>
      </w:r>
      <w:r>
        <w:rPr>
          <w:rFonts w:ascii="宋体" w:hAnsi="宋体" w:cs="华文仿宋"/>
          <w:b/>
          <w:bCs/>
          <w:color w:val="auto"/>
          <w:sz w:val="24"/>
          <w:szCs w:val="24"/>
        </w:rPr>
        <w:t>工程量清单</w:t>
      </w:r>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工程量清单中开列的工程量是根据本工程的设计提供的预计工程量，其不能作为承包人在履行合同义务过程中应予完成工程的实际和准确的工程量。</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931" w:name="_Toc16608"/>
      <w:bookmarkStart w:id="3932" w:name="_Toc18851"/>
      <w:bookmarkStart w:id="3933" w:name="_Toc15871"/>
      <w:bookmarkStart w:id="3934" w:name="_Toc28391"/>
      <w:bookmarkStart w:id="3935" w:name="_Toc10678"/>
      <w:bookmarkStart w:id="3936" w:name="_Toc517530886"/>
      <w:bookmarkStart w:id="3937" w:name="_Toc19852"/>
      <w:bookmarkStart w:id="3938" w:name="_Toc517532162"/>
      <w:bookmarkStart w:id="3939" w:name="_Toc2589"/>
      <w:bookmarkStart w:id="3940" w:name="_Toc16570"/>
      <w:bookmarkStart w:id="3941" w:name="_Toc16502"/>
      <w:bookmarkStart w:id="3942" w:name="_Toc7046"/>
      <w:bookmarkStart w:id="3943" w:name="_Toc15973"/>
      <w:bookmarkStart w:id="3944" w:name="_Toc13878"/>
      <w:bookmarkStart w:id="3945" w:name="_Toc23255"/>
      <w:bookmarkStart w:id="3946" w:name="_Toc17674"/>
      <w:bookmarkStart w:id="3947" w:name="_Toc29425"/>
      <w:bookmarkStart w:id="3948" w:name="_Toc7836"/>
      <w:bookmarkStart w:id="3949" w:name="_Toc17805"/>
      <w:bookmarkStart w:id="3950" w:name="_Toc15390"/>
      <w:r>
        <w:rPr>
          <w:rFonts w:ascii="宋体" w:hAnsi="宋体" w:eastAsia="宋体" w:cs="华文仿宋"/>
          <w:b/>
          <w:bCs/>
          <w:color w:val="auto"/>
          <w:sz w:val="24"/>
          <w:szCs w:val="24"/>
        </w:rPr>
        <w:t>12.2.2</w:t>
      </w:r>
      <w:r>
        <w:rPr>
          <w:rFonts w:ascii="宋体" w:hAnsi="宋体" w:cs="华文仿宋"/>
          <w:b/>
          <w:bCs/>
          <w:color w:val="auto"/>
          <w:sz w:val="24"/>
          <w:szCs w:val="24"/>
        </w:rPr>
        <w:t>工程量清单的复核</w:t>
      </w:r>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合同签订之后</w:t>
      </w:r>
      <w:r>
        <w:rPr>
          <w:rFonts w:ascii="宋体" w:hAnsi="宋体" w:cs="华文仿宋"/>
          <w:color w:val="auto"/>
          <w:szCs w:val="21"/>
          <w:u w:val="single"/>
        </w:rPr>
        <w:t xml:space="preserve"> </w:t>
      </w:r>
      <w:r>
        <w:rPr>
          <w:rFonts w:ascii="宋体" w:hAnsi="宋体" w:eastAsia="宋体" w:cs="华文仿宋"/>
          <w:color w:val="auto"/>
          <w:szCs w:val="21"/>
          <w:u w:val="single"/>
        </w:rPr>
        <w:t>90</w:t>
      </w:r>
      <w:r>
        <w:rPr>
          <w:rFonts w:ascii="宋体" w:hAnsi="宋体" w:cs="华文仿宋"/>
          <w:color w:val="auto"/>
          <w:szCs w:val="21"/>
        </w:rPr>
        <w:t>天内，承包人对工程量清单进行复核（以施工图为复核依据），复核结果报监理人、发包人核对确认。如果承包人不在规定时间内完成复核工作，发包人有权对其记录不良行为，或同时予以当期履约评价不合格的处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951" w:name="_Toc8526"/>
      <w:bookmarkStart w:id="3952" w:name="_Toc11965"/>
      <w:bookmarkStart w:id="3953" w:name="_Toc517530887"/>
      <w:bookmarkStart w:id="3954" w:name="_Toc8291"/>
      <w:bookmarkStart w:id="3955" w:name="_Toc699"/>
      <w:bookmarkStart w:id="3956" w:name="_Toc14695"/>
      <w:bookmarkStart w:id="3957" w:name="_Toc8218"/>
      <w:bookmarkStart w:id="3958" w:name="_Toc14266"/>
      <w:bookmarkStart w:id="3959" w:name="_Toc22265"/>
      <w:bookmarkStart w:id="3960" w:name="_Toc21086"/>
      <w:bookmarkStart w:id="3961" w:name="_Toc2496"/>
      <w:bookmarkStart w:id="3962" w:name="_Toc24393"/>
      <w:bookmarkStart w:id="3963" w:name="_Toc16851"/>
      <w:bookmarkStart w:id="3964" w:name="_Toc29067"/>
      <w:bookmarkStart w:id="3965" w:name="_Toc30458"/>
      <w:bookmarkStart w:id="3966" w:name="_Toc16297"/>
      <w:bookmarkStart w:id="3967" w:name="_Toc15929"/>
      <w:bookmarkStart w:id="3968" w:name="_Toc2821"/>
      <w:bookmarkStart w:id="3969" w:name="_Toc517532163"/>
      <w:bookmarkStart w:id="3970" w:name="_Toc7641"/>
      <w:r>
        <w:rPr>
          <w:rFonts w:ascii="宋体" w:hAnsi="宋体" w:eastAsia="宋体" w:cs="华文仿宋"/>
          <w:b/>
          <w:bCs/>
          <w:color w:val="auto"/>
          <w:sz w:val="24"/>
          <w:szCs w:val="24"/>
        </w:rPr>
        <w:t>12.2.3</w:t>
      </w:r>
      <w:r>
        <w:rPr>
          <w:rFonts w:ascii="宋体" w:hAnsi="宋体" w:cs="华文仿宋"/>
          <w:b/>
          <w:bCs/>
          <w:color w:val="auto"/>
          <w:sz w:val="24"/>
          <w:szCs w:val="24"/>
        </w:rPr>
        <w:t>工程计量</w:t>
      </w:r>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另有规定外，监理人应该根据合同规定，对承包人提出的已完工程量通过计量来核实和确定其价值，而承包人则应该根据此价值按照合同有关规定得到支付。当监理人提出对工程任一部分进行计量核实时，应在合理的时间内通知承包人的项目经理，而该项目经理则应：</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立即参加或派出其合格的代表前往协助监理人从事上述计量核实工程；</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提供所需的一切详细资料。</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不参加或未派上述代表前往，则由监理人所作的或批准的计量应认为是对工程的正确计量。为了对需要采用记录和图纸计量的永久工程进行计量，承包人应在工作过程中准备好该工程的记录和图纸，并提交给监理人，并根据监理人通知的时间与其一起审查有关记录和图纸。如果双方均同意时，则双方应在上述文件上签字。如果承包人对监理人计量核实后的确定不予同意，则承包人应在上述审查后</w:t>
      </w:r>
      <w:r>
        <w:rPr>
          <w:rFonts w:ascii="宋体" w:hAnsi="宋体" w:eastAsia="宋体" w:cs="华文仿宋"/>
          <w:color w:val="auto"/>
          <w:szCs w:val="21"/>
        </w:rPr>
        <w:t>7</w:t>
      </w:r>
      <w:r>
        <w:rPr>
          <w:rFonts w:ascii="宋体" w:hAnsi="宋体" w:cs="华文仿宋"/>
          <w:color w:val="auto"/>
          <w:szCs w:val="21"/>
        </w:rPr>
        <w:t>天之内向监理人提出书面申辩，申明承包人认为有异议的内容。监理人收到上述申辩后，应重新检查对记录和图纸的计量审核，予以确认或修改。如果承包人不出席对上述图纸和记录的审查和确认，则应认为监理人对这些记录和图纸通过计量核实后的确定是正确无误的。</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监理人在组织工程计量时，应及时通知发包人及承包人由三方联测并现场签认。最终以评审中心或发包人指定的第三方审定为准。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3971" w:name="_Toc517532164"/>
      <w:bookmarkStart w:id="3972" w:name="_Toc12806"/>
      <w:bookmarkStart w:id="3973" w:name="_Toc4071"/>
      <w:bookmarkStart w:id="3974" w:name="_Toc16286"/>
      <w:bookmarkStart w:id="3975" w:name="_Toc26415"/>
      <w:bookmarkStart w:id="3976" w:name="_Toc7123"/>
      <w:bookmarkStart w:id="3977" w:name="_Toc18480"/>
      <w:bookmarkStart w:id="3978" w:name="_Toc22133"/>
      <w:bookmarkStart w:id="3979" w:name="_Toc6370"/>
      <w:bookmarkStart w:id="3980" w:name="_Toc517530888"/>
      <w:bookmarkStart w:id="3981" w:name="_Toc15514"/>
      <w:bookmarkStart w:id="3982" w:name="_Toc16482"/>
      <w:bookmarkStart w:id="3983" w:name="_Toc586"/>
      <w:bookmarkStart w:id="3984" w:name="_Toc17236"/>
      <w:bookmarkStart w:id="3985" w:name="_Toc30684"/>
      <w:bookmarkStart w:id="3986" w:name="_Toc3386"/>
      <w:bookmarkStart w:id="3987" w:name="_Toc19409"/>
      <w:bookmarkStart w:id="3988" w:name="_Toc14495"/>
      <w:bookmarkStart w:id="3989" w:name="_Toc30344"/>
      <w:bookmarkStart w:id="3990" w:name="_Toc8272"/>
      <w:r>
        <w:rPr>
          <w:rFonts w:ascii="宋体" w:hAnsi="宋体" w:eastAsia="宋体" w:cs="华文仿宋"/>
          <w:b/>
          <w:bCs/>
          <w:color w:val="auto"/>
          <w:sz w:val="24"/>
          <w:szCs w:val="24"/>
        </w:rPr>
        <w:t>12.2.4</w:t>
      </w:r>
      <w:r>
        <w:rPr>
          <w:rFonts w:ascii="宋体" w:hAnsi="宋体" w:cs="华文仿宋"/>
          <w:b/>
          <w:bCs/>
          <w:color w:val="auto"/>
          <w:sz w:val="24"/>
          <w:szCs w:val="24"/>
        </w:rPr>
        <w:t>计量方法</w:t>
      </w:r>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工程的计量应以工程量清单投标报价规定中计量方法为原则，以净值为准，除非合同另有规定。</w:t>
      </w:r>
      <w:bookmarkStart w:id="3991" w:name="_Toc337558799"/>
      <w:bookmarkEnd w:id="3991"/>
      <w:bookmarkStart w:id="3992" w:name="_Toc296503096"/>
      <w:bookmarkEnd w:id="3992"/>
      <w:bookmarkStart w:id="3993" w:name="_Toc296346597"/>
      <w:bookmarkEnd w:id="3993"/>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3994" w:name="_Toc296503101"/>
      <w:bookmarkStart w:id="3995" w:name="_Toc351203584"/>
      <w:bookmarkStart w:id="3996" w:name="_Toc296346602"/>
      <w:bookmarkStart w:id="3997" w:name="_Toc15810"/>
      <w:bookmarkStart w:id="3998" w:name="_Toc465237223"/>
      <w:bookmarkStart w:id="3999" w:name="_Toc11018"/>
      <w:bookmarkStart w:id="4000" w:name="_Toc31443"/>
      <w:bookmarkStart w:id="4001" w:name="_Toc465237126"/>
      <w:bookmarkStart w:id="4002" w:name="_Toc6034"/>
      <w:bookmarkStart w:id="4003" w:name="_Toc6906"/>
      <w:bookmarkStart w:id="4004" w:name="_Toc15556"/>
      <w:bookmarkStart w:id="4005" w:name="_Toc9128"/>
      <w:bookmarkStart w:id="4006" w:name="_Toc15270"/>
      <w:bookmarkStart w:id="4007" w:name="_Toc25262"/>
      <w:bookmarkStart w:id="4008" w:name="_Toc3569"/>
      <w:bookmarkStart w:id="4009" w:name="_Toc31999"/>
      <w:bookmarkStart w:id="4010" w:name="_Toc9541"/>
      <w:bookmarkStart w:id="4011" w:name="_Toc15557"/>
      <w:bookmarkStart w:id="4012" w:name="_Toc27134"/>
      <w:bookmarkStart w:id="4013" w:name="_Toc517530889"/>
      <w:bookmarkStart w:id="4014" w:name="_Toc19212"/>
      <w:bookmarkStart w:id="4015" w:name="_Toc23479"/>
      <w:bookmarkStart w:id="4016" w:name="_Toc517532165"/>
      <w:bookmarkStart w:id="4017" w:name="_Toc20203"/>
      <w:bookmarkStart w:id="4018" w:name="_Toc517528715"/>
      <w:bookmarkStart w:id="4019" w:name="_Toc31539"/>
      <w:r>
        <w:rPr>
          <w:rFonts w:ascii="宋体" w:hAnsi="宋体" w:eastAsia="宋体" w:cs="华文仿宋"/>
          <w:b/>
          <w:bCs/>
          <w:color w:val="auto"/>
          <w:sz w:val="28"/>
          <w:szCs w:val="28"/>
        </w:rPr>
        <w:t>12.3</w:t>
      </w:r>
      <w:r>
        <w:rPr>
          <w:rFonts w:ascii="宋体" w:hAnsi="宋体" w:cs="华文仿宋"/>
          <w:b/>
          <w:bCs/>
          <w:color w:val="auto"/>
          <w:sz w:val="28"/>
          <w:szCs w:val="28"/>
        </w:rPr>
        <w:t>工程款</w:t>
      </w:r>
      <w:bookmarkEnd w:id="3994"/>
      <w:bookmarkEnd w:id="3995"/>
      <w:bookmarkEnd w:id="3996"/>
      <w:r>
        <w:rPr>
          <w:rFonts w:ascii="宋体" w:hAnsi="宋体" w:cs="华文仿宋"/>
          <w:b/>
          <w:bCs/>
          <w:color w:val="auto"/>
          <w:sz w:val="28"/>
          <w:szCs w:val="28"/>
        </w:rPr>
        <w:t>的支付</w:t>
      </w:r>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Start w:id="4020" w:name="_Toc337558803"/>
      <w:bookmarkEnd w:id="4020"/>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021" w:name="_Toc30943"/>
      <w:bookmarkStart w:id="4022" w:name="_Toc11436"/>
      <w:bookmarkStart w:id="4023" w:name="_Toc29824"/>
      <w:bookmarkStart w:id="4024" w:name="_Toc29518"/>
      <w:bookmarkStart w:id="4025" w:name="_Toc22014"/>
      <w:bookmarkStart w:id="4026" w:name="_Toc21334"/>
      <w:bookmarkStart w:id="4027" w:name="_Toc25596"/>
      <w:bookmarkStart w:id="4028" w:name="_Toc24499"/>
      <w:bookmarkStart w:id="4029" w:name="_Toc15118"/>
      <w:bookmarkStart w:id="4030" w:name="_Toc11164"/>
      <w:bookmarkStart w:id="4031" w:name="_Toc8793"/>
      <w:bookmarkStart w:id="4032" w:name="_Toc15504"/>
      <w:bookmarkStart w:id="4033" w:name="_Toc517532166"/>
      <w:bookmarkStart w:id="4034" w:name="_Toc25185"/>
      <w:bookmarkStart w:id="4035" w:name="_Toc10363"/>
      <w:bookmarkStart w:id="4036" w:name="_Toc31888"/>
      <w:bookmarkStart w:id="4037" w:name="_Toc29577"/>
      <w:bookmarkStart w:id="4038" w:name="_Toc4662"/>
      <w:bookmarkStart w:id="4039" w:name="_Toc15258"/>
      <w:bookmarkStart w:id="4040" w:name="_Toc517530890"/>
      <w:r>
        <w:rPr>
          <w:rFonts w:ascii="宋体" w:hAnsi="宋体" w:eastAsia="宋体" w:cs="华文仿宋"/>
          <w:b/>
          <w:bCs/>
          <w:color w:val="auto"/>
          <w:sz w:val="24"/>
          <w:szCs w:val="24"/>
        </w:rPr>
        <w:t>12.3.1</w:t>
      </w:r>
      <w:r>
        <w:rPr>
          <w:rFonts w:ascii="宋体" w:hAnsi="宋体" w:cs="华文仿宋"/>
          <w:b/>
          <w:bCs/>
          <w:color w:val="auto"/>
          <w:sz w:val="24"/>
          <w:szCs w:val="24"/>
        </w:rPr>
        <w:t>合同用款计划的提交</w:t>
      </w:r>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承包人在收到中标通知书之日后，应随工程进度计划一起向监理人提交</w:t>
      </w:r>
      <w:r>
        <w:rPr>
          <w:rFonts w:ascii="宋体" w:hAnsi="宋体" w:eastAsia="宋体" w:cs="华文仿宋"/>
          <w:color w:val="auto"/>
          <w:szCs w:val="21"/>
          <w:u w:val="single"/>
        </w:rPr>
        <w:t>3</w:t>
      </w:r>
      <w:r>
        <w:rPr>
          <w:rFonts w:ascii="宋体" w:hAnsi="宋体" w:cs="华文仿宋"/>
          <w:color w:val="auto"/>
          <w:szCs w:val="21"/>
        </w:rPr>
        <w:t>份详细的月度合同用款计划，以备监理人查阅。如果监理人提出要求，承包人还应按月度提交修订的合同用款计划。</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承包人向监理人提交合同用款计划，并取得监理人的同意，不能因此而解除承包人根据合同规定应负的任何责任或义务。</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041" w:name="_Toc18093"/>
      <w:bookmarkStart w:id="4042" w:name="_Toc24782"/>
      <w:bookmarkStart w:id="4043" w:name="_Toc12608"/>
      <w:bookmarkStart w:id="4044" w:name="_Toc30615"/>
      <w:bookmarkStart w:id="4045" w:name="_Toc517532167"/>
      <w:bookmarkStart w:id="4046" w:name="_Toc23141"/>
      <w:bookmarkStart w:id="4047" w:name="_Toc13436"/>
      <w:bookmarkStart w:id="4048" w:name="_Toc5241"/>
      <w:bookmarkStart w:id="4049" w:name="_Toc11687"/>
      <w:bookmarkStart w:id="4050" w:name="_Toc25037"/>
      <w:bookmarkStart w:id="4051" w:name="_Toc27494"/>
      <w:bookmarkStart w:id="4052" w:name="_Toc3496"/>
      <w:bookmarkStart w:id="4053" w:name="_Toc7830"/>
      <w:bookmarkStart w:id="4054" w:name="_Toc22758"/>
      <w:bookmarkStart w:id="4055" w:name="_Toc3393"/>
      <w:bookmarkStart w:id="4056" w:name="_Toc22031"/>
      <w:bookmarkStart w:id="4057" w:name="_Toc17012"/>
      <w:bookmarkStart w:id="4058" w:name="_Toc3705"/>
      <w:bookmarkStart w:id="4059" w:name="_Toc517530891"/>
      <w:bookmarkStart w:id="4060" w:name="_Toc10002"/>
      <w:r>
        <w:rPr>
          <w:rFonts w:ascii="宋体" w:hAnsi="宋体" w:eastAsia="宋体" w:cs="华文仿宋"/>
          <w:b/>
          <w:bCs/>
          <w:color w:val="auto"/>
          <w:sz w:val="24"/>
          <w:szCs w:val="24"/>
        </w:rPr>
        <w:t>12.3.2</w:t>
      </w:r>
      <w:r>
        <w:rPr>
          <w:rFonts w:ascii="宋体" w:hAnsi="宋体" w:cs="华文仿宋"/>
          <w:b/>
          <w:bCs/>
          <w:color w:val="auto"/>
          <w:sz w:val="24"/>
          <w:szCs w:val="24"/>
        </w:rPr>
        <w:t>月结账单</w:t>
      </w:r>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承包人应在每月末向监理人提交由其项目经理签署的、按监理人批准格式填写的月结账单一式</w:t>
      </w:r>
      <w:r>
        <w:rPr>
          <w:rFonts w:ascii="宋体" w:hAnsi="宋体" w:eastAsia="宋体" w:cs="华文仿宋"/>
          <w:color w:val="auto"/>
          <w:szCs w:val="21"/>
        </w:rPr>
        <w:t>6</w:t>
      </w:r>
      <w:r>
        <w:rPr>
          <w:rFonts w:ascii="宋体" w:hAnsi="宋体" w:cs="华文仿宋"/>
          <w:color w:val="auto"/>
          <w:szCs w:val="21"/>
        </w:rPr>
        <w:t>份，报监理人，该结账单包括以下栏目，承包人应逐项填写清楚（以下当期计价金额按实际完成的</w:t>
      </w:r>
      <w:r>
        <w:rPr>
          <w:rFonts w:ascii="宋体" w:hAnsi="宋体" w:eastAsia="宋体" w:cs="华文仿宋"/>
          <w:color w:val="auto"/>
          <w:szCs w:val="21"/>
        </w:rPr>
        <w:t>90%</w:t>
      </w:r>
      <w:r>
        <w:rPr>
          <w:rFonts w:ascii="宋体" w:hAnsi="宋体" w:cs="华文仿宋"/>
          <w:color w:val="auto"/>
          <w:szCs w:val="21"/>
        </w:rPr>
        <w:t>计算）：</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自开工截至本月末止已完成的工程价款；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自开工截止上月末已完成的（已实际结算的）工程价款；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本月完成的（应结算的）工程价款，即</w:t>
      </w:r>
      <w:r>
        <w:rPr>
          <w:rFonts w:ascii="宋体" w:hAnsi="宋体" w:eastAsia="宋体" w:cs="华文仿宋"/>
          <w:color w:val="auto"/>
          <w:szCs w:val="21"/>
        </w:rPr>
        <w:t>(a)-(b)</w:t>
      </w:r>
      <w:r>
        <w:rPr>
          <w:rFonts w:ascii="宋体" w:hAnsi="宋体" w:cs="华文仿宋"/>
          <w:color w:val="auto"/>
          <w:szCs w:val="21"/>
        </w:rPr>
        <w:t>；</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本月完成的（应结算的）计日工价款；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本月应支付的专业工程暂估价价款；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(f)</w:t>
      </w:r>
      <w:r>
        <w:rPr>
          <w:rFonts w:ascii="宋体" w:hAnsi="宋体" w:cs="华文仿宋"/>
          <w:color w:val="auto"/>
          <w:szCs w:val="21"/>
        </w:rPr>
        <w:t>本月应支付的（按第</w:t>
      </w:r>
      <w:r>
        <w:rPr>
          <w:rFonts w:ascii="宋体" w:hAnsi="宋体" w:eastAsia="宋体" w:cs="华文仿宋"/>
          <w:color w:val="auto"/>
          <w:szCs w:val="21"/>
        </w:rPr>
        <w:t>12.3.6</w:t>
      </w:r>
      <w:r>
        <w:rPr>
          <w:rFonts w:ascii="宋体" w:hAnsi="宋体" w:cs="华文仿宋"/>
          <w:color w:val="auto"/>
          <w:szCs w:val="21"/>
        </w:rPr>
        <w:t>条）已进场将用于和安装在永久工程中的材料、设备预付款；</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(g)</w:t>
      </w:r>
      <w:r>
        <w:rPr>
          <w:rFonts w:ascii="宋体" w:hAnsi="宋体" w:cs="华文仿宋"/>
          <w:color w:val="auto"/>
          <w:szCs w:val="21"/>
        </w:rPr>
        <w:t>根据合同规定，本月应结算的其他款项；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(h)</w:t>
      </w:r>
      <w:r>
        <w:rPr>
          <w:rFonts w:ascii="宋体" w:hAnsi="宋体" w:cs="华文仿宋"/>
          <w:color w:val="auto"/>
          <w:szCs w:val="21"/>
        </w:rPr>
        <w:t>费用和法规的变更发生的款项（按第</w:t>
      </w:r>
      <w:r>
        <w:rPr>
          <w:rFonts w:ascii="宋体" w:hAnsi="宋体" w:eastAsia="宋体" w:cs="华文仿宋"/>
          <w:color w:val="auto"/>
          <w:szCs w:val="21"/>
        </w:rPr>
        <w:t>12.1</w:t>
      </w:r>
      <w:r>
        <w:rPr>
          <w:rFonts w:ascii="宋体" w:hAnsi="宋体" w:cs="华文仿宋"/>
          <w:color w:val="auto"/>
          <w:szCs w:val="21"/>
        </w:rPr>
        <w:t>条规定办理）；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(i)</w:t>
      </w:r>
      <w:r>
        <w:rPr>
          <w:rFonts w:ascii="宋体" w:hAnsi="宋体" w:cs="华文仿宋"/>
          <w:color w:val="auto"/>
          <w:szCs w:val="21"/>
        </w:rPr>
        <w:t>本月应扣留的保留金和扣回的材料、设备预付款及开工预付款（分别按</w:t>
      </w:r>
      <w:r>
        <w:rPr>
          <w:rFonts w:ascii="宋体" w:hAnsi="宋体" w:eastAsia="宋体" w:cs="华文仿宋"/>
          <w:color w:val="auto"/>
          <w:szCs w:val="21"/>
        </w:rPr>
        <w:t>15.6</w:t>
      </w:r>
      <w:r>
        <w:rPr>
          <w:rFonts w:ascii="宋体" w:hAnsi="宋体" w:cs="华文仿宋"/>
          <w:color w:val="auto"/>
          <w:szCs w:val="21"/>
        </w:rPr>
        <w:t>、</w:t>
      </w:r>
      <w:r>
        <w:rPr>
          <w:rFonts w:ascii="宋体" w:hAnsi="宋体" w:eastAsia="宋体" w:cs="华文仿宋"/>
          <w:color w:val="auto"/>
          <w:szCs w:val="21"/>
        </w:rPr>
        <w:t>12.3.4</w:t>
      </w:r>
      <w:r>
        <w:rPr>
          <w:rFonts w:ascii="宋体" w:hAnsi="宋体" w:cs="华文仿宋"/>
          <w:color w:val="auto"/>
          <w:szCs w:val="21"/>
        </w:rPr>
        <w:t>、</w:t>
      </w:r>
      <w:r>
        <w:rPr>
          <w:rFonts w:ascii="宋体" w:hAnsi="宋体" w:eastAsia="宋体" w:cs="华文仿宋"/>
          <w:color w:val="auto"/>
          <w:szCs w:val="21"/>
        </w:rPr>
        <w:t>12.3.6</w:t>
      </w:r>
      <w:r>
        <w:rPr>
          <w:rFonts w:ascii="宋体" w:hAnsi="宋体" w:cs="华文仿宋"/>
          <w:color w:val="auto"/>
          <w:szCs w:val="21"/>
        </w:rPr>
        <w:t>条规定办理）；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(j)</w:t>
      </w:r>
      <w:r>
        <w:rPr>
          <w:rFonts w:ascii="宋体" w:hAnsi="宋体" w:cs="华文仿宋"/>
          <w:color w:val="auto"/>
          <w:szCs w:val="21"/>
        </w:rPr>
        <w:t>本月应扣除的拖期损失赔偿金（按第</w:t>
      </w:r>
      <w:r>
        <w:rPr>
          <w:rFonts w:ascii="宋体" w:hAnsi="宋体" w:eastAsia="宋体" w:cs="华文仿宋"/>
          <w:color w:val="auto"/>
          <w:szCs w:val="21"/>
        </w:rPr>
        <w:t>7.6.6</w:t>
      </w:r>
      <w:r>
        <w:rPr>
          <w:rFonts w:ascii="宋体" w:hAnsi="宋体" w:cs="华文仿宋"/>
          <w:color w:val="auto"/>
          <w:szCs w:val="21"/>
        </w:rPr>
        <w:t>条规定办理）；</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(k)</w:t>
      </w:r>
      <w:r>
        <w:rPr>
          <w:rFonts w:ascii="宋体" w:hAnsi="宋体" w:cs="华文仿宋"/>
          <w:color w:val="auto"/>
          <w:szCs w:val="21"/>
        </w:rPr>
        <w:t>根据合同规定，本月应扣除的其他款项。</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061" w:name="_Toc517532168"/>
      <w:bookmarkStart w:id="4062" w:name="_Toc17717"/>
      <w:bookmarkStart w:id="4063" w:name="_Toc15917"/>
      <w:bookmarkStart w:id="4064" w:name="_Toc5324"/>
      <w:bookmarkStart w:id="4065" w:name="_Toc24826"/>
      <w:bookmarkStart w:id="4066" w:name="_Toc27761"/>
      <w:bookmarkStart w:id="4067" w:name="_Toc12939"/>
      <w:bookmarkStart w:id="4068" w:name="_Toc11736"/>
      <w:bookmarkStart w:id="4069" w:name="_Toc517530892"/>
      <w:bookmarkStart w:id="4070" w:name="_Toc28694"/>
      <w:bookmarkStart w:id="4071" w:name="_Toc1771"/>
      <w:bookmarkStart w:id="4072" w:name="_Toc13011"/>
      <w:bookmarkStart w:id="4073" w:name="_Toc4432"/>
      <w:bookmarkStart w:id="4074" w:name="_Toc22472"/>
      <w:bookmarkStart w:id="4075" w:name="_Toc14385"/>
      <w:bookmarkStart w:id="4076" w:name="_Toc23296"/>
      <w:bookmarkStart w:id="4077" w:name="_Toc17806"/>
      <w:bookmarkStart w:id="4078" w:name="_Toc21639"/>
      <w:bookmarkStart w:id="4079" w:name="_Toc2428"/>
      <w:bookmarkStart w:id="4080" w:name="_Toc27849"/>
      <w:r>
        <w:rPr>
          <w:rFonts w:ascii="宋体" w:hAnsi="宋体" w:eastAsia="宋体" w:cs="华文仿宋"/>
          <w:b/>
          <w:bCs/>
          <w:color w:val="auto"/>
          <w:sz w:val="24"/>
          <w:szCs w:val="24"/>
        </w:rPr>
        <w:t>12.3.3</w:t>
      </w:r>
      <w:r>
        <w:rPr>
          <w:rFonts w:ascii="宋体" w:hAnsi="宋体" w:cs="华文仿宋"/>
          <w:b/>
          <w:bCs/>
          <w:color w:val="auto"/>
          <w:sz w:val="24"/>
          <w:szCs w:val="24"/>
        </w:rPr>
        <w:t>月支付</w:t>
      </w:r>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p>
    <w:p>
      <w:pPr>
        <w:tabs>
          <w:tab w:val="left" w:pos="1260"/>
        </w:tabs>
        <w:spacing w:line="360" w:lineRule="auto"/>
        <w:ind w:firstLine="420"/>
        <w:jc w:val="left"/>
        <w:rPr>
          <w:rFonts w:ascii="宋体" w:hAnsi="宋体" w:eastAsia="宋体" w:cs="华文仿宋"/>
          <w:color w:val="auto"/>
          <w:szCs w:val="21"/>
          <w:u w:val="single"/>
        </w:rPr>
      </w:pPr>
      <w:r>
        <w:rPr>
          <w:rFonts w:ascii="宋体" w:hAnsi="宋体" w:cs="华文仿宋"/>
          <w:color w:val="auto"/>
          <w:szCs w:val="21"/>
        </w:rPr>
        <w:t>监理人在收到上述结账单后</w:t>
      </w:r>
      <w:r>
        <w:rPr>
          <w:rFonts w:ascii="宋体" w:hAnsi="宋体" w:eastAsia="宋体" w:cs="华文仿宋"/>
          <w:color w:val="auto"/>
          <w:szCs w:val="21"/>
          <w:u w:val="single"/>
        </w:rPr>
        <w:t>14</w:t>
      </w:r>
      <w:r>
        <w:rPr>
          <w:rFonts w:ascii="宋体" w:hAnsi="宋体" w:cs="华文仿宋"/>
          <w:color w:val="auto"/>
          <w:szCs w:val="21"/>
        </w:rPr>
        <w:t>天内应签发期中支付证书，签发时应写明应该到期结算的价款及需要扣留和扣回的款额并报发包人审批，如果该月应结算的价款经扣留和扣回后的款额少于投标书附件中列明的期中支付证书的最低金额，则该月监理人可不核证支付，上述款额将按月结转，直至累计应支付的款额达到投标附件中列明的期中支付证书的最低金额为止。</w:t>
      </w:r>
      <w:r>
        <w:rPr>
          <w:rFonts w:ascii="宋体" w:hAnsi="宋体" w:cs="华文仿宋"/>
          <w:color w:val="auto"/>
          <w:szCs w:val="21"/>
          <w:u w:val="single"/>
        </w:rPr>
        <w:t>累计月支付金额达到合同价</w:t>
      </w:r>
      <w:r>
        <w:rPr>
          <w:rFonts w:ascii="宋体" w:hAnsi="宋体" w:eastAsia="宋体" w:cs="华文仿宋"/>
          <w:color w:val="auto"/>
          <w:szCs w:val="21"/>
          <w:u w:val="single"/>
        </w:rPr>
        <w:t>(</w:t>
      </w:r>
      <w:r>
        <w:rPr>
          <w:rFonts w:ascii="宋体" w:hAnsi="宋体" w:cs="华文仿宋"/>
          <w:color w:val="auto"/>
          <w:szCs w:val="21"/>
          <w:u w:val="single"/>
        </w:rPr>
        <w:t>不含暂列金额和奖励金）</w:t>
      </w:r>
      <w:r>
        <w:rPr>
          <w:rFonts w:ascii="宋体" w:hAnsi="宋体" w:eastAsia="宋体" w:cs="华文仿宋"/>
          <w:color w:val="auto"/>
          <w:szCs w:val="21"/>
          <w:u w:val="single"/>
        </w:rPr>
        <w:t>85%</w:t>
      </w:r>
      <w:r>
        <w:rPr>
          <w:rFonts w:ascii="宋体" w:hAnsi="宋体" w:cs="华文仿宋"/>
          <w:color w:val="auto"/>
          <w:szCs w:val="21"/>
          <w:u w:val="single"/>
        </w:rPr>
        <w:t>时暂停支付。工程竣工验收后，且承包人按照合同要求提供竣工结算资料后，付至合同价</w:t>
      </w:r>
      <w:r>
        <w:rPr>
          <w:rFonts w:ascii="宋体" w:hAnsi="宋体" w:eastAsia="宋体" w:cs="华文仿宋"/>
          <w:color w:val="auto"/>
          <w:szCs w:val="21"/>
          <w:u w:val="single"/>
        </w:rPr>
        <w:t>(</w:t>
      </w:r>
      <w:r>
        <w:rPr>
          <w:rFonts w:ascii="宋体" w:hAnsi="宋体" w:cs="华文仿宋"/>
          <w:color w:val="auto"/>
          <w:szCs w:val="21"/>
          <w:u w:val="single"/>
        </w:rPr>
        <w:t>不含暂列金额和奖励金）的</w:t>
      </w:r>
      <w:r>
        <w:rPr>
          <w:rFonts w:ascii="宋体" w:hAnsi="宋体" w:eastAsia="宋体" w:cs="华文仿宋"/>
          <w:color w:val="auto"/>
          <w:szCs w:val="21"/>
          <w:u w:val="single"/>
        </w:rPr>
        <w:t>90%</w:t>
      </w:r>
      <w:r>
        <w:rPr>
          <w:rFonts w:ascii="宋体" w:hAnsi="宋体" w:cs="华文仿宋"/>
          <w:color w:val="auto"/>
          <w:szCs w:val="21"/>
          <w:u w:val="single"/>
        </w:rPr>
        <w:t>。工程竣工结算后，支付到审定工程结算总额的</w:t>
      </w:r>
      <w:r>
        <w:rPr>
          <w:rFonts w:ascii="宋体" w:hAnsi="宋体" w:eastAsia="宋体" w:cs="华文仿宋"/>
          <w:color w:val="auto"/>
          <w:szCs w:val="21"/>
          <w:u w:val="single"/>
        </w:rPr>
        <w:t>97%</w:t>
      </w:r>
      <w:r>
        <w:rPr>
          <w:rFonts w:ascii="宋体" w:hAnsi="宋体" w:cs="华文仿宋"/>
          <w:color w:val="auto"/>
          <w:szCs w:val="21"/>
          <w:u w:val="single"/>
        </w:rPr>
        <w:t>，留下</w:t>
      </w:r>
      <w:r>
        <w:rPr>
          <w:rFonts w:ascii="宋体" w:hAnsi="宋体" w:eastAsia="宋体" w:cs="华文仿宋"/>
          <w:color w:val="auto"/>
          <w:szCs w:val="21"/>
          <w:u w:val="single"/>
        </w:rPr>
        <w:t>3%</w:t>
      </w:r>
      <w:r>
        <w:rPr>
          <w:rFonts w:ascii="宋体" w:hAnsi="宋体" w:cs="华文仿宋"/>
          <w:color w:val="auto"/>
          <w:szCs w:val="21"/>
          <w:u w:val="single"/>
        </w:rPr>
        <w:t>的保修金。</w:t>
      </w:r>
    </w:p>
    <w:p>
      <w:pPr>
        <w:snapToGrid w:val="0"/>
        <w:spacing w:line="360" w:lineRule="auto"/>
        <w:ind w:firstLine="428"/>
        <w:jc w:val="left"/>
        <w:rPr>
          <w:rFonts w:ascii="宋体" w:hAnsi="宋体" w:eastAsia="宋体" w:cs="华文仿宋"/>
          <w:color w:val="auto"/>
          <w:spacing w:val="2"/>
          <w:szCs w:val="21"/>
        </w:rPr>
      </w:pPr>
      <w:r>
        <w:rPr>
          <w:rFonts w:ascii="宋体" w:hAnsi="宋体" w:cs="华文仿宋"/>
          <w:color w:val="auto"/>
          <w:spacing w:val="2"/>
          <w:szCs w:val="21"/>
        </w:rPr>
        <w:t>合同价格为</w:t>
      </w:r>
      <w:r>
        <w:rPr>
          <w:rFonts w:ascii="宋体" w:hAnsi="宋体" w:eastAsia="宋体" w:cs="华文仿宋"/>
          <w:color w:val="auto"/>
          <w:spacing w:val="2"/>
          <w:szCs w:val="21"/>
        </w:rPr>
        <w:t>10</w:t>
      </w:r>
      <w:r>
        <w:rPr>
          <w:rFonts w:ascii="宋体" w:hAnsi="宋体" w:cs="华文仿宋"/>
          <w:color w:val="auto"/>
          <w:spacing w:val="2"/>
          <w:szCs w:val="21"/>
        </w:rPr>
        <w:t>万元以上的项目，其月支付款数额以万元为最后一位，其尾数金额向下一个累计，小数点后保留两位数字如</w:t>
      </w:r>
      <w:r>
        <w:rPr>
          <w:rFonts w:ascii="宋体" w:hAnsi="宋体" w:eastAsia="宋体" w:cs="华文仿宋"/>
          <w:color w:val="auto"/>
          <w:spacing w:val="2"/>
          <w:szCs w:val="21"/>
        </w:rPr>
        <w:t>15.00</w:t>
      </w:r>
      <w:r>
        <w:rPr>
          <w:rFonts w:ascii="宋体" w:hAnsi="宋体" w:cs="华文仿宋"/>
          <w:color w:val="auto"/>
          <w:spacing w:val="2"/>
          <w:szCs w:val="21"/>
        </w:rPr>
        <w:t>万元；</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合同价格为</w:t>
      </w:r>
      <w:r>
        <w:rPr>
          <w:rFonts w:ascii="宋体" w:hAnsi="宋体" w:eastAsia="宋体" w:cs="华文仿宋"/>
          <w:color w:val="auto"/>
          <w:szCs w:val="21"/>
        </w:rPr>
        <w:t>10</w:t>
      </w:r>
      <w:r>
        <w:rPr>
          <w:rFonts w:ascii="宋体" w:hAnsi="宋体" w:cs="华文仿宋"/>
          <w:color w:val="auto"/>
          <w:szCs w:val="21"/>
        </w:rPr>
        <w:t>万元以下的项目，其月支付款数额以千元为最后一位，其尾数金额向下一个累计，小数点后保留两位数字如</w:t>
      </w:r>
      <w:r>
        <w:rPr>
          <w:rFonts w:ascii="宋体" w:hAnsi="宋体" w:eastAsia="宋体" w:cs="华文仿宋"/>
          <w:color w:val="auto"/>
          <w:szCs w:val="21"/>
        </w:rPr>
        <w:t>5.50</w:t>
      </w:r>
      <w:r>
        <w:rPr>
          <w:rFonts w:ascii="宋体" w:hAnsi="宋体" w:cs="华文仿宋"/>
          <w:color w:val="auto"/>
          <w:szCs w:val="21"/>
        </w:rPr>
        <w:t>万元。</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081" w:name="_Toc7595"/>
      <w:bookmarkStart w:id="4082" w:name="_Toc26647"/>
      <w:bookmarkStart w:id="4083" w:name="_Toc18867"/>
      <w:bookmarkStart w:id="4084" w:name="_Toc22422"/>
      <w:bookmarkStart w:id="4085" w:name="_Toc46"/>
      <w:bookmarkStart w:id="4086" w:name="_Toc20392"/>
      <w:bookmarkStart w:id="4087" w:name="_Toc32313"/>
      <w:bookmarkStart w:id="4088" w:name="_Toc5758"/>
      <w:bookmarkStart w:id="4089" w:name="_Toc517530893"/>
      <w:bookmarkStart w:id="4090" w:name="_Toc15836"/>
      <w:bookmarkStart w:id="4091" w:name="_Toc32086"/>
      <w:bookmarkStart w:id="4092" w:name="_Toc16084"/>
      <w:bookmarkStart w:id="4093" w:name="_Toc517532169"/>
      <w:bookmarkStart w:id="4094" w:name="_Toc15053"/>
      <w:bookmarkStart w:id="4095" w:name="_Toc7064"/>
      <w:bookmarkStart w:id="4096" w:name="_Toc31368"/>
      <w:bookmarkStart w:id="4097" w:name="_Toc25607"/>
      <w:bookmarkStart w:id="4098" w:name="_Toc1436"/>
      <w:bookmarkStart w:id="4099" w:name="_Toc12989"/>
      <w:bookmarkStart w:id="4100" w:name="_Toc2865"/>
      <w:r>
        <w:rPr>
          <w:rFonts w:ascii="宋体" w:hAnsi="宋体" w:eastAsia="宋体" w:cs="华文仿宋"/>
          <w:b/>
          <w:bCs/>
          <w:color w:val="auto"/>
          <w:sz w:val="24"/>
          <w:szCs w:val="24"/>
        </w:rPr>
        <w:t>12.3.4</w:t>
      </w:r>
      <w:r>
        <w:rPr>
          <w:rFonts w:ascii="宋体" w:hAnsi="宋体" w:cs="华文仿宋"/>
          <w:b/>
          <w:bCs/>
          <w:color w:val="auto"/>
          <w:sz w:val="24"/>
          <w:szCs w:val="24"/>
        </w:rPr>
        <w:t>开工预付款的支付</w:t>
      </w:r>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在承包人完成以下工作后</w:t>
      </w:r>
      <w:r>
        <w:rPr>
          <w:rFonts w:ascii="宋体" w:hAnsi="宋体" w:eastAsia="宋体" w:cs="华文仿宋"/>
          <w:color w:val="auto"/>
          <w:szCs w:val="21"/>
        </w:rPr>
        <w:t>14</w:t>
      </w:r>
      <w:r>
        <w:rPr>
          <w:rFonts w:ascii="宋体" w:hAnsi="宋体" w:cs="华文仿宋"/>
          <w:color w:val="auto"/>
          <w:szCs w:val="21"/>
        </w:rPr>
        <w:t>天内，监理人应按投标书附件中规定的金额签发开工预付款支付证书，并报发包人审批，通知承包人：</w:t>
      </w:r>
    </w:p>
    <w:p>
      <w:pPr>
        <w:tabs>
          <w:tab w:val="left" w:pos="1260"/>
        </w:tabs>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提交了履约担保并签订了合同协议书；</w:t>
      </w:r>
    </w:p>
    <w:p>
      <w:pPr>
        <w:tabs>
          <w:tab w:val="left" w:pos="1260"/>
        </w:tabs>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提交了开工预付款担保。</w:t>
      </w:r>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发包人应在该支付证书收到后</w:t>
      </w:r>
      <w:r>
        <w:rPr>
          <w:rFonts w:ascii="宋体" w:hAnsi="宋体" w:eastAsia="宋体" w:cs="华文仿宋"/>
          <w:color w:val="auto"/>
          <w:szCs w:val="21"/>
        </w:rPr>
        <w:t>14</w:t>
      </w:r>
      <w:r>
        <w:rPr>
          <w:rFonts w:ascii="宋体" w:hAnsi="宋体" w:cs="华文仿宋"/>
          <w:color w:val="auto"/>
          <w:szCs w:val="21"/>
        </w:rPr>
        <w:t>天内核批，并支付给承包人。开工预付款迟延支付或扣回，发包人与承包人双方互不支付资金利息。</w:t>
      </w:r>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开工预付款的担保金额应等于开工预付款额，提供这种担保的银行须经发包人同意，银行保函的正本由发包人保存，该保函在发包人将开工预付款全部扣回之前一直有效并可执行，如果保函条款中规定了期满日期，而在期满日期前</w:t>
      </w:r>
      <w:r>
        <w:rPr>
          <w:rFonts w:ascii="宋体" w:hAnsi="宋体" w:eastAsia="宋体" w:cs="华文仿宋"/>
          <w:color w:val="auto"/>
          <w:szCs w:val="21"/>
        </w:rPr>
        <w:t>28</w:t>
      </w:r>
      <w:r>
        <w:rPr>
          <w:rFonts w:ascii="宋体" w:hAnsi="宋体" w:cs="华文仿宋"/>
          <w:color w:val="auto"/>
          <w:szCs w:val="21"/>
        </w:rPr>
        <w:t>天预付款未还清时，承包人应将保函有效期延至预付款还清为止。上述的担保金额将随开工预付款的逐次扣回而减少。执行本款所需费用由承包人承担。开工预付款在期中支付证书的累计金额未达到合同价格的</w:t>
      </w:r>
      <w:r>
        <w:rPr>
          <w:rFonts w:ascii="宋体" w:hAnsi="宋体" w:eastAsia="宋体" w:cs="华文仿宋"/>
          <w:color w:val="auto"/>
          <w:szCs w:val="21"/>
        </w:rPr>
        <w:t>35%</w:t>
      </w:r>
      <w:r>
        <w:rPr>
          <w:rFonts w:ascii="宋体" w:hAnsi="宋体" w:cs="华文仿宋"/>
          <w:color w:val="auto"/>
          <w:szCs w:val="21"/>
        </w:rPr>
        <w:t>（不含预付款）之前不予扣回，在达到合同价格</w:t>
      </w:r>
      <w:r>
        <w:rPr>
          <w:rFonts w:ascii="宋体" w:hAnsi="宋体" w:eastAsia="宋体" w:cs="华文仿宋"/>
          <w:color w:val="auto"/>
          <w:szCs w:val="21"/>
        </w:rPr>
        <w:t>35%</w:t>
      </w:r>
      <w:r>
        <w:rPr>
          <w:rFonts w:ascii="宋体" w:hAnsi="宋体" w:cs="华文仿宋"/>
          <w:color w:val="auto"/>
          <w:szCs w:val="21"/>
        </w:rPr>
        <w:t>之后，开始按工程进度以固定比例（即每完成合同价格的</w:t>
      </w:r>
      <w:r>
        <w:rPr>
          <w:rFonts w:ascii="宋体" w:hAnsi="宋体" w:eastAsia="宋体" w:cs="华文仿宋"/>
          <w:color w:val="auto"/>
          <w:szCs w:val="21"/>
        </w:rPr>
        <w:t>1%</w:t>
      </w:r>
      <w:r>
        <w:rPr>
          <w:rFonts w:ascii="宋体" w:hAnsi="宋体" w:cs="华文仿宋"/>
          <w:color w:val="auto"/>
          <w:szCs w:val="21"/>
        </w:rPr>
        <w:t>，扣回开工预付款的</w:t>
      </w:r>
      <w:r>
        <w:rPr>
          <w:rFonts w:ascii="宋体" w:hAnsi="宋体" w:eastAsia="宋体" w:cs="华文仿宋"/>
          <w:color w:val="auto"/>
          <w:szCs w:val="21"/>
        </w:rPr>
        <w:t>2%</w:t>
      </w:r>
      <w:r>
        <w:rPr>
          <w:rFonts w:ascii="宋体" w:hAnsi="宋体" w:cs="华文仿宋"/>
          <w:color w:val="auto"/>
          <w:szCs w:val="21"/>
        </w:rPr>
        <w:t>）分期从各月的期中支付证书中扣回，全部金额在期中支付证书的累计金额达到合同价格的</w:t>
      </w:r>
      <w:r>
        <w:rPr>
          <w:rFonts w:ascii="宋体" w:hAnsi="宋体" w:eastAsia="宋体" w:cs="华文仿宋"/>
          <w:color w:val="auto"/>
          <w:szCs w:val="21"/>
        </w:rPr>
        <w:t>85%</w:t>
      </w:r>
      <w:r>
        <w:rPr>
          <w:rFonts w:ascii="宋体" w:hAnsi="宋体" w:cs="华文仿宋"/>
          <w:color w:val="auto"/>
          <w:szCs w:val="21"/>
        </w:rPr>
        <w:t>时扣完。</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01" w:name="_Toc6166"/>
      <w:bookmarkStart w:id="4102" w:name="_Toc25004"/>
      <w:bookmarkStart w:id="4103" w:name="_Toc350"/>
      <w:bookmarkStart w:id="4104" w:name="_Toc32606"/>
      <w:bookmarkStart w:id="4105" w:name="_Toc27024"/>
      <w:bookmarkStart w:id="4106" w:name="_Toc517532170"/>
      <w:bookmarkStart w:id="4107" w:name="_Toc2396"/>
      <w:bookmarkStart w:id="4108" w:name="_Toc12426"/>
      <w:bookmarkStart w:id="4109" w:name="_Toc30754"/>
      <w:bookmarkStart w:id="4110" w:name="_Toc23390"/>
      <w:bookmarkStart w:id="4111" w:name="_Toc13067"/>
      <w:bookmarkStart w:id="4112" w:name="_Toc7298"/>
      <w:bookmarkStart w:id="4113" w:name="_Toc517530894"/>
      <w:bookmarkStart w:id="4114" w:name="_Toc31556"/>
      <w:bookmarkStart w:id="4115" w:name="_Toc19775"/>
      <w:bookmarkStart w:id="4116" w:name="_Toc21370"/>
      <w:bookmarkStart w:id="4117" w:name="_Toc9958"/>
      <w:bookmarkStart w:id="4118" w:name="_Toc22893"/>
      <w:bookmarkStart w:id="4119" w:name="_Toc17448"/>
      <w:bookmarkStart w:id="4120" w:name="_Toc12762"/>
      <w:r>
        <w:rPr>
          <w:rFonts w:ascii="宋体" w:hAnsi="宋体" w:eastAsia="宋体" w:cs="华文仿宋"/>
          <w:b/>
          <w:bCs/>
          <w:color w:val="auto"/>
          <w:sz w:val="24"/>
          <w:szCs w:val="24"/>
        </w:rPr>
        <w:t>12.3.5</w:t>
      </w:r>
      <w:r>
        <w:rPr>
          <w:rFonts w:ascii="宋体" w:hAnsi="宋体" w:cs="华文仿宋"/>
          <w:b/>
          <w:bCs/>
          <w:color w:val="auto"/>
          <w:sz w:val="24"/>
          <w:szCs w:val="24"/>
        </w:rPr>
        <w:t>安全文明施工措施费分阶段支付</w:t>
      </w:r>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a</w:t>
      </w:r>
      <w:r>
        <w:rPr>
          <w:rFonts w:ascii="宋体" w:hAnsi="宋体" w:cs="华文仿宋"/>
          <w:color w:val="auto"/>
          <w:szCs w:val="21"/>
        </w:rPr>
        <w:t>）安全文明措施费的专款专用</w:t>
      </w:r>
    </w:p>
    <w:p>
      <w:pPr>
        <w:tabs>
          <w:tab w:val="left" w:pos="1260"/>
        </w:tabs>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1)</w:t>
      </w:r>
      <w:r>
        <w:rPr>
          <w:rFonts w:ascii="宋体" w:hAnsi="宋体" w:cs="华文仿宋"/>
          <w:color w:val="auto"/>
          <w:szCs w:val="21"/>
        </w:rPr>
        <w:t>承包人应确保施工现场安全文明措施费专款专用，在财务管理中单独列出安全文明措施项目费用清单及金额备查，并设立单独的安全文明措施费银行账户，接受发包人的监管。</w:t>
      </w:r>
    </w:p>
    <w:p>
      <w:pPr>
        <w:tabs>
          <w:tab w:val="left" w:pos="1260"/>
        </w:tabs>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2)</w:t>
      </w:r>
      <w:r>
        <w:rPr>
          <w:rFonts w:ascii="宋体" w:hAnsi="宋体" w:cs="华文仿宋"/>
          <w:color w:val="auto"/>
          <w:szCs w:val="21"/>
        </w:rPr>
        <w:t>承包人应当按照分包合同约定及时向分包人支付施工现场安全文明措施费。承包人不按约定支付费用，造成分包人不能及时落实安全防护措施导致发生事故的，由承包人负主要责任。</w:t>
      </w:r>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w:t>
      </w:r>
      <w:r>
        <w:rPr>
          <w:rFonts w:ascii="宋体" w:hAnsi="宋体" w:eastAsia="宋体" w:cs="华文仿宋"/>
          <w:color w:val="auto"/>
          <w:szCs w:val="21"/>
        </w:rPr>
        <w:t>b</w:t>
      </w:r>
      <w:r>
        <w:rPr>
          <w:rFonts w:ascii="宋体" w:hAnsi="宋体" w:cs="华文仿宋"/>
          <w:color w:val="auto"/>
          <w:szCs w:val="21"/>
        </w:rPr>
        <w:t>）安全文明施工措施费分阶段支付</w:t>
      </w:r>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详见下表：</w:t>
      </w:r>
    </w:p>
    <w:tbl>
      <w:tblPr>
        <w:tblStyle w:val="40"/>
        <w:tblW w:w="7881" w:type="dxa"/>
        <w:jc w:val="center"/>
        <w:tblLayout w:type="autofit"/>
        <w:tblCellMar>
          <w:top w:w="0" w:type="dxa"/>
          <w:left w:w="22" w:type="dxa"/>
          <w:bottom w:w="0" w:type="dxa"/>
          <w:right w:w="22" w:type="dxa"/>
        </w:tblCellMar>
      </w:tblPr>
      <w:tblGrid>
        <w:gridCol w:w="2170"/>
        <w:gridCol w:w="3881"/>
        <w:gridCol w:w="1830"/>
      </w:tblGrid>
      <w:tr>
        <w:tblPrEx>
          <w:tblCellMar>
            <w:top w:w="0" w:type="dxa"/>
            <w:left w:w="22" w:type="dxa"/>
            <w:bottom w:w="0" w:type="dxa"/>
            <w:right w:w="22" w:type="dxa"/>
          </w:tblCellMar>
        </w:tblPrEx>
        <w:trPr>
          <w:jc w:val="center"/>
        </w:trPr>
        <w:tc>
          <w:tcPr>
            <w:tcW w:w="217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jc w:val="center"/>
              <w:rPr>
                <w:rFonts w:ascii="宋体" w:hAnsi="宋体" w:eastAsia="宋体" w:cs="华文仿宋"/>
                <w:color w:val="auto"/>
                <w:kern w:val="0"/>
                <w:szCs w:val="21"/>
              </w:rPr>
            </w:pPr>
            <w:r>
              <w:rPr>
                <w:rFonts w:ascii="宋体" w:hAnsi="宋体" w:cs="华文仿宋"/>
                <w:color w:val="auto"/>
                <w:kern w:val="0"/>
                <w:szCs w:val="21"/>
              </w:rPr>
              <w:t>工程类别</w:t>
            </w: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施工阶段</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支付比例</w:t>
            </w:r>
          </w:p>
        </w:tc>
      </w:tr>
      <w:tr>
        <w:tblPrEx>
          <w:tblCellMar>
            <w:top w:w="0" w:type="dxa"/>
            <w:left w:w="22" w:type="dxa"/>
            <w:bottom w:w="0" w:type="dxa"/>
            <w:right w:w="22" w:type="dxa"/>
          </w:tblCellMar>
        </w:tblPrEx>
        <w:trPr>
          <w:cantSplit/>
          <w:jc w:val="center"/>
        </w:trPr>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jc w:val="center"/>
              <w:rPr>
                <w:rFonts w:ascii="宋体" w:hAnsi="宋体" w:eastAsia="宋体" w:cs="华文仿宋"/>
                <w:color w:val="auto"/>
                <w:szCs w:val="21"/>
              </w:rPr>
            </w:pPr>
            <w:r>
              <w:rPr>
                <w:rFonts w:ascii="宋体" w:hAnsi="宋体" w:cs="华文仿宋"/>
                <w:color w:val="auto"/>
                <w:szCs w:val="21"/>
              </w:rPr>
              <w:t>房建工程</w:t>
            </w: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安全措施验收合格</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50%</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结构封顶</w:t>
            </w:r>
            <w:r>
              <w:rPr>
                <w:rFonts w:ascii="宋体" w:hAnsi="宋体" w:eastAsia="宋体" w:cs="华文仿宋"/>
                <w:color w:val="auto"/>
                <w:kern w:val="0"/>
                <w:szCs w:val="21"/>
              </w:rPr>
              <w:t>(</w:t>
            </w:r>
            <w:r>
              <w:rPr>
                <w:rFonts w:ascii="宋体" w:hAnsi="宋体" w:cs="华文仿宋"/>
                <w:color w:val="auto"/>
                <w:kern w:val="0"/>
                <w:szCs w:val="21"/>
              </w:rPr>
              <w:t>检查合格</w:t>
            </w:r>
            <w:r>
              <w:rPr>
                <w:rFonts w:ascii="宋体" w:hAnsi="宋体" w:eastAsia="宋体" w:cs="华文仿宋"/>
                <w:color w:val="auto"/>
                <w:kern w:val="0"/>
                <w:szCs w:val="21"/>
              </w:rPr>
              <w:t>)</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20%</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装饰施工完成</w:t>
            </w:r>
            <w:r>
              <w:rPr>
                <w:rFonts w:ascii="宋体" w:hAnsi="宋体" w:eastAsia="宋体" w:cs="华文仿宋"/>
                <w:color w:val="auto"/>
                <w:kern w:val="0"/>
                <w:szCs w:val="21"/>
              </w:rPr>
              <w:t>30%(</w:t>
            </w:r>
            <w:r>
              <w:rPr>
                <w:rFonts w:ascii="宋体" w:hAnsi="宋体" w:cs="华文仿宋"/>
                <w:color w:val="auto"/>
                <w:kern w:val="0"/>
                <w:szCs w:val="21"/>
              </w:rPr>
              <w:t>检查合格</w:t>
            </w:r>
            <w:r>
              <w:rPr>
                <w:rFonts w:ascii="宋体" w:hAnsi="宋体" w:eastAsia="宋体" w:cs="华文仿宋"/>
                <w:color w:val="auto"/>
                <w:kern w:val="0"/>
                <w:szCs w:val="21"/>
              </w:rPr>
              <w:t>)</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15%</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竣工验收合格</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15%</w:t>
            </w:r>
          </w:p>
        </w:tc>
      </w:tr>
      <w:tr>
        <w:tblPrEx>
          <w:tblCellMar>
            <w:top w:w="0" w:type="dxa"/>
            <w:left w:w="22" w:type="dxa"/>
            <w:bottom w:w="0" w:type="dxa"/>
            <w:right w:w="22" w:type="dxa"/>
          </w:tblCellMar>
        </w:tblPrEx>
        <w:trPr>
          <w:cantSplit/>
          <w:jc w:val="center"/>
        </w:trPr>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jc w:val="center"/>
              <w:rPr>
                <w:rFonts w:ascii="宋体" w:hAnsi="宋体" w:eastAsia="宋体" w:cs="华文仿宋"/>
                <w:b/>
                <w:color w:val="auto"/>
                <w:kern w:val="0"/>
                <w:szCs w:val="21"/>
              </w:rPr>
            </w:pPr>
            <w:r>
              <w:rPr>
                <w:rFonts w:ascii="宋体" w:hAnsi="宋体" w:cs="华文仿宋"/>
                <w:color w:val="auto"/>
                <w:kern w:val="0"/>
                <w:szCs w:val="21"/>
              </w:rPr>
              <w:t>市政工程及绿化工程</w:t>
            </w: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b/>
                <w:color w:val="auto"/>
                <w:kern w:val="0"/>
                <w:szCs w:val="21"/>
              </w:rPr>
            </w:pPr>
            <w:r>
              <w:rPr>
                <w:rFonts w:ascii="宋体" w:hAnsi="宋体" w:cs="华文仿宋"/>
                <w:color w:val="auto"/>
                <w:kern w:val="0"/>
                <w:szCs w:val="21"/>
              </w:rPr>
              <w:t>开工后</w:t>
            </w:r>
            <w:r>
              <w:rPr>
                <w:rFonts w:ascii="宋体" w:hAnsi="宋体" w:eastAsia="宋体" w:cs="华文仿宋"/>
                <w:color w:val="auto"/>
                <w:kern w:val="0"/>
                <w:szCs w:val="21"/>
              </w:rPr>
              <w:t>28</w:t>
            </w:r>
            <w:r>
              <w:rPr>
                <w:rFonts w:ascii="宋体" w:hAnsi="宋体" w:cs="华文仿宋"/>
                <w:color w:val="auto"/>
                <w:kern w:val="0"/>
                <w:szCs w:val="21"/>
              </w:rPr>
              <w:t>天内</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30%</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完成工程量的</w:t>
            </w:r>
            <w:r>
              <w:rPr>
                <w:rFonts w:ascii="宋体" w:hAnsi="宋体" w:eastAsia="宋体" w:cs="华文仿宋"/>
                <w:color w:val="auto"/>
                <w:kern w:val="0"/>
                <w:szCs w:val="21"/>
              </w:rPr>
              <w:t>40%(</w:t>
            </w:r>
            <w:r>
              <w:rPr>
                <w:rFonts w:ascii="宋体" w:hAnsi="宋体" w:cs="华文仿宋"/>
                <w:color w:val="auto"/>
                <w:kern w:val="0"/>
                <w:szCs w:val="21"/>
              </w:rPr>
              <w:t>检查合格</w:t>
            </w:r>
            <w:r>
              <w:rPr>
                <w:rFonts w:ascii="宋体" w:hAnsi="宋体" w:eastAsia="宋体" w:cs="华文仿宋"/>
                <w:color w:val="auto"/>
                <w:kern w:val="0"/>
                <w:szCs w:val="21"/>
              </w:rPr>
              <w:t>)</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25%</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完成工程量的</w:t>
            </w:r>
            <w:r>
              <w:rPr>
                <w:rFonts w:ascii="宋体" w:hAnsi="宋体" w:eastAsia="宋体" w:cs="华文仿宋"/>
                <w:color w:val="auto"/>
                <w:kern w:val="0"/>
                <w:szCs w:val="21"/>
              </w:rPr>
              <w:t>70%(</w:t>
            </w:r>
            <w:r>
              <w:rPr>
                <w:rFonts w:ascii="宋体" w:hAnsi="宋体" w:cs="华文仿宋"/>
                <w:color w:val="auto"/>
                <w:kern w:val="0"/>
                <w:szCs w:val="21"/>
              </w:rPr>
              <w:t>检查合格</w:t>
            </w:r>
            <w:r>
              <w:rPr>
                <w:rFonts w:ascii="宋体" w:hAnsi="宋体" w:eastAsia="宋体" w:cs="华文仿宋"/>
                <w:color w:val="auto"/>
                <w:kern w:val="0"/>
                <w:szCs w:val="21"/>
              </w:rPr>
              <w:t>)</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25%</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竣工评价合格</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20%</w:t>
            </w:r>
          </w:p>
        </w:tc>
      </w:tr>
      <w:tr>
        <w:tblPrEx>
          <w:tblCellMar>
            <w:top w:w="0" w:type="dxa"/>
            <w:left w:w="22" w:type="dxa"/>
            <w:bottom w:w="0" w:type="dxa"/>
            <w:right w:w="22" w:type="dxa"/>
          </w:tblCellMar>
        </w:tblPrEx>
        <w:trPr>
          <w:cantSplit/>
          <w:jc w:val="center"/>
        </w:trPr>
        <w:tc>
          <w:tcPr>
            <w:tcW w:w="2170"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jc w:val="center"/>
              <w:rPr>
                <w:rFonts w:ascii="宋体" w:hAnsi="宋体" w:eastAsia="宋体" w:cs="华文仿宋"/>
                <w:color w:val="auto"/>
                <w:kern w:val="0"/>
                <w:szCs w:val="21"/>
              </w:rPr>
            </w:pPr>
            <w:r>
              <w:rPr>
                <w:rFonts w:ascii="宋体" w:hAnsi="宋体" w:cs="华文仿宋"/>
                <w:color w:val="auto"/>
                <w:kern w:val="0"/>
                <w:szCs w:val="21"/>
              </w:rPr>
              <w:t>单独发包的其他工程</w:t>
            </w:r>
          </w:p>
          <w:p>
            <w:pPr>
              <w:spacing w:line="360" w:lineRule="auto"/>
              <w:jc w:val="center"/>
              <w:rPr>
                <w:rFonts w:ascii="宋体" w:hAnsi="宋体" w:eastAsia="宋体" w:cs="华文仿宋"/>
                <w:color w:val="auto"/>
                <w:kern w:val="0"/>
                <w:szCs w:val="21"/>
              </w:rPr>
            </w:pPr>
            <w:r>
              <w:rPr>
                <w:rFonts w:ascii="宋体" w:hAnsi="宋体" w:eastAsia="宋体" w:cs="华文仿宋"/>
                <w:color w:val="auto"/>
                <w:kern w:val="0"/>
                <w:szCs w:val="21"/>
              </w:rPr>
              <w:t>(</w:t>
            </w:r>
            <w:r>
              <w:rPr>
                <w:rFonts w:ascii="宋体" w:hAnsi="宋体" w:cs="华文仿宋"/>
                <w:color w:val="auto"/>
                <w:kern w:val="0"/>
                <w:szCs w:val="21"/>
              </w:rPr>
              <w:t>如安装、装饰等</w:t>
            </w:r>
            <w:r>
              <w:rPr>
                <w:rFonts w:ascii="宋体" w:hAnsi="宋体" w:eastAsia="宋体" w:cs="华文仿宋"/>
                <w:color w:val="auto"/>
                <w:kern w:val="0"/>
                <w:szCs w:val="21"/>
              </w:rPr>
              <w:t>)</w:t>
            </w: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开工后</w:t>
            </w:r>
            <w:r>
              <w:rPr>
                <w:rFonts w:ascii="宋体" w:hAnsi="宋体" w:eastAsia="宋体" w:cs="华文仿宋"/>
                <w:color w:val="auto"/>
                <w:kern w:val="0"/>
                <w:szCs w:val="21"/>
              </w:rPr>
              <w:t>28</w:t>
            </w:r>
            <w:r>
              <w:rPr>
                <w:rFonts w:ascii="宋体" w:hAnsi="宋体" w:cs="华文仿宋"/>
                <w:color w:val="auto"/>
                <w:kern w:val="0"/>
                <w:szCs w:val="21"/>
              </w:rPr>
              <w:t>天内</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50%</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完成工程量的</w:t>
            </w:r>
            <w:r>
              <w:rPr>
                <w:rFonts w:ascii="宋体" w:hAnsi="宋体" w:eastAsia="宋体" w:cs="华文仿宋"/>
                <w:color w:val="auto"/>
                <w:kern w:val="0"/>
                <w:szCs w:val="21"/>
              </w:rPr>
              <w:t>40%(</w:t>
            </w:r>
            <w:r>
              <w:rPr>
                <w:rFonts w:ascii="宋体" w:hAnsi="宋体" w:cs="华文仿宋"/>
                <w:color w:val="auto"/>
                <w:kern w:val="0"/>
                <w:szCs w:val="21"/>
              </w:rPr>
              <w:t>检查合格</w:t>
            </w:r>
            <w:r>
              <w:rPr>
                <w:rFonts w:ascii="宋体" w:hAnsi="宋体" w:eastAsia="宋体" w:cs="华文仿宋"/>
                <w:color w:val="auto"/>
                <w:kern w:val="0"/>
                <w:szCs w:val="21"/>
              </w:rPr>
              <w:t>)</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25%</w:t>
            </w:r>
          </w:p>
        </w:tc>
      </w:tr>
      <w:tr>
        <w:tblPrEx>
          <w:tblCellMar>
            <w:top w:w="0" w:type="dxa"/>
            <w:left w:w="22" w:type="dxa"/>
            <w:bottom w:w="0" w:type="dxa"/>
            <w:right w:w="22" w:type="dxa"/>
          </w:tblCellMar>
        </w:tblPrEx>
        <w:trPr>
          <w:cantSplit/>
          <w:jc w:val="center"/>
        </w:trPr>
        <w:tc>
          <w:tcPr>
            <w:tcW w:w="2170"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szCs w:val="21"/>
              </w:rPr>
            </w:pPr>
          </w:p>
        </w:tc>
        <w:tc>
          <w:tcPr>
            <w:tcW w:w="3881"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cs="华文仿宋"/>
                <w:color w:val="auto"/>
                <w:kern w:val="0"/>
                <w:szCs w:val="21"/>
              </w:rPr>
              <w:t>竣工评价合格</w:t>
            </w:r>
          </w:p>
        </w:tc>
        <w:tc>
          <w:tcPr>
            <w:tcW w:w="1830"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420"/>
              <w:jc w:val="center"/>
              <w:rPr>
                <w:rFonts w:ascii="宋体" w:hAnsi="宋体" w:eastAsia="宋体" w:cs="华文仿宋"/>
                <w:color w:val="auto"/>
                <w:kern w:val="0"/>
                <w:szCs w:val="21"/>
              </w:rPr>
            </w:pPr>
            <w:r>
              <w:rPr>
                <w:rFonts w:ascii="宋体" w:hAnsi="宋体" w:eastAsia="宋体" w:cs="华文仿宋"/>
                <w:color w:val="auto"/>
                <w:kern w:val="0"/>
                <w:szCs w:val="21"/>
              </w:rPr>
              <w:t>25%</w:t>
            </w:r>
          </w:p>
        </w:tc>
      </w:tr>
    </w:tbl>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21" w:name="_Toc715"/>
      <w:bookmarkStart w:id="4122" w:name="_Toc5321"/>
      <w:bookmarkStart w:id="4123" w:name="_Toc517530895"/>
      <w:bookmarkStart w:id="4124" w:name="_Toc11501"/>
      <w:bookmarkStart w:id="4125" w:name="_Toc16017"/>
      <w:bookmarkStart w:id="4126" w:name="_Toc3472"/>
      <w:bookmarkStart w:id="4127" w:name="_Toc31625"/>
      <w:bookmarkStart w:id="4128" w:name="_Toc517532171"/>
      <w:bookmarkStart w:id="4129" w:name="_Toc7853"/>
      <w:bookmarkStart w:id="4130" w:name="_Toc28833"/>
      <w:bookmarkStart w:id="4131" w:name="_Toc16883"/>
      <w:bookmarkStart w:id="4132" w:name="_Toc29825"/>
      <w:bookmarkStart w:id="4133" w:name="_Toc2031"/>
      <w:bookmarkStart w:id="4134" w:name="_Toc21949"/>
      <w:bookmarkStart w:id="4135" w:name="_Toc26038"/>
      <w:bookmarkStart w:id="4136" w:name="_Toc4257"/>
      <w:bookmarkStart w:id="4137" w:name="_Toc3663"/>
      <w:bookmarkStart w:id="4138" w:name="_Toc3235"/>
      <w:bookmarkStart w:id="4139" w:name="_Toc21766"/>
      <w:bookmarkStart w:id="4140" w:name="_Toc14054"/>
      <w:r>
        <w:rPr>
          <w:rFonts w:ascii="宋体" w:hAnsi="宋体" w:eastAsia="宋体" w:cs="华文仿宋"/>
          <w:b/>
          <w:bCs/>
          <w:color w:val="auto"/>
          <w:sz w:val="24"/>
          <w:szCs w:val="24"/>
        </w:rPr>
        <w:t>12.3.6</w:t>
      </w:r>
      <w:r>
        <w:rPr>
          <w:rFonts w:ascii="宋体" w:hAnsi="宋体" w:cs="华文仿宋"/>
          <w:b/>
          <w:bCs/>
          <w:color w:val="auto"/>
          <w:sz w:val="24"/>
          <w:szCs w:val="24"/>
        </w:rPr>
        <w:t>材料、设备预付款的支付</w:t>
      </w:r>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p>
    <w:p>
      <w:pPr>
        <w:tabs>
          <w:tab w:val="left" w:pos="1365"/>
        </w:tabs>
        <w:spacing w:line="360" w:lineRule="auto"/>
        <w:ind w:firstLine="420"/>
        <w:jc w:val="left"/>
        <w:rPr>
          <w:rFonts w:ascii="宋体" w:hAnsi="宋体" w:eastAsia="宋体" w:cs="华文仿宋"/>
          <w:color w:val="auto"/>
          <w:szCs w:val="21"/>
        </w:rPr>
      </w:pPr>
      <w:r>
        <w:rPr>
          <w:rFonts w:ascii="宋体" w:hAnsi="宋体" w:cs="华文仿宋"/>
          <w:color w:val="auto"/>
          <w:szCs w:val="21"/>
        </w:rPr>
        <w:t>发包人应给承包人支付材料、设备预付款，以供购进将用于和安装在永久工程的各种材料、设备之用。此项金额应按投标书附件中写明的材料、设备单据所列费用（进口的材料、设备为到岸价，国内采购的为出厂价或销售价，地方材料为堆场价）的百分比支付。其条件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材料、设备符合规范要求；</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承包人已出具材料、设备费用凭证或支付单据；</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材料、设备已在现场交货，且存贮良好。</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监理人应将此项金额作为材料、设备预付款计入下一次的期中支付证书中，但该支付不应被视为是对上述材料或设备的批准。</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材料、设备已用于或安装在永久工程之中时，材料、设备预付款应从期中支付证书中逐次扣回。已经支付材料、设备预付款的材料、设备的所有权应属于发包人，工程竣工时所有剩余的材料、设备的所有权应属承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41" w:name="_Toc27151"/>
      <w:bookmarkStart w:id="4142" w:name="_Toc599"/>
      <w:bookmarkStart w:id="4143" w:name="_Toc2913"/>
      <w:bookmarkStart w:id="4144" w:name="_Toc517530896"/>
      <w:bookmarkStart w:id="4145" w:name="_Toc7137"/>
      <w:bookmarkStart w:id="4146" w:name="_Toc517532172"/>
      <w:bookmarkStart w:id="4147" w:name="_Toc13750"/>
      <w:bookmarkStart w:id="4148" w:name="_Toc9846"/>
      <w:bookmarkStart w:id="4149" w:name="_Toc4997"/>
      <w:bookmarkStart w:id="4150" w:name="_Toc9569"/>
      <w:bookmarkStart w:id="4151" w:name="_Toc4181"/>
      <w:bookmarkStart w:id="4152" w:name="_Toc6353"/>
      <w:bookmarkStart w:id="4153" w:name="_Toc23287"/>
      <w:bookmarkStart w:id="4154" w:name="_Toc13897"/>
      <w:bookmarkStart w:id="4155" w:name="_Toc16644"/>
      <w:bookmarkStart w:id="4156" w:name="_Toc2442"/>
      <w:bookmarkStart w:id="4157" w:name="_Toc19828"/>
      <w:bookmarkStart w:id="4158" w:name="_Toc9382"/>
      <w:bookmarkStart w:id="4159" w:name="_Toc12824"/>
      <w:bookmarkStart w:id="4160" w:name="_Toc20408"/>
      <w:r>
        <w:rPr>
          <w:rFonts w:ascii="宋体" w:hAnsi="宋体" w:eastAsia="宋体" w:cs="华文仿宋"/>
          <w:b/>
          <w:bCs/>
          <w:color w:val="auto"/>
          <w:sz w:val="24"/>
          <w:szCs w:val="24"/>
        </w:rPr>
        <w:t>12.3.7</w:t>
      </w:r>
      <w:r>
        <w:rPr>
          <w:rFonts w:ascii="宋体" w:hAnsi="宋体" w:cs="华文仿宋"/>
          <w:b/>
          <w:bCs/>
          <w:color w:val="auto"/>
          <w:sz w:val="24"/>
          <w:szCs w:val="24"/>
        </w:rPr>
        <w:t>证书的改正</w:t>
      </w:r>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监理人可用签发期中支付的方式对其已签发的任何证书作更正或修改。如果任何正在进行的工程的完成情况未能达到合同约定的标准，监理人有权在任何一次期中支付证书中扣除或折减该工程的价值。</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61" w:name="_Toc2455"/>
      <w:bookmarkStart w:id="4162" w:name="_Toc28248"/>
      <w:bookmarkStart w:id="4163" w:name="_Toc10392"/>
      <w:bookmarkStart w:id="4164" w:name="_Toc29771"/>
      <w:bookmarkStart w:id="4165" w:name="_Toc25855"/>
      <w:bookmarkStart w:id="4166" w:name="_Toc27943"/>
      <w:bookmarkStart w:id="4167" w:name="_Toc13553"/>
      <w:bookmarkStart w:id="4168" w:name="_Toc517532173"/>
      <w:bookmarkStart w:id="4169" w:name="_Toc27519"/>
      <w:bookmarkStart w:id="4170" w:name="_Toc14759"/>
      <w:bookmarkStart w:id="4171" w:name="_Toc1311"/>
      <w:bookmarkStart w:id="4172" w:name="_Toc27790"/>
      <w:bookmarkStart w:id="4173" w:name="_Toc32585"/>
      <w:bookmarkStart w:id="4174" w:name="_Toc2311"/>
      <w:bookmarkStart w:id="4175" w:name="_Toc517530897"/>
      <w:bookmarkStart w:id="4176" w:name="_Toc31885"/>
      <w:bookmarkStart w:id="4177" w:name="_Toc28201"/>
      <w:bookmarkStart w:id="4178" w:name="_Toc16816"/>
      <w:bookmarkStart w:id="4179" w:name="_Toc29989"/>
      <w:bookmarkStart w:id="4180" w:name="_Toc2773"/>
      <w:r>
        <w:rPr>
          <w:rFonts w:ascii="宋体" w:hAnsi="宋体" w:eastAsia="宋体" w:cs="华文仿宋"/>
          <w:b/>
          <w:bCs/>
          <w:color w:val="auto"/>
          <w:sz w:val="24"/>
          <w:szCs w:val="24"/>
        </w:rPr>
        <w:t>12.3.8</w:t>
      </w:r>
      <w:r>
        <w:rPr>
          <w:rFonts w:ascii="宋体" w:hAnsi="宋体" w:cs="华文仿宋"/>
          <w:b/>
          <w:bCs/>
          <w:color w:val="auto"/>
          <w:sz w:val="24"/>
          <w:szCs w:val="24"/>
        </w:rPr>
        <w:t>期中支付</w:t>
      </w:r>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监理人根据本条或合同的其他条款发出的任何期中支付证书项下，确定应付给承包人的款额，发包人应该在该期中支付证书收到后</w:t>
      </w:r>
      <w:r>
        <w:rPr>
          <w:rFonts w:ascii="宋体" w:hAnsi="宋体" w:eastAsia="宋体" w:cs="华文仿宋"/>
          <w:color w:val="auto"/>
          <w:szCs w:val="21"/>
          <w:u w:val="single"/>
        </w:rPr>
        <w:t>14</w:t>
      </w:r>
      <w:r>
        <w:rPr>
          <w:rFonts w:ascii="宋体" w:hAnsi="宋体" w:cs="华文仿宋"/>
          <w:color w:val="auto"/>
          <w:szCs w:val="21"/>
        </w:rPr>
        <w:t>天之内核批并发出支付通知，通知财政部门向承包人支付；或按第</w:t>
      </w:r>
      <w:r>
        <w:rPr>
          <w:rFonts w:ascii="宋体" w:hAnsi="宋体" w:eastAsia="宋体" w:cs="华文仿宋"/>
          <w:color w:val="auto"/>
          <w:szCs w:val="21"/>
        </w:rPr>
        <w:t>14.6</w:t>
      </w:r>
      <w:r>
        <w:rPr>
          <w:rFonts w:ascii="宋体" w:hAnsi="宋体" w:cs="华文仿宋"/>
          <w:color w:val="auto"/>
          <w:szCs w:val="21"/>
        </w:rPr>
        <w:t>规定的最后支付证书项下应付给承包人的款额，发包人应该在该最后支付证书收到后</w:t>
      </w:r>
      <w:r>
        <w:rPr>
          <w:rFonts w:ascii="宋体" w:hAnsi="宋体" w:eastAsia="宋体" w:cs="华文仿宋"/>
          <w:color w:val="auto"/>
          <w:szCs w:val="21"/>
          <w:u w:val="single"/>
        </w:rPr>
        <w:t>28</w:t>
      </w:r>
      <w:r>
        <w:rPr>
          <w:rFonts w:ascii="宋体" w:hAnsi="宋体" w:cs="华文仿宋"/>
          <w:color w:val="auto"/>
          <w:szCs w:val="21"/>
        </w:rPr>
        <w:t>天之内核批并发出支付通知，通知财政部门支付给承包人。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承包人不能因实际支付的时间因素而影响工程的正常施工。发包人将不接受因实际支付的时间因素而提出的工期索赔和费用索赔，也不另外支付利息。</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181" w:name="_Toc4238"/>
      <w:bookmarkStart w:id="4182" w:name="_Toc20539"/>
      <w:bookmarkStart w:id="4183" w:name="_Toc7444"/>
      <w:bookmarkStart w:id="4184" w:name="_Toc18037"/>
      <w:bookmarkStart w:id="4185" w:name="_Toc10165"/>
      <w:bookmarkStart w:id="4186" w:name="_Toc25815"/>
      <w:bookmarkStart w:id="4187" w:name="_Toc30112"/>
      <w:bookmarkStart w:id="4188" w:name="_Toc17028"/>
      <w:bookmarkStart w:id="4189" w:name="_Toc18826"/>
      <w:bookmarkStart w:id="4190" w:name="_Toc17159"/>
      <w:bookmarkStart w:id="4191" w:name="_Toc517530898"/>
      <w:bookmarkStart w:id="4192" w:name="_Toc3308"/>
      <w:bookmarkStart w:id="4193" w:name="_Toc26150"/>
      <w:bookmarkStart w:id="4194" w:name="_Toc24960"/>
      <w:bookmarkStart w:id="4195" w:name="_Toc23411"/>
      <w:bookmarkStart w:id="4196" w:name="_Toc517532174"/>
      <w:bookmarkStart w:id="4197" w:name="_Toc28517"/>
      <w:bookmarkStart w:id="4198" w:name="_Toc1511"/>
      <w:bookmarkStart w:id="4199" w:name="_Toc15008"/>
      <w:bookmarkStart w:id="4200" w:name="_Toc9404"/>
      <w:r>
        <w:rPr>
          <w:rFonts w:ascii="宋体" w:hAnsi="宋体" w:eastAsia="宋体" w:cs="华文仿宋"/>
          <w:b/>
          <w:bCs/>
          <w:color w:val="auto"/>
          <w:sz w:val="24"/>
          <w:szCs w:val="24"/>
        </w:rPr>
        <w:t>12.3.9</w:t>
      </w:r>
      <w:r>
        <w:rPr>
          <w:rFonts w:ascii="宋体" w:hAnsi="宋体" w:cs="华文仿宋"/>
          <w:b/>
          <w:bCs/>
          <w:color w:val="auto"/>
          <w:sz w:val="24"/>
          <w:szCs w:val="24"/>
        </w:rPr>
        <w:t>解除履行合同时的付款</w:t>
      </w:r>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在发出中标通知后以及在合同履行过程中，如果发生双方无法控制的情况，以致合同目的无法实现，或者根据法律的规定出现法定解除情形时，则应由发包人支付给承包人的已建工程款额，应与根据第</w:t>
      </w:r>
      <w:r>
        <w:rPr>
          <w:rFonts w:ascii="宋体" w:hAnsi="宋体" w:eastAsia="宋体" w:cs="华文仿宋"/>
          <w:color w:val="auto"/>
          <w:szCs w:val="21"/>
        </w:rPr>
        <w:t>16</w:t>
      </w:r>
      <w:r>
        <w:rPr>
          <w:rFonts w:ascii="宋体" w:hAnsi="宋体" w:cs="华文仿宋"/>
          <w:color w:val="auto"/>
          <w:szCs w:val="21"/>
        </w:rPr>
        <w:t>条终止合同时的规定向承包人应结付的款额相同。</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4201" w:name="_Toc351203586"/>
      <w:bookmarkStart w:id="4202" w:name="_Toc32094"/>
      <w:bookmarkStart w:id="4203" w:name="_Toc29643"/>
      <w:bookmarkStart w:id="4204" w:name="_Toc23659"/>
      <w:bookmarkStart w:id="4205" w:name="_Toc16362"/>
      <w:bookmarkStart w:id="4206" w:name="_Toc10968"/>
      <w:bookmarkStart w:id="4207" w:name="_Toc517528716"/>
      <w:bookmarkStart w:id="4208" w:name="_Toc774"/>
      <w:bookmarkStart w:id="4209" w:name="_Toc24510"/>
      <w:bookmarkStart w:id="4210" w:name="_Toc517530899"/>
      <w:bookmarkStart w:id="4211" w:name="_Toc465237127"/>
      <w:bookmarkStart w:id="4212" w:name="_Toc28245"/>
      <w:bookmarkStart w:id="4213" w:name="_Toc465237224"/>
      <w:bookmarkStart w:id="4214" w:name="_Toc22181"/>
      <w:bookmarkStart w:id="4215" w:name="_Toc5098"/>
      <w:bookmarkStart w:id="4216" w:name="_Toc517529746"/>
      <w:bookmarkStart w:id="4217" w:name="_Toc8253"/>
      <w:bookmarkStart w:id="4218" w:name="_Toc8371"/>
      <w:bookmarkStart w:id="4219" w:name="_Toc22538"/>
      <w:bookmarkStart w:id="4220" w:name="_Toc517532175"/>
      <w:bookmarkStart w:id="4221" w:name="_Toc25827"/>
      <w:bookmarkStart w:id="4222" w:name="_Toc11332"/>
      <w:bookmarkStart w:id="4223" w:name="_Toc1888"/>
      <w:bookmarkStart w:id="4224" w:name="_Toc9423"/>
      <w:bookmarkStart w:id="4225" w:name="_Toc30668"/>
      <w:r>
        <w:rPr>
          <w:rFonts w:ascii="宋体" w:hAnsi="宋体" w:eastAsia="宋体" w:cs="华文仿宋"/>
          <w:b/>
          <w:bCs/>
          <w:color w:val="auto"/>
          <w:sz w:val="30"/>
          <w:szCs w:val="30"/>
        </w:rPr>
        <w:t>13.</w:t>
      </w:r>
      <w:bookmarkEnd w:id="4201"/>
      <w:r>
        <w:rPr>
          <w:rFonts w:ascii="宋体" w:hAnsi="宋体" w:eastAsia="宋体" w:cs="华文仿宋"/>
          <w:b/>
          <w:bCs/>
          <w:color w:val="auto"/>
          <w:sz w:val="30"/>
          <w:szCs w:val="30"/>
        </w:rPr>
        <w:t xml:space="preserve"> </w:t>
      </w:r>
      <w:r>
        <w:rPr>
          <w:rFonts w:ascii="宋体" w:hAnsi="宋体" w:cs="华文仿宋"/>
          <w:b/>
          <w:bCs/>
          <w:color w:val="auto"/>
          <w:sz w:val="30"/>
          <w:szCs w:val="30"/>
        </w:rPr>
        <w:t>竣工验收</w:t>
      </w:r>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Start w:id="4226" w:name="_Toc322522574"/>
      <w:bookmarkEnd w:id="4226"/>
      <w:bookmarkStart w:id="4227" w:name="_Toc337558804"/>
      <w:bookmarkEnd w:id="4227"/>
      <w:bookmarkStart w:id="4228" w:name="_Toc296346607"/>
      <w:bookmarkEnd w:id="4228"/>
      <w:bookmarkStart w:id="4229" w:name="_Toc296503106"/>
      <w:bookmarkEnd w:id="4229"/>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230" w:name="_Toc13613"/>
      <w:bookmarkStart w:id="4231" w:name="_Toc27088"/>
      <w:bookmarkStart w:id="4232" w:name="_Toc12151"/>
      <w:bookmarkStart w:id="4233" w:name="_Toc7705"/>
      <w:bookmarkStart w:id="4234" w:name="_Toc3230"/>
      <w:bookmarkStart w:id="4235" w:name="_Toc15855"/>
      <w:bookmarkStart w:id="4236" w:name="_Toc9870"/>
      <w:bookmarkStart w:id="4237" w:name="_Toc7846"/>
      <w:bookmarkStart w:id="4238" w:name="_Toc23428"/>
      <w:bookmarkStart w:id="4239" w:name="_Toc517530900"/>
      <w:bookmarkStart w:id="4240" w:name="_Toc517532176"/>
      <w:bookmarkStart w:id="4241" w:name="_Toc18324"/>
      <w:bookmarkStart w:id="4242" w:name="_Toc21683"/>
      <w:bookmarkStart w:id="4243" w:name="_Toc29837"/>
      <w:bookmarkStart w:id="4244" w:name="_Toc9241"/>
      <w:bookmarkStart w:id="4245" w:name="_Toc22171"/>
      <w:bookmarkStart w:id="4246" w:name="_Toc4220"/>
      <w:bookmarkStart w:id="4247" w:name="_Toc18548"/>
      <w:bookmarkStart w:id="4248" w:name="_Toc29312"/>
      <w:bookmarkStart w:id="4249" w:name="_Toc517528717"/>
      <w:bookmarkStart w:id="4250" w:name="_Toc14214"/>
      <w:r>
        <w:rPr>
          <w:rFonts w:ascii="宋体" w:hAnsi="宋体" w:eastAsia="宋体" w:cs="华文仿宋"/>
          <w:b/>
          <w:bCs/>
          <w:color w:val="auto"/>
          <w:sz w:val="28"/>
          <w:szCs w:val="28"/>
        </w:rPr>
        <w:t>13.1</w:t>
      </w:r>
      <w:r>
        <w:rPr>
          <w:rFonts w:ascii="宋体" w:hAnsi="宋体" w:cs="华文仿宋"/>
          <w:b/>
          <w:bCs/>
          <w:color w:val="auto"/>
          <w:sz w:val="28"/>
          <w:szCs w:val="28"/>
        </w:rPr>
        <w:t>交接证书</w:t>
      </w:r>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本合同工程已经实质上竣工，并合格地通过了按合同规定的各项质量检验，已按规定编制交接竣工图表资料后，承包人可向监理人提出要求竣工验收、发给交接证书的申请，并抄送发包人（如果尚有少量因受季节影响或其他原因不能施工，但并不影响工程使用的某些附属工程或剩余工作尚未全部完成时，需附有在限期内尽快完成这些未完工作的书面保证）。监理人在收到该申请后，应在</w:t>
      </w:r>
      <w:r>
        <w:rPr>
          <w:rFonts w:ascii="宋体" w:hAnsi="宋体" w:eastAsia="宋体" w:cs="华文仿宋"/>
          <w:color w:val="auto"/>
          <w:szCs w:val="21"/>
          <w:u w:val="single"/>
        </w:rPr>
        <w:t>14</w:t>
      </w:r>
      <w:r>
        <w:rPr>
          <w:rFonts w:ascii="宋体" w:hAnsi="宋体" w:cs="华文仿宋"/>
          <w:color w:val="auto"/>
          <w:szCs w:val="21"/>
        </w:rPr>
        <w:t>天内审核并报发包人，发包人在收到该申请后的</w:t>
      </w:r>
      <w:r>
        <w:rPr>
          <w:rFonts w:ascii="宋体" w:hAnsi="宋体" w:eastAsia="宋体" w:cs="华文仿宋"/>
          <w:color w:val="auto"/>
          <w:szCs w:val="21"/>
          <w:u w:val="single"/>
        </w:rPr>
        <w:t>21</w:t>
      </w:r>
      <w:r>
        <w:rPr>
          <w:rFonts w:ascii="宋体" w:hAnsi="宋体" w:cs="华文仿宋"/>
          <w:color w:val="auto"/>
          <w:szCs w:val="21"/>
        </w:rPr>
        <w:t>天内应组织竣工验收。竣工验收由发包人主持，并成立竣工验收委员会，按国家有关工程竣工验收的办法组织竣工验收工作。</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包人未能在上述规定的时间内组织竣工验收，则发包人应从规定期限最后一天的次日起承担延期验收的工程照管和养护费用，监理人在与承包人和发包人协商后，应确定将此费用款额加到合同价格上，并通知承包人，抄送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如果经竣工验收认为工程质量合格，发包人应在验收工作完毕后</w:t>
      </w:r>
      <w:r>
        <w:rPr>
          <w:rFonts w:ascii="宋体" w:hAnsi="宋体" w:eastAsia="宋体" w:cs="华文仿宋"/>
          <w:color w:val="auto"/>
          <w:szCs w:val="21"/>
        </w:rPr>
        <w:t>14</w:t>
      </w:r>
      <w:r>
        <w:rPr>
          <w:rFonts w:ascii="宋体" w:hAnsi="宋体" w:cs="华文仿宋"/>
          <w:color w:val="auto"/>
          <w:szCs w:val="21"/>
        </w:rPr>
        <w:t>天内向承包人签发交接证书。证书中写明按合同规定本合同工程的竣工日期（即承包人提出申请竣工验收的日期），同时办理合同工程的移交管养工作。交接证书签发并移交管养后，承包人即不再负责对本工程的照管。</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如果发给交接证书的工程不能立即移交管养时，承包人仍应继续负责工程照管和养护，监理人在与承包人和发包人协商后应确定加到合同价格上的此项费用款额，通知承包人，抄送发包人。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经竣工验收认为工程质量虽合格，同意验收，但某些工程尚需整修、补修，则应缓发交接证书，限期修好，待整修、补修工作完成，经监理人复查认为达到质量要求后，再发给交接证书，证书上写明的竣工日期仍应为承包人提出申请竣工验收的日期。</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如经竣工验收认为工程质量达不到合格标准，则监理人应根据竣工验收小组的意见，在验收工作完毕后</w:t>
      </w:r>
      <w:r>
        <w:rPr>
          <w:rFonts w:ascii="宋体" w:hAnsi="宋体" w:eastAsia="宋体" w:cs="华文仿宋"/>
          <w:color w:val="auto"/>
          <w:szCs w:val="21"/>
        </w:rPr>
        <w:t>7</w:t>
      </w:r>
      <w:r>
        <w:rPr>
          <w:rFonts w:ascii="宋体" w:hAnsi="宋体" w:cs="华文仿宋"/>
          <w:color w:val="auto"/>
          <w:szCs w:val="21"/>
        </w:rPr>
        <w:t>天内向承包人发出不予验收的指令，要求承包人对不合格工程认真返工重做或补救处理。承包人在完成上述不合格工程的修复工作后，应重新提出竣工验收的申请，经竣工验收小组复验认为达到合格标准后才发给交接证书。证书中写明的竣工日期应为承包人重新提出申请竣工验收的日期。计算实际工期时应减去承包人第一次提出申请竣工验收至监理人发出不予验收的指令的时间。</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251" w:name="_Toc8334"/>
      <w:bookmarkStart w:id="4252" w:name="_Toc517530901"/>
      <w:bookmarkStart w:id="4253" w:name="_Toc517532177"/>
      <w:bookmarkStart w:id="4254" w:name="_Toc21761"/>
      <w:bookmarkStart w:id="4255" w:name="_Toc25936"/>
      <w:bookmarkStart w:id="4256" w:name="_Toc5719"/>
      <w:bookmarkStart w:id="4257" w:name="_Toc19653"/>
      <w:bookmarkStart w:id="4258" w:name="_Toc29436"/>
      <w:bookmarkStart w:id="4259" w:name="_Toc16750"/>
      <w:bookmarkStart w:id="4260" w:name="_Toc488"/>
      <w:bookmarkStart w:id="4261" w:name="_Toc23184"/>
      <w:bookmarkStart w:id="4262" w:name="_Toc13524"/>
      <w:bookmarkStart w:id="4263" w:name="_Toc13464"/>
      <w:bookmarkStart w:id="4264" w:name="_Toc18788"/>
      <w:bookmarkStart w:id="4265" w:name="_Toc517528718"/>
      <w:bookmarkStart w:id="4266" w:name="_Toc25087"/>
      <w:bookmarkStart w:id="4267" w:name="_Toc5726"/>
      <w:bookmarkStart w:id="4268" w:name="_Toc22769"/>
      <w:bookmarkStart w:id="4269" w:name="_Toc22130"/>
      <w:bookmarkStart w:id="4270" w:name="_Toc23788"/>
      <w:bookmarkStart w:id="4271" w:name="_Toc6478"/>
      <w:r>
        <w:rPr>
          <w:rFonts w:ascii="宋体" w:hAnsi="宋体" w:eastAsia="宋体" w:cs="华文仿宋"/>
          <w:b/>
          <w:bCs/>
          <w:color w:val="auto"/>
          <w:sz w:val="28"/>
          <w:szCs w:val="28"/>
        </w:rPr>
        <w:t>13.2</w:t>
      </w:r>
      <w:r>
        <w:rPr>
          <w:rFonts w:ascii="宋体" w:hAnsi="宋体" w:cs="华文仿宋"/>
          <w:b/>
          <w:bCs/>
          <w:color w:val="auto"/>
          <w:sz w:val="28"/>
          <w:szCs w:val="28"/>
        </w:rPr>
        <w:t>区段或单项工程的交工</w:t>
      </w:r>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根据第</w:t>
      </w:r>
      <w:r>
        <w:rPr>
          <w:rFonts w:ascii="宋体" w:hAnsi="宋体" w:eastAsia="宋体" w:cs="华文仿宋"/>
          <w:color w:val="auto"/>
          <w:szCs w:val="21"/>
        </w:rPr>
        <w:t>13.1</w:t>
      </w:r>
      <w:r>
        <w:rPr>
          <w:rFonts w:ascii="宋体" w:hAnsi="宋体" w:cs="华文仿宋"/>
          <w:color w:val="auto"/>
          <w:szCs w:val="21"/>
        </w:rPr>
        <w:t>条规定的程序，承包人可以向监理人就下列情况提出要求竣工验收并发给交接证书的申请：</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合同规定有单独竣工期的某区段或某单项工程；</w:t>
      </w:r>
    </w:p>
    <w:p>
      <w:pPr>
        <w:spacing w:line="360" w:lineRule="auto"/>
        <w:ind w:firstLine="420"/>
        <w:jc w:val="left"/>
        <w:rPr>
          <w:rFonts w:ascii="宋体" w:hAnsi="宋体" w:eastAsia="宋体" w:cs="华文仿宋"/>
          <w:color w:val="auto"/>
          <w:kern w:val="0"/>
          <w:szCs w:val="21"/>
        </w:rPr>
      </w:pPr>
      <w:r>
        <w:rPr>
          <w:rFonts w:ascii="宋体" w:hAnsi="宋体" w:eastAsia="宋体" w:cs="华文仿宋"/>
          <w:color w:val="auto"/>
          <w:szCs w:val="21"/>
        </w:rPr>
        <w:t>(b)</w:t>
      </w:r>
      <w:r>
        <w:rPr>
          <w:rFonts w:ascii="宋体" w:hAnsi="宋体" w:cs="华文仿宋"/>
          <w:color w:val="auto"/>
          <w:szCs w:val="21"/>
        </w:rPr>
        <w:t>已经竣工且监理人认可的永久工程的任何主要部分（合同另有规定者除外）。</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272" w:name="_Toc517530902"/>
      <w:bookmarkStart w:id="4273" w:name="_Toc32130"/>
      <w:bookmarkStart w:id="4274" w:name="_Toc15643"/>
      <w:bookmarkStart w:id="4275" w:name="_Toc32113"/>
      <w:bookmarkStart w:id="4276" w:name="_Toc6575"/>
      <w:bookmarkStart w:id="4277" w:name="_Toc1940"/>
      <w:bookmarkStart w:id="4278" w:name="_Toc31495"/>
      <w:bookmarkStart w:id="4279" w:name="_Toc21905"/>
      <w:bookmarkStart w:id="4280" w:name="_Toc12156"/>
      <w:bookmarkStart w:id="4281" w:name="_Toc21899"/>
      <w:bookmarkStart w:id="4282" w:name="_Toc28417"/>
      <w:bookmarkStart w:id="4283" w:name="_Toc28705"/>
      <w:bookmarkStart w:id="4284" w:name="_Toc517532178"/>
      <w:bookmarkStart w:id="4285" w:name="_Toc19773"/>
      <w:bookmarkStart w:id="4286" w:name="_Toc4996"/>
      <w:bookmarkStart w:id="4287" w:name="_Toc21735"/>
      <w:bookmarkStart w:id="4288" w:name="_Toc25736"/>
      <w:bookmarkStart w:id="4289" w:name="_Toc23623"/>
      <w:bookmarkStart w:id="4290" w:name="_Toc517528719"/>
      <w:bookmarkStart w:id="4291" w:name="_Toc5609"/>
      <w:bookmarkStart w:id="4292" w:name="_Toc31557"/>
      <w:r>
        <w:rPr>
          <w:rFonts w:ascii="宋体" w:hAnsi="宋体" w:eastAsia="宋体" w:cs="华文仿宋"/>
          <w:b/>
          <w:bCs/>
          <w:color w:val="auto"/>
          <w:sz w:val="28"/>
          <w:szCs w:val="28"/>
        </w:rPr>
        <w:t>13.3</w:t>
      </w:r>
      <w:r>
        <w:rPr>
          <w:rFonts w:ascii="宋体" w:hAnsi="宋体" w:cs="华文仿宋"/>
          <w:b/>
          <w:bCs/>
          <w:color w:val="auto"/>
          <w:sz w:val="28"/>
          <w:szCs w:val="28"/>
        </w:rPr>
        <w:t>工程移交和档案管理</w:t>
      </w:r>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p>
    <w:p>
      <w:pPr>
        <w:snapToGrid w:val="0"/>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承包人须将施工过程中形成的即时档案（包括质量文件、施工记录、会议纪要、变更文件等）在</w:t>
      </w:r>
      <w:r>
        <w:rPr>
          <w:rFonts w:ascii="宋体" w:hAnsi="宋体" w:eastAsia="宋体" w:cs="华文仿宋"/>
          <w:color w:val="auto"/>
          <w:szCs w:val="21"/>
        </w:rPr>
        <w:t>3-5</w:t>
      </w:r>
      <w:r>
        <w:rPr>
          <w:rFonts w:ascii="宋体" w:hAnsi="宋体" w:cs="华文仿宋"/>
          <w:color w:val="auto"/>
          <w:szCs w:val="21"/>
        </w:rPr>
        <w:t>天内录入至发包人的项目建设档案管理系统中，档案不齐或不及时录入的，将影响承包人的工程款支付及履约评价等级；</w:t>
      </w:r>
    </w:p>
    <w:p>
      <w:pPr>
        <w:snapToGrid w:val="0"/>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承包人必须按市城市档案馆的规定及工务署工程档案管理相关规定整理并移交竣工档案后（包括档案主管部门、发包人及接管单位），凭相关工程档案移交签字单方可办理工程结算支付；</w:t>
      </w:r>
    </w:p>
    <w:p>
      <w:pPr>
        <w:snapToGrid w:val="0"/>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承包人的档案员必须持有市城建档案上岗证；</w:t>
      </w:r>
    </w:p>
    <w:p>
      <w:pPr>
        <w:snapToGrid w:val="0"/>
        <w:spacing w:line="360" w:lineRule="auto"/>
        <w:ind w:firstLine="420"/>
        <w:jc w:val="left"/>
        <w:rPr>
          <w:rFonts w:ascii="宋体" w:hAnsi="宋体" w:eastAsia="宋体" w:cs="华文仿宋"/>
          <w:color w:val="auto"/>
          <w:szCs w:val="21"/>
          <w:lang w:val="zh-CN"/>
        </w:rPr>
      </w:pPr>
      <w:r>
        <w:rPr>
          <w:rFonts w:ascii="宋体" w:hAnsi="宋体" w:eastAsia="宋体" w:cs="华文仿宋"/>
          <w:color w:val="auto"/>
          <w:szCs w:val="21"/>
        </w:rPr>
        <w:t>(d)</w:t>
      </w:r>
      <w:r>
        <w:rPr>
          <w:rFonts w:ascii="宋体" w:hAnsi="宋体" w:cs="华文仿宋"/>
          <w:color w:val="auto"/>
          <w:szCs w:val="21"/>
        </w:rPr>
        <w:t>工程竣工验收合格后承包人必须将工程移交给发包人指定的接管单位。在向发包人指定的接管单位移交钥匙的同时必须办理：①办理钥匙移交清单；②双方抄好水表电表底数；③列出详细的设备、物件移交清单，标明名称、数量、外观、状态等，办理《钥匙交接清单》《水电表抄表记录》《物业交接清单》《设备移交书》《设备资料移交书》和《设备专用工具和备用件移交书》。</w:t>
      </w:r>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4293" w:name="_Toc351203593"/>
      <w:bookmarkStart w:id="4294" w:name="_Toc28086"/>
      <w:bookmarkStart w:id="4295" w:name="_Toc6637"/>
      <w:bookmarkStart w:id="4296" w:name="_Toc31515"/>
      <w:bookmarkStart w:id="4297" w:name="_Toc28933"/>
      <w:bookmarkStart w:id="4298" w:name="_Toc24713"/>
      <w:bookmarkStart w:id="4299" w:name="_Toc23259"/>
      <w:bookmarkStart w:id="4300" w:name="_Toc517532179"/>
      <w:bookmarkStart w:id="4301" w:name="_Toc517528720"/>
      <w:bookmarkStart w:id="4302" w:name="_Toc22003"/>
      <w:bookmarkStart w:id="4303" w:name="_Toc465237128"/>
      <w:bookmarkStart w:id="4304" w:name="_Toc21338"/>
      <w:bookmarkStart w:id="4305" w:name="_Toc517529747"/>
      <w:bookmarkStart w:id="4306" w:name="_Toc3537"/>
      <w:bookmarkStart w:id="4307" w:name="_Toc17123"/>
      <w:bookmarkStart w:id="4308" w:name="_Toc380"/>
      <w:bookmarkStart w:id="4309" w:name="_Toc19667"/>
      <w:bookmarkStart w:id="4310" w:name="_Toc22651"/>
      <w:bookmarkStart w:id="4311" w:name="_Toc517530903"/>
      <w:bookmarkStart w:id="4312" w:name="_Toc12155"/>
      <w:bookmarkStart w:id="4313" w:name="_Toc17709"/>
      <w:bookmarkStart w:id="4314" w:name="_Toc465237225"/>
      <w:bookmarkStart w:id="4315" w:name="_Toc20732"/>
      <w:bookmarkStart w:id="4316" w:name="_Toc25748"/>
      <w:bookmarkStart w:id="4317" w:name="_Toc12963"/>
      <w:r>
        <w:rPr>
          <w:rFonts w:ascii="宋体" w:hAnsi="宋体" w:eastAsia="宋体" w:cs="华文仿宋"/>
          <w:b/>
          <w:bCs/>
          <w:color w:val="auto"/>
          <w:sz w:val="30"/>
          <w:szCs w:val="30"/>
        </w:rPr>
        <w:t>14.</w:t>
      </w:r>
      <w:bookmarkEnd w:id="4293"/>
      <w:r>
        <w:rPr>
          <w:rFonts w:ascii="宋体" w:hAnsi="宋体" w:eastAsia="宋体" w:cs="华文仿宋"/>
          <w:b/>
          <w:bCs/>
          <w:color w:val="auto"/>
          <w:sz w:val="30"/>
          <w:szCs w:val="30"/>
        </w:rPr>
        <w:t xml:space="preserve"> </w:t>
      </w:r>
      <w:r>
        <w:rPr>
          <w:rFonts w:ascii="宋体" w:hAnsi="宋体" w:cs="华文仿宋"/>
          <w:b/>
          <w:bCs/>
          <w:color w:val="auto"/>
          <w:sz w:val="30"/>
          <w:szCs w:val="30"/>
        </w:rPr>
        <w:t>竣工结算</w:t>
      </w:r>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318" w:name="_Toc11084"/>
      <w:bookmarkStart w:id="4319" w:name="_Toc4789"/>
      <w:bookmarkStart w:id="4320" w:name="_Toc9332"/>
      <w:bookmarkStart w:id="4321" w:name="_Toc12389"/>
      <w:bookmarkStart w:id="4322" w:name="_Toc17433"/>
      <w:bookmarkStart w:id="4323" w:name="_Toc24973"/>
      <w:bookmarkStart w:id="4324" w:name="_Toc20012"/>
      <w:bookmarkStart w:id="4325" w:name="_Toc517530904"/>
      <w:bookmarkStart w:id="4326" w:name="_Toc13883"/>
      <w:bookmarkStart w:id="4327" w:name="_Toc22231"/>
      <w:bookmarkStart w:id="4328" w:name="_Toc20191"/>
      <w:bookmarkStart w:id="4329" w:name="_Toc23042"/>
      <w:bookmarkStart w:id="4330" w:name="_Toc10314"/>
      <w:bookmarkStart w:id="4331" w:name="_Toc17606"/>
      <w:bookmarkStart w:id="4332" w:name="_Toc517532180"/>
      <w:bookmarkStart w:id="4333" w:name="_Toc517528721"/>
      <w:bookmarkStart w:id="4334" w:name="_Toc11779"/>
      <w:bookmarkStart w:id="4335" w:name="_Toc1538"/>
      <w:bookmarkStart w:id="4336" w:name="_Toc10152"/>
      <w:bookmarkStart w:id="4337" w:name="_Toc23583"/>
      <w:bookmarkStart w:id="4338" w:name="_Toc3461"/>
      <w:r>
        <w:rPr>
          <w:rFonts w:ascii="宋体" w:hAnsi="宋体" w:eastAsia="宋体" w:cs="华文仿宋"/>
          <w:b/>
          <w:bCs/>
          <w:color w:val="auto"/>
          <w:sz w:val="28"/>
          <w:szCs w:val="28"/>
        </w:rPr>
        <w:t>14.1</w:t>
      </w:r>
      <w:r>
        <w:rPr>
          <w:rFonts w:ascii="宋体" w:hAnsi="宋体" w:cs="华文仿宋"/>
          <w:b/>
          <w:bCs/>
          <w:color w:val="auto"/>
          <w:sz w:val="28"/>
          <w:szCs w:val="28"/>
        </w:rPr>
        <w:t>竣工结账单</w:t>
      </w:r>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在合同工程交接证书签发后</w:t>
      </w:r>
      <w:r>
        <w:rPr>
          <w:rFonts w:ascii="宋体" w:hAnsi="宋体" w:eastAsia="宋体" w:cs="华文仿宋"/>
          <w:color w:val="auto"/>
          <w:szCs w:val="21"/>
        </w:rPr>
        <w:t>42</w:t>
      </w:r>
      <w:r>
        <w:rPr>
          <w:rFonts w:ascii="宋体" w:hAnsi="宋体" w:cs="华文仿宋"/>
          <w:color w:val="auto"/>
          <w:szCs w:val="21"/>
        </w:rPr>
        <w:t>天内，承包人应以监理人批准的格式向监理人提交一份竣工结账单，并附上用详细资料说明的证实文件，表明：</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根据合同规定，直到交接证书中写明的竣工日期为止所完成的全部工程的最终价值；</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承包人认为应付给他的进一步的款项；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承包人认为根据合同到期应付给他的各项款额的估算值。</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上述估算的各项款额应在竣工结账单内分别填报。监理人应根据第</w:t>
      </w:r>
      <w:r>
        <w:rPr>
          <w:rFonts w:ascii="宋体" w:hAnsi="宋体" w:eastAsia="宋体" w:cs="华文仿宋"/>
          <w:color w:val="auto"/>
          <w:szCs w:val="21"/>
        </w:rPr>
        <w:t>12.3.3</w:t>
      </w:r>
      <w:r>
        <w:rPr>
          <w:rFonts w:ascii="宋体" w:hAnsi="宋体" w:cs="华文仿宋"/>
          <w:color w:val="auto"/>
          <w:szCs w:val="21"/>
        </w:rPr>
        <w:t>条规定的核证此支付，并报发包人审批。</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在合同工程通过竣工验收后</w:t>
      </w:r>
      <w:r>
        <w:rPr>
          <w:rFonts w:ascii="宋体" w:hAnsi="宋体" w:cs="华文仿宋"/>
          <w:color w:val="auto"/>
          <w:szCs w:val="21"/>
          <w:u w:val="single"/>
        </w:rPr>
        <w:t xml:space="preserve"> </w:t>
      </w:r>
      <w:r>
        <w:rPr>
          <w:rFonts w:ascii="宋体" w:hAnsi="宋体" w:eastAsia="宋体" w:cs="华文仿宋"/>
          <w:color w:val="auto"/>
          <w:szCs w:val="21"/>
          <w:u w:val="single"/>
        </w:rPr>
        <w:t xml:space="preserve">42 </w:t>
      </w:r>
      <w:r>
        <w:rPr>
          <w:rFonts w:ascii="宋体" w:hAnsi="宋体" w:cs="华文仿宋"/>
          <w:color w:val="auto"/>
          <w:szCs w:val="21"/>
        </w:rPr>
        <w:t>天内，承包人应按照合同专用条款附件《工程结算管理办法》及发包人的有关要求编报工程竣工结算。办理竣工结算的有关规定详见《工程结算管理办法》。若承包人不按上述规定时间报送结算，发包人可对承包人发催报书面通知；在通知规定期限内仍不报送结算的，发包人有权按已有资料或按已付工程款报评审中心办理结算，并记录承包人不良行为。</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发包人在规定时间对承包人的结算进行审核后报送评审中心或发包人指定的第三方审定的，应视为发包人履行了结算义务。若评审中心评审或发包人指定的第三方审定逾期的，承包人不得追究发包人责任。</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339" w:name="_Toc19631"/>
      <w:bookmarkStart w:id="4340" w:name="_Toc5949"/>
      <w:bookmarkStart w:id="4341" w:name="_Toc20965"/>
      <w:bookmarkStart w:id="4342" w:name="_Toc5923"/>
      <w:bookmarkStart w:id="4343" w:name="_Toc517528722"/>
      <w:bookmarkStart w:id="4344" w:name="_Toc26867"/>
      <w:bookmarkStart w:id="4345" w:name="_Toc26483"/>
      <w:bookmarkStart w:id="4346" w:name="_Toc15501"/>
      <w:bookmarkStart w:id="4347" w:name="_Toc517530905"/>
      <w:bookmarkStart w:id="4348" w:name="_Toc16214"/>
      <w:bookmarkStart w:id="4349" w:name="_Toc16016"/>
      <w:bookmarkStart w:id="4350" w:name="_Toc22263"/>
      <w:bookmarkStart w:id="4351" w:name="_Toc15379"/>
      <w:bookmarkStart w:id="4352" w:name="_Toc27099"/>
      <w:bookmarkStart w:id="4353" w:name="_Toc12090"/>
      <w:bookmarkStart w:id="4354" w:name="_Toc5009"/>
      <w:bookmarkStart w:id="4355" w:name="_Toc19681"/>
      <w:bookmarkStart w:id="4356" w:name="_Toc517532181"/>
      <w:bookmarkStart w:id="4357" w:name="_Toc20296"/>
      <w:bookmarkStart w:id="4358" w:name="_Toc27179"/>
      <w:bookmarkStart w:id="4359" w:name="_Toc8732"/>
      <w:r>
        <w:rPr>
          <w:rFonts w:ascii="宋体" w:hAnsi="宋体" w:eastAsia="宋体" w:cs="华文仿宋"/>
          <w:b/>
          <w:bCs/>
          <w:color w:val="auto"/>
          <w:sz w:val="28"/>
          <w:szCs w:val="28"/>
        </w:rPr>
        <w:t>14.2</w:t>
      </w:r>
      <w:r>
        <w:rPr>
          <w:rFonts w:ascii="宋体" w:hAnsi="宋体" w:cs="华文仿宋"/>
          <w:b/>
          <w:bCs/>
          <w:color w:val="auto"/>
          <w:sz w:val="28"/>
          <w:szCs w:val="28"/>
        </w:rPr>
        <w:t>签发履约证书</w:t>
      </w:r>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pPr>
        <w:spacing w:line="360" w:lineRule="auto"/>
        <w:ind w:firstLine="420"/>
        <w:rPr>
          <w:rFonts w:ascii="宋体" w:hAnsi="宋体" w:eastAsia="宋体" w:cs="华文仿宋"/>
          <w:color w:val="auto"/>
          <w:szCs w:val="21"/>
        </w:rPr>
      </w:pPr>
      <w:r>
        <w:rPr>
          <w:rFonts w:ascii="宋体" w:hAnsi="宋体" w:cs="华文仿宋"/>
          <w:color w:val="auto"/>
          <w:szCs w:val="21"/>
        </w:rPr>
        <w:t>唯有本条规定的履约证书才能被视为构成本合同工程已经完成的批准文件。</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只有在签发了履约证书，写明承包人实施和完成本合同工程的义务已经完成，并达到符合合同约定的要求时，才能认为本合同已经结束。履约证书应由监理人核签报经发包人同意后，由发包人在履约期满后</w:t>
      </w:r>
      <w:r>
        <w:rPr>
          <w:rFonts w:ascii="宋体" w:hAnsi="宋体" w:eastAsia="宋体" w:cs="华文仿宋"/>
          <w:color w:val="auto"/>
          <w:szCs w:val="21"/>
          <w:u w:val="single"/>
        </w:rPr>
        <w:t>21</w:t>
      </w:r>
      <w:r>
        <w:rPr>
          <w:rFonts w:ascii="宋体" w:hAnsi="宋体" w:cs="华文仿宋"/>
          <w:color w:val="auto"/>
          <w:szCs w:val="21"/>
        </w:rPr>
        <w:t>天内发给承包人。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尽管颁发了履约证书，但承包人和发包人仍应负责履行在履约证书颁发之前按合同规定应予履行的、而在履约证书颁发时尚未完成的义务，本合同对当事人双方应具有约束力。</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360" w:name="_Toc965"/>
      <w:bookmarkStart w:id="4361" w:name="_Toc20475"/>
      <w:bookmarkStart w:id="4362" w:name="_Toc517530906"/>
      <w:bookmarkStart w:id="4363" w:name="_Toc3376"/>
      <w:bookmarkStart w:id="4364" w:name="_Toc12602"/>
      <w:bookmarkStart w:id="4365" w:name="_Toc11515"/>
      <w:bookmarkStart w:id="4366" w:name="_Toc14633"/>
      <w:bookmarkStart w:id="4367" w:name="_Toc11478"/>
      <w:bookmarkStart w:id="4368" w:name="_Toc28490"/>
      <w:bookmarkStart w:id="4369" w:name="_Toc5897"/>
      <w:bookmarkStart w:id="4370" w:name="_Toc26650"/>
      <w:bookmarkStart w:id="4371" w:name="_Toc19611"/>
      <w:bookmarkStart w:id="4372" w:name="_Toc28478"/>
      <w:bookmarkStart w:id="4373" w:name="_Toc517528723"/>
      <w:bookmarkStart w:id="4374" w:name="_Toc15530"/>
      <w:bookmarkStart w:id="4375" w:name="_Toc17178"/>
      <w:bookmarkStart w:id="4376" w:name="_Toc517532182"/>
      <w:bookmarkStart w:id="4377" w:name="_Toc25601"/>
      <w:bookmarkStart w:id="4378" w:name="_Toc1991"/>
      <w:bookmarkStart w:id="4379" w:name="_Toc9407"/>
      <w:bookmarkStart w:id="4380" w:name="_Toc15954"/>
      <w:r>
        <w:rPr>
          <w:rFonts w:ascii="宋体" w:hAnsi="宋体" w:eastAsia="宋体" w:cs="华文仿宋"/>
          <w:b/>
          <w:bCs/>
          <w:color w:val="auto"/>
          <w:sz w:val="28"/>
          <w:szCs w:val="28"/>
        </w:rPr>
        <w:t>14.3</w:t>
      </w:r>
      <w:r>
        <w:rPr>
          <w:rFonts w:ascii="宋体" w:hAnsi="宋体" w:cs="华文仿宋"/>
          <w:b/>
          <w:bCs/>
          <w:color w:val="auto"/>
          <w:sz w:val="28"/>
          <w:szCs w:val="28"/>
        </w:rPr>
        <w:t>最后结账单</w:t>
      </w:r>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在根据第</w:t>
      </w:r>
      <w:r>
        <w:rPr>
          <w:rFonts w:ascii="宋体" w:hAnsi="宋体" w:eastAsia="宋体" w:cs="华文仿宋"/>
          <w:color w:val="auto"/>
          <w:szCs w:val="21"/>
        </w:rPr>
        <w:t>14.2</w:t>
      </w:r>
      <w:r>
        <w:rPr>
          <w:rFonts w:ascii="宋体" w:hAnsi="宋体" w:cs="华文仿宋"/>
          <w:color w:val="auto"/>
          <w:szCs w:val="21"/>
        </w:rPr>
        <w:t>条规定发出履约证书的</w:t>
      </w:r>
      <w:r>
        <w:rPr>
          <w:rFonts w:ascii="宋体" w:hAnsi="宋体" w:eastAsia="宋体" w:cs="华文仿宋"/>
          <w:color w:val="auto"/>
          <w:szCs w:val="21"/>
          <w:u w:val="single"/>
        </w:rPr>
        <w:t>28</w:t>
      </w:r>
      <w:r>
        <w:rPr>
          <w:rFonts w:ascii="宋体" w:hAnsi="宋体" w:cs="华文仿宋"/>
          <w:color w:val="auto"/>
          <w:szCs w:val="21"/>
        </w:rPr>
        <w:t>天之内，承包人应以监理人批准的格式向监理人提交一份最后结账单草案，并附上详细的证实文件，供监理人审核，表明：</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根据合同规定已经完成的全部工程的价值；</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承包人根据合同规定认为应该付给他的任何进一步的款项。</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不同意或者不核证最后结账单草案的任一部分，承包人应按监理人的合理要求，提交进一步的资料，并按照双方协商的结果对最后结账单草案作出相应的修改，然后由承包人编制，并向监理人提交双方同意的最后结账单。</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381" w:name="_Toc12719"/>
      <w:bookmarkStart w:id="4382" w:name="_Toc8624"/>
      <w:bookmarkStart w:id="4383" w:name="_Toc14297"/>
      <w:bookmarkStart w:id="4384" w:name="_Toc517532183"/>
      <w:bookmarkStart w:id="4385" w:name="_Toc28139"/>
      <w:bookmarkStart w:id="4386" w:name="_Toc9363"/>
      <w:bookmarkStart w:id="4387" w:name="_Toc24968"/>
      <w:bookmarkStart w:id="4388" w:name="_Toc821"/>
      <w:bookmarkStart w:id="4389" w:name="_Toc26817"/>
      <w:bookmarkStart w:id="4390" w:name="_Toc15433"/>
      <w:bookmarkStart w:id="4391" w:name="_Toc30548"/>
      <w:bookmarkStart w:id="4392" w:name="_Toc32734"/>
      <w:bookmarkStart w:id="4393" w:name="_Toc1389"/>
      <w:bookmarkStart w:id="4394" w:name="_Toc18662"/>
      <w:bookmarkStart w:id="4395" w:name="_Toc517530907"/>
      <w:bookmarkStart w:id="4396" w:name="_Toc517528724"/>
      <w:bookmarkStart w:id="4397" w:name="_Toc20951"/>
      <w:bookmarkStart w:id="4398" w:name="_Toc19759"/>
      <w:bookmarkStart w:id="4399" w:name="_Toc26385"/>
      <w:bookmarkStart w:id="4400" w:name="_Toc31275"/>
      <w:bookmarkStart w:id="4401" w:name="_Toc2845"/>
      <w:r>
        <w:rPr>
          <w:rFonts w:ascii="宋体" w:hAnsi="宋体" w:eastAsia="宋体" w:cs="华文仿宋"/>
          <w:b/>
          <w:bCs/>
          <w:color w:val="auto"/>
          <w:sz w:val="28"/>
          <w:szCs w:val="28"/>
        </w:rPr>
        <w:t>14.4</w:t>
      </w:r>
      <w:r>
        <w:rPr>
          <w:rFonts w:ascii="宋体" w:hAnsi="宋体" w:cs="华文仿宋"/>
          <w:b/>
          <w:bCs/>
          <w:color w:val="auto"/>
          <w:sz w:val="28"/>
          <w:szCs w:val="28"/>
        </w:rPr>
        <w:t>清账单</w:t>
      </w:r>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在提交最后结账单时，承包人应给发包人一份书面清账书，并抄送监理人，确认最后结账单中的总金额代表了根据合同规定应付给承包人的全部款项的最后结算。但是该清账书仅在根据第</w:t>
      </w:r>
      <w:r>
        <w:rPr>
          <w:rFonts w:ascii="宋体" w:hAnsi="宋体" w:eastAsia="宋体" w:cs="华文仿宋"/>
          <w:color w:val="auto"/>
          <w:szCs w:val="21"/>
        </w:rPr>
        <w:t>14.6</w:t>
      </w:r>
      <w:r>
        <w:rPr>
          <w:rFonts w:ascii="宋体" w:hAnsi="宋体" w:cs="华文仿宋"/>
          <w:color w:val="auto"/>
          <w:szCs w:val="21"/>
        </w:rPr>
        <w:t>条规定发出的最后支付证书项下的应付款已经支付，和第</w:t>
      </w:r>
      <w:r>
        <w:rPr>
          <w:rFonts w:ascii="宋体" w:hAnsi="宋体" w:eastAsia="宋体" w:cs="华文仿宋"/>
          <w:color w:val="auto"/>
          <w:szCs w:val="21"/>
        </w:rPr>
        <w:t>3.7</w:t>
      </w:r>
      <w:r>
        <w:rPr>
          <w:rFonts w:ascii="宋体" w:hAnsi="宋体" w:cs="华文仿宋"/>
          <w:color w:val="auto"/>
          <w:szCs w:val="21"/>
        </w:rPr>
        <w:t>条所指的履约担保已经退还给承包人之后才生效。</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402" w:name="_Toc517528725"/>
      <w:bookmarkStart w:id="4403" w:name="_Toc2616"/>
      <w:bookmarkStart w:id="4404" w:name="_Toc8554"/>
      <w:bookmarkStart w:id="4405" w:name="_Toc19122"/>
      <w:bookmarkStart w:id="4406" w:name="_Toc517532184"/>
      <w:bookmarkStart w:id="4407" w:name="_Toc2482"/>
      <w:bookmarkStart w:id="4408" w:name="_Toc8065"/>
      <w:bookmarkStart w:id="4409" w:name="_Toc17714"/>
      <w:bookmarkStart w:id="4410" w:name="_Toc2289"/>
      <w:bookmarkStart w:id="4411" w:name="_Toc517530908"/>
      <w:bookmarkStart w:id="4412" w:name="_Toc540"/>
      <w:bookmarkStart w:id="4413" w:name="_Toc16568"/>
      <w:bookmarkStart w:id="4414" w:name="_Toc2840"/>
      <w:bookmarkStart w:id="4415" w:name="_Toc9178"/>
      <w:bookmarkStart w:id="4416" w:name="_Toc1107"/>
      <w:bookmarkStart w:id="4417" w:name="_Toc32649"/>
      <w:bookmarkStart w:id="4418" w:name="_Toc12774"/>
      <w:bookmarkStart w:id="4419" w:name="_Toc3822"/>
      <w:bookmarkStart w:id="4420" w:name="_Toc31309"/>
      <w:bookmarkStart w:id="4421" w:name="_Toc2374"/>
      <w:bookmarkStart w:id="4422" w:name="_Toc23549"/>
      <w:r>
        <w:rPr>
          <w:rFonts w:ascii="宋体" w:hAnsi="宋体" w:eastAsia="宋体" w:cs="华文仿宋"/>
          <w:b/>
          <w:bCs/>
          <w:color w:val="auto"/>
          <w:sz w:val="28"/>
          <w:szCs w:val="28"/>
        </w:rPr>
        <w:t>14.5</w:t>
      </w:r>
      <w:r>
        <w:rPr>
          <w:rFonts w:ascii="宋体" w:hAnsi="宋体" w:cs="华文仿宋"/>
          <w:b/>
          <w:bCs/>
          <w:color w:val="auto"/>
          <w:sz w:val="28"/>
          <w:szCs w:val="28"/>
        </w:rPr>
        <w:t>甩项竣工协议</w:t>
      </w:r>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发包人要求甩项竣工的，合同当事人应签订甩项竣工协议。在甩项竣工协议中应明确，合同当事人按照第</w:t>
      </w:r>
      <w:r>
        <w:rPr>
          <w:rFonts w:ascii="宋体" w:hAnsi="宋体" w:eastAsia="宋体" w:cs="华文仿宋"/>
          <w:color w:val="auto"/>
          <w:szCs w:val="21"/>
        </w:rPr>
        <w:t>14.1</w:t>
      </w:r>
      <w:r>
        <w:rPr>
          <w:rFonts w:ascii="宋体" w:hAnsi="宋体" w:cs="华文仿宋"/>
          <w:color w:val="auto"/>
          <w:szCs w:val="21"/>
        </w:rPr>
        <w:t>款的约定，对已完合格工程进行结算，并支付相应合同价款。</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423" w:name="_Toc860"/>
      <w:bookmarkStart w:id="4424" w:name="_Toc17990"/>
      <w:bookmarkStart w:id="4425" w:name="_Toc11358"/>
      <w:bookmarkStart w:id="4426" w:name="_Toc5402"/>
      <w:bookmarkStart w:id="4427" w:name="_Toc11604"/>
      <w:bookmarkStart w:id="4428" w:name="_Toc30449"/>
      <w:bookmarkStart w:id="4429" w:name="_Toc7912"/>
      <w:bookmarkStart w:id="4430" w:name="_Toc30801"/>
      <w:bookmarkStart w:id="4431" w:name="_Toc21610"/>
      <w:bookmarkStart w:id="4432" w:name="_Toc19361"/>
      <w:bookmarkStart w:id="4433" w:name="_Toc31306"/>
      <w:bookmarkStart w:id="4434" w:name="_Toc517532185"/>
      <w:bookmarkStart w:id="4435" w:name="_Toc18841"/>
      <w:bookmarkStart w:id="4436" w:name="_Toc26798"/>
      <w:bookmarkStart w:id="4437" w:name="_Toc22257"/>
      <w:bookmarkStart w:id="4438" w:name="_Toc517528726"/>
      <w:bookmarkStart w:id="4439" w:name="_Toc15922"/>
      <w:bookmarkStart w:id="4440" w:name="_Toc9321"/>
      <w:bookmarkStart w:id="4441" w:name="_Toc11856"/>
      <w:bookmarkStart w:id="4442" w:name="_Toc517530909"/>
      <w:bookmarkStart w:id="4443" w:name="_Toc11870"/>
      <w:r>
        <w:rPr>
          <w:rFonts w:ascii="宋体" w:hAnsi="宋体" w:eastAsia="宋体" w:cs="华文仿宋"/>
          <w:b/>
          <w:bCs/>
          <w:color w:val="auto"/>
          <w:sz w:val="28"/>
          <w:szCs w:val="28"/>
        </w:rPr>
        <w:t>14.6</w:t>
      </w:r>
      <w:r>
        <w:rPr>
          <w:rFonts w:ascii="宋体" w:hAnsi="宋体" w:cs="华文仿宋"/>
          <w:b/>
          <w:bCs/>
          <w:color w:val="auto"/>
          <w:sz w:val="28"/>
          <w:szCs w:val="28"/>
        </w:rPr>
        <w:t>最后支付证书</w:t>
      </w:r>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在最后结账单和清账书收到</w:t>
      </w:r>
      <w:r>
        <w:rPr>
          <w:rFonts w:ascii="宋体" w:hAnsi="宋体" w:eastAsia="宋体" w:cs="华文仿宋"/>
          <w:color w:val="auto"/>
          <w:szCs w:val="21"/>
        </w:rPr>
        <w:t>14</w:t>
      </w:r>
      <w:r>
        <w:rPr>
          <w:rFonts w:ascii="宋体" w:hAnsi="宋体" w:cs="华文仿宋"/>
          <w:color w:val="auto"/>
          <w:szCs w:val="21"/>
        </w:rPr>
        <w:t>天之后，监理人应签发一份最后付支付证书报发包人审批，并抄送给承包人，说明：</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监理人认为根据合同规定的最后应付的款额；以及</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在对发包人以前所付的全部款额和发包人根据合同规定应得的全部款项予以确认后，发包人欠承包人或承包人欠发包人（视具体情况）的差额（如有）。</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444" w:name="_Toc14712"/>
      <w:bookmarkStart w:id="4445" w:name="_Toc10355"/>
      <w:bookmarkStart w:id="4446" w:name="_Toc12900"/>
      <w:bookmarkStart w:id="4447" w:name="_Toc517532186"/>
      <w:bookmarkStart w:id="4448" w:name="_Toc517528727"/>
      <w:bookmarkStart w:id="4449" w:name="_Toc517530910"/>
      <w:r>
        <w:rPr>
          <w:rFonts w:ascii="宋体" w:hAnsi="宋体" w:eastAsia="宋体" w:cs="华文仿宋"/>
          <w:b/>
          <w:bCs/>
          <w:color w:val="auto"/>
          <w:sz w:val="28"/>
          <w:szCs w:val="28"/>
        </w:rPr>
        <w:t>14.7</w:t>
      </w:r>
      <w:r>
        <w:rPr>
          <w:rFonts w:ascii="宋体" w:hAnsi="宋体" w:cs="华文仿宋"/>
          <w:b/>
          <w:bCs/>
          <w:color w:val="auto"/>
          <w:sz w:val="28"/>
          <w:szCs w:val="28"/>
        </w:rPr>
        <w:t>发包人责任的终止</w:t>
      </w:r>
      <w:bookmarkEnd w:id="4444"/>
      <w:bookmarkEnd w:id="4445"/>
      <w:bookmarkEnd w:id="4446"/>
      <w:bookmarkEnd w:id="4447"/>
      <w:bookmarkEnd w:id="4448"/>
      <w:bookmarkEnd w:id="444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发包人对承包人由于履行合同或工程实施而产生的或与此二者有关的任何问题或事情应不承担任何责任，除非承包人已在最后结账单中列入索赔要求。</w:t>
      </w:r>
    </w:p>
    <w:p>
      <w:pPr>
        <w:spacing w:line="360" w:lineRule="auto"/>
        <w:ind w:firstLine="420"/>
        <w:jc w:val="left"/>
        <w:rPr>
          <w:color w:val="auto"/>
        </w:rPr>
      </w:pPr>
      <w:bookmarkStart w:id="4450" w:name="_Toc337558810"/>
      <w:bookmarkEnd w:id="4450"/>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4451" w:name="_Toc351203598"/>
      <w:bookmarkStart w:id="4452" w:name="_Toc25414"/>
      <w:bookmarkStart w:id="4453" w:name="_Toc23210"/>
      <w:bookmarkStart w:id="4454" w:name="_Toc5261"/>
      <w:bookmarkStart w:id="4455" w:name="_Toc1033"/>
      <w:bookmarkStart w:id="4456" w:name="_Toc517529748"/>
      <w:bookmarkStart w:id="4457" w:name="_Toc2502"/>
      <w:bookmarkStart w:id="4458" w:name="_Toc17675"/>
      <w:bookmarkStart w:id="4459" w:name="_Toc2099"/>
      <w:bookmarkStart w:id="4460" w:name="_Toc517528728"/>
      <w:bookmarkStart w:id="4461" w:name="_Toc10173"/>
      <w:bookmarkStart w:id="4462" w:name="_Toc30418"/>
      <w:bookmarkStart w:id="4463" w:name="_Toc19772"/>
      <w:bookmarkStart w:id="4464" w:name="_Toc517530911"/>
      <w:bookmarkStart w:id="4465" w:name="_Toc30630"/>
      <w:bookmarkStart w:id="4466" w:name="_Toc465237226"/>
      <w:bookmarkStart w:id="4467" w:name="_Toc25537"/>
      <w:bookmarkStart w:id="4468" w:name="_Toc15201"/>
      <w:bookmarkStart w:id="4469" w:name="_Toc32631"/>
      <w:bookmarkStart w:id="4470" w:name="_Toc12622"/>
      <w:bookmarkStart w:id="4471" w:name="_Toc465237129"/>
      <w:bookmarkStart w:id="4472" w:name="_Toc11133"/>
      <w:bookmarkStart w:id="4473" w:name="_Toc517532187"/>
      <w:bookmarkStart w:id="4474" w:name="_Toc26734"/>
      <w:bookmarkStart w:id="4475" w:name="_Toc5450"/>
      <w:r>
        <w:rPr>
          <w:rFonts w:ascii="宋体" w:hAnsi="宋体" w:eastAsia="宋体" w:cs="华文仿宋"/>
          <w:b/>
          <w:bCs/>
          <w:color w:val="auto"/>
          <w:sz w:val="30"/>
          <w:szCs w:val="30"/>
        </w:rPr>
        <w:t>15.</w:t>
      </w:r>
      <w:bookmarkEnd w:id="4451"/>
      <w:r>
        <w:rPr>
          <w:rFonts w:ascii="宋体" w:hAnsi="宋体" w:eastAsia="宋体" w:cs="华文仿宋"/>
          <w:b/>
          <w:bCs/>
          <w:color w:val="auto"/>
          <w:sz w:val="30"/>
          <w:szCs w:val="30"/>
        </w:rPr>
        <w:t xml:space="preserve"> </w:t>
      </w:r>
      <w:r>
        <w:rPr>
          <w:rFonts w:ascii="宋体" w:hAnsi="宋体" w:cs="华文仿宋"/>
          <w:b/>
          <w:bCs/>
          <w:color w:val="auto"/>
          <w:sz w:val="30"/>
          <w:szCs w:val="30"/>
        </w:rPr>
        <w:t>缺陷责任与保修</w:t>
      </w:r>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476" w:name="_Toc22027"/>
      <w:bookmarkStart w:id="4477" w:name="_Toc8616"/>
      <w:bookmarkStart w:id="4478" w:name="_Toc23063"/>
      <w:bookmarkStart w:id="4479" w:name="_Toc5479"/>
      <w:bookmarkStart w:id="4480" w:name="_Toc18257"/>
      <w:bookmarkStart w:id="4481" w:name="_Toc3327"/>
      <w:bookmarkStart w:id="4482" w:name="_Toc2271"/>
      <w:bookmarkStart w:id="4483" w:name="_Toc10894"/>
      <w:bookmarkStart w:id="4484" w:name="_Toc15391"/>
      <w:bookmarkStart w:id="4485" w:name="_Toc6082"/>
      <w:bookmarkStart w:id="4486" w:name="_Toc517528729"/>
      <w:bookmarkStart w:id="4487" w:name="_Toc22426"/>
      <w:bookmarkStart w:id="4488" w:name="_Toc16317"/>
      <w:bookmarkStart w:id="4489" w:name="_Toc517530912"/>
      <w:bookmarkStart w:id="4490" w:name="_Toc18536"/>
      <w:bookmarkStart w:id="4491" w:name="_Toc15888"/>
      <w:bookmarkStart w:id="4492" w:name="_Toc517532188"/>
      <w:bookmarkStart w:id="4493" w:name="_Toc26205"/>
      <w:bookmarkStart w:id="4494" w:name="_Toc8284"/>
      <w:bookmarkStart w:id="4495" w:name="_Toc21657"/>
      <w:bookmarkStart w:id="4496" w:name="_Toc14861"/>
      <w:r>
        <w:rPr>
          <w:rFonts w:ascii="宋体" w:hAnsi="宋体" w:eastAsia="宋体" w:cs="华文仿宋"/>
          <w:b/>
          <w:bCs/>
          <w:color w:val="auto"/>
          <w:sz w:val="28"/>
          <w:szCs w:val="28"/>
        </w:rPr>
        <w:t>15.1</w:t>
      </w:r>
      <w:r>
        <w:rPr>
          <w:rFonts w:ascii="宋体" w:hAnsi="宋体" w:cs="华文仿宋"/>
          <w:b/>
          <w:bCs/>
          <w:color w:val="auto"/>
          <w:sz w:val="28"/>
          <w:szCs w:val="28"/>
        </w:rPr>
        <w:t>完成未完工作和修复缺陷</w:t>
      </w:r>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为了在履约期满后承包人能立即将合同工程交给发包人</w:t>
      </w:r>
      <w:r>
        <w:rPr>
          <w:rFonts w:ascii="宋体" w:hAnsi="宋体" w:eastAsia="宋体" w:cs="华文仿宋"/>
          <w:color w:val="auto"/>
          <w:szCs w:val="21"/>
        </w:rPr>
        <w:t>,</w:t>
      </w:r>
      <w:r>
        <w:rPr>
          <w:rFonts w:ascii="宋体" w:hAnsi="宋体" w:cs="华文仿宋"/>
          <w:color w:val="auto"/>
          <w:szCs w:val="21"/>
        </w:rPr>
        <w:t>在履约期满前</w:t>
      </w:r>
      <w:r>
        <w:rPr>
          <w:rFonts w:ascii="宋体" w:hAnsi="宋体" w:eastAsia="宋体" w:cs="华文仿宋"/>
          <w:color w:val="auto"/>
          <w:szCs w:val="21"/>
        </w:rPr>
        <w:t>,</w:t>
      </w:r>
      <w:r>
        <w:rPr>
          <w:rFonts w:ascii="宋体" w:hAnsi="宋体" w:cs="华文仿宋"/>
          <w:color w:val="auto"/>
          <w:szCs w:val="21"/>
        </w:rPr>
        <w:t>由发包人会同监理人及有关部门参加下，对工程进行一次全面检查，使本工程按合同所要求的条件（正常磨损除外），达到发包人和监理人的要求。为此，承包人应：</w:t>
      </w:r>
    </w:p>
    <w:p>
      <w:pPr>
        <w:spacing w:line="360" w:lineRule="auto"/>
        <w:ind w:firstLine="420"/>
        <w:jc w:val="left"/>
        <w:rPr>
          <w:rFonts w:ascii="宋体" w:hAnsi="宋体" w:eastAsia="宋体" w:cs="华文仿宋"/>
          <w:color w:val="auto"/>
          <w:spacing w:val="-4"/>
          <w:szCs w:val="21"/>
        </w:rPr>
      </w:pPr>
      <w:r>
        <w:rPr>
          <w:rFonts w:ascii="宋体" w:hAnsi="宋体" w:eastAsia="宋体" w:cs="华文仿宋"/>
          <w:color w:val="auto"/>
          <w:szCs w:val="21"/>
        </w:rPr>
        <w:t>(a)</w:t>
      </w:r>
      <w:r>
        <w:rPr>
          <w:rFonts w:ascii="宋体" w:hAnsi="宋体" w:cs="华文仿宋"/>
          <w:color w:val="auto"/>
          <w:szCs w:val="21"/>
        </w:rPr>
        <w:t>在履约期内，尽快完成在交接证书中写明的竣工日期之后尚未完成的工作（</w:t>
      </w:r>
      <w:r>
        <w:rPr>
          <w:rFonts w:ascii="宋体" w:hAnsi="宋体" w:cs="华文仿宋"/>
          <w:color w:val="auto"/>
          <w:spacing w:val="-4"/>
          <w:szCs w:val="21"/>
        </w:rPr>
        <w:t>如有），并随时完成对本工程缺陷的修复或监理人指令的修补工作；以及</w:t>
      </w:r>
    </w:p>
    <w:p>
      <w:pPr>
        <w:spacing w:line="360" w:lineRule="auto"/>
        <w:ind w:firstLine="420"/>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在履约期满后的</w:t>
      </w:r>
      <w:r>
        <w:rPr>
          <w:rFonts w:ascii="宋体" w:hAnsi="宋体" w:eastAsia="宋体" w:cs="华文仿宋"/>
          <w:color w:val="auto"/>
          <w:szCs w:val="21"/>
        </w:rPr>
        <w:t>14</w:t>
      </w:r>
      <w:r>
        <w:rPr>
          <w:rFonts w:ascii="宋体" w:hAnsi="宋体" w:cs="华文仿宋"/>
          <w:color w:val="auto"/>
          <w:szCs w:val="21"/>
        </w:rPr>
        <w:t>天内，按照发包人和监理人在履约期满前检查结果而发出的指令，对存在缺陷或其他不合格之处进行修补、重建及修复。</w:t>
      </w:r>
    </w:p>
    <w:p>
      <w:pPr>
        <w:spacing w:line="360" w:lineRule="auto"/>
        <w:ind w:firstLine="420"/>
        <w:rPr>
          <w:rFonts w:ascii="宋体" w:hAnsi="宋体" w:eastAsia="宋体" w:cs="华文仿宋"/>
          <w:color w:val="auto"/>
          <w:szCs w:val="21"/>
        </w:rPr>
      </w:pPr>
      <w:r>
        <w:rPr>
          <w:rFonts w:ascii="宋体" w:hAnsi="宋体" w:cs="华文仿宋"/>
          <w:color w:val="auto"/>
          <w:szCs w:val="21"/>
        </w:rPr>
        <w:t>承包人应根据合同约定完成工程实施过程中及收尾阶段的清洁、现场垃圾清运工作，承包人应履行合同约定的保修义务，若有此类指令，承包人应在接到相关指令或通知之日起在指令或通知要求的时间内派人执行，否则，发包人有权直接委托他人执行，相关费用从工程结算款、质量保证金内扣除或向承包人索赔，承包人不得对该费用提出任何异议。</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497" w:name="_Toc9841"/>
      <w:bookmarkStart w:id="4498" w:name="_Toc22298"/>
      <w:bookmarkStart w:id="4499" w:name="_Toc517528730"/>
      <w:bookmarkStart w:id="4500" w:name="_Toc24488"/>
      <w:bookmarkStart w:id="4501" w:name="_Toc2102"/>
      <w:bookmarkStart w:id="4502" w:name="_Toc5512"/>
      <w:bookmarkStart w:id="4503" w:name="_Toc19358"/>
      <w:bookmarkStart w:id="4504" w:name="_Toc6858"/>
      <w:bookmarkStart w:id="4505" w:name="_Toc24952"/>
      <w:bookmarkStart w:id="4506" w:name="_Toc29419"/>
      <w:bookmarkStart w:id="4507" w:name="_Toc21428"/>
      <w:bookmarkStart w:id="4508" w:name="_Toc22898"/>
      <w:bookmarkStart w:id="4509" w:name="_Toc26129"/>
      <w:bookmarkStart w:id="4510" w:name="_Toc517530913"/>
      <w:bookmarkStart w:id="4511" w:name="_Toc14311"/>
      <w:bookmarkStart w:id="4512" w:name="_Toc22095"/>
      <w:bookmarkStart w:id="4513" w:name="_Toc12201"/>
      <w:bookmarkStart w:id="4514" w:name="_Toc30445"/>
      <w:bookmarkStart w:id="4515" w:name="_Toc16065"/>
      <w:bookmarkStart w:id="4516" w:name="_Toc517532189"/>
      <w:bookmarkStart w:id="4517" w:name="_Toc20958"/>
      <w:r>
        <w:rPr>
          <w:rFonts w:ascii="宋体" w:hAnsi="宋体" w:eastAsia="宋体" w:cs="华文仿宋"/>
          <w:b/>
          <w:bCs/>
          <w:color w:val="auto"/>
          <w:sz w:val="28"/>
          <w:szCs w:val="28"/>
        </w:rPr>
        <w:t>15.2</w:t>
      </w:r>
      <w:r>
        <w:rPr>
          <w:rFonts w:ascii="宋体" w:hAnsi="宋体" w:cs="华文仿宋"/>
          <w:b/>
          <w:bCs/>
          <w:color w:val="auto"/>
          <w:sz w:val="28"/>
          <w:szCs w:val="28"/>
        </w:rPr>
        <w:t>缺陷的调查</w:t>
      </w:r>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p>
    <w:p>
      <w:pPr>
        <w:spacing w:line="360" w:lineRule="auto"/>
        <w:ind w:firstLine="420"/>
        <w:rPr>
          <w:rFonts w:ascii="宋体" w:hAnsi="宋体" w:eastAsia="宋体" w:cs="华文仿宋"/>
          <w:color w:val="auto"/>
          <w:szCs w:val="21"/>
        </w:rPr>
      </w:pPr>
      <w:r>
        <w:rPr>
          <w:rFonts w:ascii="宋体" w:hAnsi="宋体" w:cs="华文仿宋"/>
          <w:color w:val="auto"/>
          <w:szCs w:val="21"/>
        </w:rPr>
        <w:t>在履约期内，如果在本合同工程中出现任何缺陷或其他不合格之处，则监理人可指令承包人，在监理人的指导下调查上述缺陷或其他不合格之处的原因，并将该指令抄送发包人。如果调查结果确定不属于合同项下承包人的责任，则监理人在与发包人和承包人协商后应确定承包人进行上述调查的费用，将此费用加到合同价格上，并通知承包人，抄送发包人。如果调查结果确定是属于承包人的责任所造成，则上述调查的费用应由承包人承担。在此情况下，承包人应根据第</w:t>
      </w:r>
      <w:r>
        <w:rPr>
          <w:rFonts w:ascii="宋体" w:hAnsi="宋体" w:eastAsia="宋体" w:cs="华文仿宋"/>
          <w:color w:val="auto"/>
          <w:szCs w:val="21"/>
        </w:rPr>
        <w:t>15</w:t>
      </w:r>
      <w:r>
        <w:rPr>
          <w:rFonts w:ascii="宋体" w:hAnsi="宋体" w:cs="华文仿宋"/>
          <w:color w:val="auto"/>
          <w:szCs w:val="21"/>
        </w:rPr>
        <w:t>条规定自费修复上述缺陷或其他不合格之处。</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518" w:name="_Toc517532190"/>
      <w:bookmarkStart w:id="4519" w:name="_Toc11802"/>
      <w:bookmarkStart w:id="4520" w:name="_Toc4161"/>
      <w:bookmarkStart w:id="4521" w:name="_Toc11646"/>
      <w:bookmarkStart w:id="4522" w:name="_Toc23559"/>
      <w:bookmarkStart w:id="4523" w:name="_Toc12129"/>
      <w:bookmarkStart w:id="4524" w:name="_Toc555"/>
      <w:bookmarkStart w:id="4525" w:name="_Toc517528731"/>
      <w:bookmarkStart w:id="4526" w:name="_Toc10403"/>
      <w:bookmarkStart w:id="4527" w:name="_Toc30034"/>
      <w:bookmarkStart w:id="4528" w:name="_Toc7082"/>
      <w:bookmarkStart w:id="4529" w:name="_Toc6634"/>
      <w:bookmarkStart w:id="4530" w:name="_Toc1081"/>
      <w:bookmarkStart w:id="4531" w:name="_Toc29923"/>
      <w:bookmarkStart w:id="4532" w:name="_Toc13307"/>
      <w:bookmarkStart w:id="4533" w:name="_Toc810"/>
      <w:bookmarkStart w:id="4534" w:name="_Toc6960"/>
      <w:bookmarkStart w:id="4535" w:name="_Toc31772"/>
      <w:bookmarkStart w:id="4536" w:name="_Toc517530914"/>
      <w:bookmarkStart w:id="4537" w:name="_Toc2728"/>
      <w:bookmarkStart w:id="4538" w:name="_Toc3908"/>
      <w:r>
        <w:rPr>
          <w:rFonts w:ascii="宋体" w:hAnsi="宋体" w:eastAsia="宋体" w:cs="华文仿宋"/>
          <w:b/>
          <w:bCs/>
          <w:color w:val="auto"/>
          <w:sz w:val="28"/>
          <w:szCs w:val="28"/>
        </w:rPr>
        <w:t>15.3</w:t>
      </w:r>
      <w:r>
        <w:rPr>
          <w:rFonts w:ascii="宋体" w:hAnsi="宋体" w:cs="华文仿宋"/>
          <w:b/>
          <w:bCs/>
          <w:color w:val="auto"/>
          <w:sz w:val="28"/>
          <w:szCs w:val="28"/>
        </w:rPr>
        <w:t>缺陷修复的费用</w:t>
      </w:r>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在缺陷责任期内，下列原因造成的缺陷修复费用应由承包人自行承担：</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承包人所用的材料、设备或操作工艺不符合合同要求；</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承包人负责设计的永久工程，在设计中有错误；</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承包人的疏忽或未遵守本合同中对承包人规定的义务。</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如果监理人指令承包人修复的缺陷是不属于上述原因造成的，则监理人应根据第</w:t>
      </w:r>
      <w:r>
        <w:rPr>
          <w:rFonts w:ascii="宋体" w:hAnsi="宋体" w:eastAsia="宋体" w:cs="华文仿宋"/>
          <w:color w:val="auto"/>
          <w:szCs w:val="21"/>
        </w:rPr>
        <w:t>10</w:t>
      </w:r>
      <w:r>
        <w:rPr>
          <w:rFonts w:ascii="宋体" w:hAnsi="宋体" w:cs="华文仿宋"/>
          <w:color w:val="auto"/>
          <w:szCs w:val="21"/>
        </w:rPr>
        <w:t>条的规定，在与承包人协商并报发包人批准后，确定合同价格的增加额，通知承包人，并抄送发包人。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未能在合理的时间内执行上述指令，则发包人有权雇用其他人从事该项工作并支付报酬。如果监理人认为该项工作根据合同应是承包人自费进行的工作，则监理人在与发包人和承包人适当协商后应确定所有由此造成的或伴随产生的费用，该费用应由承包人负责，发包人可从应退还给承包人的质量保证金中扣除或向承包人索回。监理人应通知承包人，并抄送发包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539" w:name="_Toc15569"/>
      <w:bookmarkStart w:id="4540" w:name="_Toc27845"/>
      <w:bookmarkStart w:id="4541" w:name="_Toc28142"/>
      <w:bookmarkStart w:id="4542" w:name="_Toc735"/>
      <w:bookmarkStart w:id="4543" w:name="_Toc17734"/>
      <w:bookmarkStart w:id="4544" w:name="_Toc1779"/>
      <w:bookmarkStart w:id="4545" w:name="_Toc10523"/>
      <w:bookmarkStart w:id="4546" w:name="_Toc30087"/>
      <w:bookmarkStart w:id="4547" w:name="_Toc6943"/>
      <w:bookmarkStart w:id="4548" w:name="_Toc7442"/>
      <w:bookmarkStart w:id="4549" w:name="_Toc517532191"/>
      <w:bookmarkStart w:id="4550" w:name="_Toc7417"/>
      <w:bookmarkStart w:id="4551" w:name="_Toc13112"/>
      <w:bookmarkStart w:id="4552" w:name="_Toc25626"/>
      <w:bookmarkStart w:id="4553" w:name="_Toc15881"/>
      <w:bookmarkStart w:id="4554" w:name="_Toc2188"/>
      <w:bookmarkStart w:id="4555" w:name="_Toc517528732"/>
      <w:bookmarkStart w:id="4556" w:name="_Toc517530915"/>
      <w:bookmarkStart w:id="4557" w:name="_Toc14459"/>
      <w:bookmarkStart w:id="4558" w:name="_Toc15218"/>
      <w:bookmarkStart w:id="4559" w:name="_Toc7962"/>
      <w:r>
        <w:rPr>
          <w:rFonts w:ascii="宋体" w:hAnsi="宋体" w:eastAsia="宋体" w:cs="华文仿宋"/>
          <w:b/>
          <w:bCs/>
          <w:color w:val="auto"/>
          <w:sz w:val="28"/>
          <w:szCs w:val="28"/>
        </w:rPr>
        <w:t>15.4</w:t>
      </w:r>
      <w:r>
        <w:rPr>
          <w:rFonts w:ascii="宋体" w:hAnsi="宋体" w:cs="华文仿宋"/>
          <w:b/>
          <w:bCs/>
          <w:color w:val="auto"/>
          <w:sz w:val="28"/>
          <w:szCs w:val="28"/>
        </w:rPr>
        <w:t>履约期满后的缺陷责任</w:t>
      </w:r>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履约期满并不意味着承包人对工程质量缺陷的责任终止。在履约期满后，承包人对工程质量缺陷的修复责任按双方签定的《工程质量保修书》约定保修期限和责任范围承担保修期内的缺陷修复。</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560" w:name="_Toc517530916"/>
      <w:bookmarkStart w:id="4561" w:name="_Toc1099"/>
      <w:bookmarkStart w:id="4562" w:name="_Toc19769"/>
      <w:bookmarkStart w:id="4563" w:name="_Toc7044"/>
      <w:bookmarkStart w:id="4564" w:name="_Toc15069"/>
      <w:bookmarkStart w:id="4565" w:name="_Toc3750"/>
      <w:bookmarkStart w:id="4566" w:name="_Toc517532192"/>
      <w:bookmarkStart w:id="4567" w:name="_Toc18275"/>
      <w:bookmarkStart w:id="4568" w:name="_Toc9179"/>
      <w:bookmarkStart w:id="4569" w:name="_Toc26937"/>
      <w:bookmarkStart w:id="4570" w:name="_Toc29247"/>
      <w:bookmarkStart w:id="4571" w:name="_Toc22810"/>
      <w:bookmarkStart w:id="4572" w:name="_Toc26715"/>
      <w:bookmarkStart w:id="4573" w:name="_Toc25386"/>
      <w:bookmarkStart w:id="4574" w:name="_Toc21216"/>
      <w:bookmarkStart w:id="4575" w:name="_Toc10779"/>
      <w:bookmarkStart w:id="4576" w:name="_Toc30722"/>
      <w:bookmarkStart w:id="4577" w:name="_Toc23426"/>
      <w:bookmarkStart w:id="4578" w:name="_Toc22024"/>
      <w:bookmarkStart w:id="4579" w:name="_Toc16693"/>
      <w:bookmarkStart w:id="4580" w:name="_Toc517528733"/>
      <w:r>
        <w:rPr>
          <w:rFonts w:ascii="宋体" w:hAnsi="宋体" w:eastAsia="宋体" w:cs="华文仿宋"/>
          <w:b/>
          <w:bCs/>
          <w:color w:val="auto"/>
          <w:sz w:val="28"/>
          <w:szCs w:val="28"/>
        </w:rPr>
        <w:t>15.5</w:t>
      </w:r>
      <w:r>
        <w:rPr>
          <w:rFonts w:ascii="宋体" w:hAnsi="宋体" w:cs="华文仿宋"/>
          <w:b/>
          <w:bCs/>
          <w:color w:val="auto"/>
          <w:sz w:val="28"/>
          <w:szCs w:val="28"/>
        </w:rPr>
        <w:t>质量保证金的扣留</w:t>
      </w:r>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质量保证金应按投标书附件中规定的百分数乘以第</w:t>
      </w:r>
      <w:r>
        <w:rPr>
          <w:rFonts w:ascii="宋体" w:hAnsi="宋体" w:eastAsia="宋体" w:cs="华文仿宋"/>
          <w:color w:val="auto"/>
          <w:szCs w:val="21"/>
        </w:rPr>
        <w:t>12.3.2</w:t>
      </w:r>
      <w:r>
        <w:rPr>
          <w:rFonts w:ascii="宋体" w:hAnsi="宋体" w:cs="华文仿宋"/>
          <w:color w:val="auto"/>
          <w:szCs w:val="21"/>
        </w:rPr>
        <w:t>条</w:t>
      </w:r>
      <w:r>
        <w:rPr>
          <w:rFonts w:ascii="宋体" w:hAnsi="宋体" w:eastAsia="宋体" w:cs="华文仿宋"/>
          <w:color w:val="auto"/>
          <w:szCs w:val="21"/>
        </w:rPr>
        <w:t>(c)</w:t>
      </w: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w:t>
      </w:r>
      <w:r>
        <w:rPr>
          <w:rFonts w:ascii="宋体" w:hAnsi="宋体" w:eastAsia="宋体" w:cs="华文仿宋"/>
          <w:color w:val="auto"/>
          <w:szCs w:val="21"/>
        </w:rPr>
        <w:t>(e)</w:t>
      </w:r>
      <w:r>
        <w:rPr>
          <w:rFonts w:ascii="宋体" w:hAnsi="宋体" w:cs="华文仿宋"/>
          <w:color w:val="auto"/>
          <w:szCs w:val="21"/>
        </w:rPr>
        <w:t>、</w:t>
      </w:r>
      <w:r>
        <w:rPr>
          <w:rFonts w:ascii="宋体" w:hAnsi="宋体" w:eastAsia="宋体" w:cs="华文仿宋"/>
          <w:color w:val="auto"/>
          <w:szCs w:val="21"/>
        </w:rPr>
        <w:t>(f)</w:t>
      </w:r>
      <w:r>
        <w:rPr>
          <w:rFonts w:ascii="宋体" w:hAnsi="宋体" w:cs="华文仿宋"/>
          <w:color w:val="auto"/>
          <w:szCs w:val="21"/>
        </w:rPr>
        <w:t>、</w:t>
      </w:r>
      <w:r>
        <w:rPr>
          <w:rFonts w:ascii="宋体" w:hAnsi="宋体" w:eastAsia="宋体" w:cs="华文仿宋"/>
          <w:color w:val="auto"/>
          <w:szCs w:val="21"/>
        </w:rPr>
        <w:t>(g)</w:t>
      </w:r>
      <w:r>
        <w:rPr>
          <w:rFonts w:ascii="宋体" w:hAnsi="宋体" w:cs="华文仿宋"/>
          <w:color w:val="auto"/>
          <w:szCs w:val="21"/>
        </w:rPr>
        <w:t>、</w:t>
      </w:r>
      <w:r>
        <w:rPr>
          <w:rFonts w:ascii="宋体" w:hAnsi="宋体" w:eastAsia="宋体" w:cs="华文仿宋"/>
          <w:color w:val="auto"/>
          <w:szCs w:val="21"/>
        </w:rPr>
        <w:t>(i)</w:t>
      </w:r>
      <w:r>
        <w:rPr>
          <w:rFonts w:ascii="宋体" w:hAnsi="宋体" w:cs="华文仿宋"/>
          <w:color w:val="auto"/>
          <w:szCs w:val="21"/>
        </w:rPr>
        <w:t>、</w:t>
      </w:r>
      <w:r>
        <w:rPr>
          <w:rFonts w:ascii="宋体" w:hAnsi="宋体" w:eastAsia="宋体" w:cs="华文仿宋"/>
          <w:color w:val="auto"/>
          <w:szCs w:val="21"/>
        </w:rPr>
        <w:t>(j)</w:t>
      </w:r>
      <w:r>
        <w:rPr>
          <w:rFonts w:ascii="宋体" w:hAnsi="宋体" w:cs="华文仿宋"/>
          <w:color w:val="auto"/>
          <w:szCs w:val="21"/>
        </w:rPr>
        <w:t>规定承包人应得的款额，从监理人签发的支付证书中每期承包人应获得的付款中扣除。</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581" w:name="_Toc517530917"/>
      <w:bookmarkStart w:id="4582" w:name="_Toc24265"/>
      <w:bookmarkStart w:id="4583" w:name="_Toc12171"/>
      <w:bookmarkStart w:id="4584" w:name="_Toc25197"/>
      <w:bookmarkStart w:id="4585" w:name="_Toc5635"/>
      <w:bookmarkStart w:id="4586" w:name="_Toc517532193"/>
      <w:bookmarkStart w:id="4587" w:name="_Toc4648"/>
      <w:bookmarkStart w:id="4588" w:name="_Toc26188"/>
      <w:bookmarkStart w:id="4589" w:name="_Toc2139"/>
      <w:bookmarkStart w:id="4590" w:name="_Toc19917"/>
      <w:bookmarkStart w:id="4591" w:name="_Toc18811"/>
      <w:bookmarkStart w:id="4592" w:name="_Toc4691"/>
      <w:bookmarkStart w:id="4593" w:name="_Toc11211"/>
      <w:bookmarkStart w:id="4594" w:name="_Toc4647"/>
      <w:bookmarkStart w:id="4595" w:name="_Toc26068"/>
      <w:bookmarkStart w:id="4596" w:name="_Toc8344"/>
      <w:bookmarkStart w:id="4597" w:name="_Toc12374"/>
      <w:bookmarkStart w:id="4598" w:name="_Toc1029"/>
      <w:bookmarkStart w:id="4599" w:name="_Toc7559"/>
      <w:bookmarkStart w:id="4600" w:name="_Toc30642"/>
      <w:bookmarkStart w:id="4601" w:name="_Toc517528734"/>
      <w:r>
        <w:rPr>
          <w:rFonts w:ascii="宋体" w:hAnsi="宋体" w:eastAsia="宋体" w:cs="华文仿宋"/>
          <w:b/>
          <w:bCs/>
          <w:color w:val="auto"/>
          <w:sz w:val="28"/>
          <w:szCs w:val="28"/>
        </w:rPr>
        <w:t>15.6</w:t>
      </w:r>
      <w:r>
        <w:rPr>
          <w:rFonts w:ascii="宋体" w:hAnsi="宋体" w:cs="华文仿宋"/>
          <w:b/>
          <w:bCs/>
          <w:color w:val="auto"/>
          <w:sz w:val="28"/>
          <w:szCs w:val="28"/>
        </w:rPr>
        <w:t>质量保证金的退还</w:t>
      </w:r>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p>
    <w:p>
      <w:pPr>
        <w:tabs>
          <w:tab w:val="left" w:pos="1260"/>
        </w:tabs>
        <w:spacing w:line="360" w:lineRule="auto"/>
        <w:ind w:firstLine="420"/>
        <w:jc w:val="left"/>
        <w:rPr>
          <w:rFonts w:ascii="宋体" w:hAnsi="宋体" w:eastAsia="宋体" w:cs="华文仿宋"/>
          <w:color w:val="auto"/>
          <w:szCs w:val="21"/>
        </w:rPr>
      </w:pPr>
      <w:r>
        <w:rPr>
          <w:rFonts w:ascii="宋体" w:hAnsi="宋体" w:cs="华文仿宋"/>
          <w:color w:val="auto"/>
          <w:szCs w:val="21"/>
        </w:rPr>
        <w:t>质量保证金由监理人核证在第</w:t>
      </w:r>
      <w:r>
        <w:rPr>
          <w:rFonts w:ascii="宋体" w:hAnsi="宋体" w:eastAsia="宋体" w:cs="华文仿宋"/>
          <w:color w:val="auto"/>
          <w:szCs w:val="21"/>
        </w:rPr>
        <w:t>14.6</w:t>
      </w:r>
      <w:r>
        <w:rPr>
          <w:rFonts w:ascii="宋体" w:hAnsi="宋体" w:cs="华文仿宋"/>
          <w:color w:val="auto"/>
          <w:szCs w:val="21"/>
        </w:rPr>
        <w:t>条中规定的最后支付证书中将质量保证金退还给承包人。但是如果在此时，按第</w:t>
      </w:r>
      <w:r>
        <w:rPr>
          <w:rFonts w:ascii="宋体" w:hAnsi="宋体" w:eastAsia="宋体" w:cs="华文仿宋"/>
          <w:color w:val="auto"/>
          <w:szCs w:val="21"/>
        </w:rPr>
        <w:t>15</w:t>
      </w:r>
      <w:r>
        <w:rPr>
          <w:rFonts w:ascii="宋体" w:hAnsi="宋体" w:cs="华文仿宋"/>
          <w:color w:val="auto"/>
          <w:szCs w:val="21"/>
        </w:rPr>
        <w:t>条的规定尚有遗留工程有待承包人完成，则监理人有权扣发该证，直到该遗留工程全部完成并通过质量验收时为止。</w:t>
      </w:r>
      <w:bookmarkStart w:id="4602" w:name="_Toc337558815"/>
      <w:bookmarkEnd w:id="4602"/>
      <w:bookmarkStart w:id="4603" w:name="_Toc296346614"/>
      <w:bookmarkEnd w:id="4603"/>
      <w:bookmarkStart w:id="4604" w:name="_Toc296503113"/>
      <w:bookmarkEnd w:id="4604"/>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4605" w:name="_Toc351203603"/>
      <w:bookmarkStart w:id="4606" w:name="_Toc5689"/>
      <w:bookmarkStart w:id="4607" w:name="_Toc8754"/>
      <w:bookmarkStart w:id="4608" w:name="_Toc31747"/>
      <w:bookmarkStart w:id="4609" w:name="_Toc517532194"/>
      <w:bookmarkStart w:id="4610" w:name="_Toc2429"/>
      <w:bookmarkStart w:id="4611" w:name="_Toc517529749"/>
      <w:bookmarkStart w:id="4612" w:name="_Toc29571"/>
      <w:bookmarkStart w:id="4613" w:name="_Toc465237227"/>
      <w:bookmarkStart w:id="4614" w:name="_Toc4251"/>
      <w:bookmarkStart w:id="4615" w:name="_Toc517530918"/>
      <w:bookmarkStart w:id="4616" w:name="_Toc4441"/>
      <w:bookmarkStart w:id="4617" w:name="_Toc29096"/>
      <w:bookmarkStart w:id="4618" w:name="_Toc517528735"/>
      <w:bookmarkStart w:id="4619" w:name="_Toc11194"/>
      <w:bookmarkStart w:id="4620" w:name="_Toc5928"/>
      <w:bookmarkStart w:id="4621" w:name="_Toc1284"/>
      <w:bookmarkStart w:id="4622" w:name="_Toc2039"/>
      <w:bookmarkStart w:id="4623" w:name="_Toc7172"/>
      <w:bookmarkStart w:id="4624" w:name="_Toc7450"/>
      <w:bookmarkStart w:id="4625" w:name="_Toc25406"/>
      <w:bookmarkStart w:id="4626" w:name="_Toc465237130"/>
      <w:bookmarkStart w:id="4627" w:name="_Toc6126"/>
      <w:bookmarkStart w:id="4628" w:name="_Toc6948"/>
      <w:bookmarkStart w:id="4629" w:name="_Toc4621"/>
      <w:r>
        <w:rPr>
          <w:rFonts w:ascii="宋体" w:hAnsi="宋体" w:eastAsia="宋体" w:cs="华文仿宋"/>
          <w:b/>
          <w:bCs/>
          <w:color w:val="auto"/>
          <w:sz w:val="30"/>
          <w:szCs w:val="30"/>
        </w:rPr>
        <w:t>16.</w:t>
      </w:r>
      <w:bookmarkEnd w:id="4605"/>
      <w:r>
        <w:rPr>
          <w:rFonts w:ascii="宋体" w:hAnsi="宋体" w:eastAsia="宋体" w:cs="华文仿宋"/>
          <w:b/>
          <w:bCs/>
          <w:color w:val="auto"/>
          <w:sz w:val="30"/>
          <w:szCs w:val="30"/>
        </w:rPr>
        <w:t xml:space="preserve"> </w:t>
      </w:r>
      <w:r>
        <w:rPr>
          <w:rFonts w:ascii="宋体" w:hAnsi="宋体" w:cs="华文仿宋"/>
          <w:b/>
          <w:bCs/>
          <w:color w:val="auto"/>
          <w:sz w:val="30"/>
          <w:szCs w:val="30"/>
        </w:rPr>
        <w:t>违约</w:t>
      </w:r>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Start w:id="4630" w:name="_Toc337558820"/>
      <w:bookmarkEnd w:id="463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631" w:name="_Toc8337"/>
      <w:bookmarkStart w:id="4632" w:name="_Toc9378"/>
      <w:bookmarkStart w:id="4633" w:name="_Toc465237228"/>
      <w:bookmarkStart w:id="4634" w:name="_Toc13124"/>
      <w:bookmarkStart w:id="4635" w:name="_Toc517532195"/>
      <w:bookmarkStart w:id="4636" w:name="_Toc30836"/>
      <w:bookmarkStart w:id="4637" w:name="_Toc465237131"/>
      <w:bookmarkStart w:id="4638" w:name="_Toc5810"/>
      <w:bookmarkStart w:id="4639" w:name="_Toc25778"/>
      <w:bookmarkStart w:id="4640" w:name="_Toc17281"/>
      <w:bookmarkStart w:id="4641" w:name="_Toc517530919"/>
      <w:bookmarkStart w:id="4642" w:name="_Toc22650"/>
      <w:bookmarkStart w:id="4643" w:name="_Toc789"/>
      <w:bookmarkStart w:id="4644" w:name="_Toc16109"/>
      <w:bookmarkStart w:id="4645" w:name="_Toc31622"/>
      <w:bookmarkStart w:id="4646" w:name="_Toc16450"/>
      <w:bookmarkStart w:id="4647" w:name="_Toc10489"/>
      <w:bookmarkStart w:id="4648" w:name="_Toc24551"/>
      <w:bookmarkStart w:id="4649" w:name="_Toc25518"/>
      <w:bookmarkStart w:id="4650" w:name="_Toc5961"/>
      <w:bookmarkStart w:id="4651" w:name="_Toc517528736"/>
      <w:bookmarkStart w:id="4652" w:name="_Toc17302"/>
      <w:bookmarkStart w:id="4653" w:name="_Toc22150"/>
      <w:r>
        <w:rPr>
          <w:rFonts w:ascii="宋体" w:hAnsi="宋体" w:eastAsia="宋体" w:cs="华文仿宋"/>
          <w:b/>
          <w:bCs/>
          <w:color w:val="auto"/>
          <w:sz w:val="28"/>
          <w:szCs w:val="28"/>
        </w:rPr>
        <w:t xml:space="preserve">16.1 </w:t>
      </w:r>
      <w:r>
        <w:rPr>
          <w:rFonts w:ascii="宋体" w:hAnsi="宋体" w:cs="华文仿宋"/>
          <w:b/>
          <w:bCs/>
          <w:color w:val="auto"/>
          <w:sz w:val="28"/>
          <w:szCs w:val="28"/>
        </w:rPr>
        <w:t>发包人违约</w:t>
      </w:r>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654" w:name="_Toc517532196"/>
      <w:bookmarkStart w:id="4655" w:name="_Toc27938"/>
      <w:bookmarkStart w:id="4656" w:name="_Toc21103"/>
      <w:bookmarkStart w:id="4657" w:name="_Toc517530920"/>
      <w:bookmarkStart w:id="4658" w:name="_Toc18933"/>
      <w:bookmarkStart w:id="4659" w:name="_Toc25540"/>
      <w:bookmarkStart w:id="4660" w:name="_Toc10260"/>
      <w:bookmarkStart w:id="4661" w:name="_Toc16295"/>
      <w:bookmarkStart w:id="4662" w:name="_Toc3735"/>
      <w:bookmarkStart w:id="4663" w:name="_Toc19791"/>
      <w:bookmarkStart w:id="4664" w:name="_Toc19309"/>
      <w:bookmarkStart w:id="4665" w:name="_Toc8668"/>
      <w:bookmarkStart w:id="4666" w:name="_Toc27759"/>
      <w:bookmarkStart w:id="4667" w:name="_Toc16784"/>
      <w:bookmarkStart w:id="4668" w:name="_Toc8418"/>
      <w:bookmarkStart w:id="4669" w:name="_Toc5313"/>
      <w:bookmarkStart w:id="4670" w:name="_Toc5332"/>
      <w:bookmarkStart w:id="4671" w:name="_Toc6457"/>
      <w:bookmarkStart w:id="4672" w:name="_Toc22019"/>
      <w:bookmarkStart w:id="4673" w:name="_Toc12898"/>
      <w:r>
        <w:rPr>
          <w:rFonts w:ascii="宋体" w:hAnsi="宋体" w:eastAsia="宋体" w:cs="华文仿宋"/>
          <w:b/>
          <w:bCs/>
          <w:color w:val="auto"/>
          <w:sz w:val="24"/>
          <w:szCs w:val="24"/>
        </w:rPr>
        <w:t>16.1.1</w:t>
      </w:r>
      <w:r>
        <w:rPr>
          <w:rFonts w:ascii="宋体" w:hAnsi="宋体" w:cs="华文仿宋"/>
          <w:b/>
          <w:bCs/>
          <w:color w:val="auto"/>
          <w:sz w:val="24"/>
          <w:szCs w:val="24"/>
        </w:rPr>
        <w:t>发包人的违约</w:t>
      </w:r>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如果发包人发生下列情况，则承包人有权终止对本合同项下的承包，并通知发包人，抄送监理人，该终止在发出通知</w:t>
      </w:r>
      <w:r>
        <w:rPr>
          <w:rFonts w:ascii="宋体" w:hAnsi="宋体" w:eastAsia="宋体" w:cs="华文仿宋"/>
          <w:color w:val="auto"/>
          <w:szCs w:val="21"/>
          <w:u w:val="single"/>
        </w:rPr>
        <w:t>14</w:t>
      </w:r>
      <w:r>
        <w:rPr>
          <w:rFonts w:ascii="宋体" w:hAnsi="宋体" w:cs="华文仿宋"/>
          <w:color w:val="auto"/>
          <w:szCs w:val="21"/>
        </w:rPr>
        <w:t>天后生效：</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在根据第</w:t>
      </w:r>
      <w:r>
        <w:rPr>
          <w:rFonts w:ascii="宋体" w:hAnsi="宋体" w:eastAsia="宋体" w:cs="华文仿宋"/>
          <w:color w:val="auto"/>
          <w:szCs w:val="21"/>
        </w:rPr>
        <w:t>12.3.8</w:t>
      </w:r>
      <w:r>
        <w:rPr>
          <w:rFonts w:ascii="宋体" w:hAnsi="宋体" w:cs="华文仿宋"/>
          <w:color w:val="auto"/>
          <w:szCs w:val="21"/>
        </w:rPr>
        <w:t>条规定的支付期到期后的</w:t>
      </w:r>
      <w:r>
        <w:rPr>
          <w:rFonts w:ascii="宋体" w:hAnsi="宋体" w:eastAsia="宋体" w:cs="华文仿宋"/>
          <w:color w:val="auto"/>
          <w:szCs w:val="21"/>
          <w:u w:val="single"/>
        </w:rPr>
        <w:t>42</w:t>
      </w:r>
      <w:r>
        <w:rPr>
          <w:rFonts w:ascii="宋体" w:hAnsi="宋体" w:cs="华文仿宋"/>
          <w:color w:val="auto"/>
          <w:szCs w:val="21"/>
        </w:rPr>
        <w:t>天之内，未能通知财政部门向承包人支付根据监理人签发的任何支付证书项下的应付款额（扣除根据合同规定有权扣除的款额后），也未向承包人说明理由；</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干涉、阻挠或拒绝对任何上述证书颁发的所需批准。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674" w:name="_Toc5301"/>
      <w:bookmarkStart w:id="4675" w:name="_Toc13411"/>
      <w:bookmarkStart w:id="4676" w:name="_Toc517532197"/>
      <w:bookmarkStart w:id="4677" w:name="_Toc5789"/>
      <w:bookmarkStart w:id="4678" w:name="_Toc15853"/>
      <w:bookmarkStart w:id="4679" w:name="_Toc517530921"/>
      <w:bookmarkStart w:id="4680" w:name="_Toc5829"/>
      <w:bookmarkStart w:id="4681" w:name="_Toc16894"/>
      <w:bookmarkStart w:id="4682" w:name="_Toc8091"/>
      <w:bookmarkStart w:id="4683" w:name="_Toc11622"/>
      <w:bookmarkStart w:id="4684" w:name="_Toc27142"/>
      <w:bookmarkStart w:id="4685" w:name="_Toc2247"/>
      <w:bookmarkStart w:id="4686" w:name="_Toc5694"/>
      <w:bookmarkStart w:id="4687" w:name="_Toc10829"/>
      <w:bookmarkStart w:id="4688" w:name="_Toc7648"/>
      <w:bookmarkStart w:id="4689" w:name="_Toc14035"/>
      <w:bookmarkStart w:id="4690" w:name="_Toc588"/>
      <w:bookmarkStart w:id="4691" w:name="_Toc27445"/>
      <w:bookmarkStart w:id="4692" w:name="_Toc18715"/>
      <w:bookmarkStart w:id="4693" w:name="_Toc13797"/>
      <w:r>
        <w:rPr>
          <w:rFonts w:ascii="宋体" w:hAnsi="宋体" w:eastAsia="宋体" w:cs="华文仿宋"/>
          <w:b/>
          <w:bCs/>
          <w:color w:val="auto"/>
          <w:sz w:val="24"/>
          <w:szCs w:val="24"/>
        </w:rPr>
        <w:t>16.1.2</w:t>
      </w:r>
      <w:r>
        <w:rPr>
          <w:rFonts w:ascii="宋体" w:hAnsi="宋体" w:cs="华文仿宋"/>
          <w:b/>
          <w:bCs/>
          <w:color w:val="auto"/>
          <w:sz w:val="24"/>
          <w:szCs w:val="24"/>
        </w:rPr>
        <w:t>承包人装备的撤离</w:t>
      </w:r>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在第</w:t>
      </w:r>
      <w:r>
        <w:rPr>
          <w:rFonts w:ascii="宋体" w:hAnsi="宋体" w:eastAsia="宋体" w:cs="华文仿宋"/>
          <w:color w:val="auto"/>
          <w:szCs w:val="21"/>
        </w:rPr>
        <w:t>16.1.1</w:t>
      </w:r>
      <w:r>
        <w:rPr>
          <w:rFonts w:ascii="宋体" w:hAnsi="宋体" w:cs="华文仿宋"/>
          <w:color w:val="auto"/>
          <w:szCs w:val="21"/>
        </w:rPr>
        <w:t>条规定的通知满</w:t>
      </w:r>
      <w:r>
        <w:rPr>
          <w:rFonts w:ascii="宋体" w:hAnsi="宋体" w:eastAsia="宋体" w:cs="华文仿宋"/>
          <w:color w:val="auto"/>
          <w:szCs w:val="21"/>
          <w:u w:val="single"/>
        </w:rPr>
        <w:t>14</w:t>
      </w:r>
      <w:r>
        <w:rPr>
          <w:rFonts w:ascii="宋体" w:hAnsi="宋体" w:cs="华文仿宋"/>
          <w:color w:val="auto"/>
          <w:szCs w:val="21"/>
        </w:rPr>
        <w:t>天之后，承包人将不受第</w:t>
      </w:r>
      <w:r>
        <w:rPr>
          <w:rFonts w:ascii="宋体" w:hAnsi="宋体" w:eastAsia="宋体" w:cs="华文仿宋"/>
          <w:color w:val="auto"/>
          <w:szCs w:val="21"/>
        </w:rPr>
        <w:t>8.1.1</w:t>
      </w:r>
      <w:r>
        <w:rPr>
          <w:rFonts w:ascii="宋体" w:hAnsi="宋体" w:cs="华文仿宋"/>
          <w:color w:val="auto"/>
          <w:szCs w:val="21"/>
        </w:rPr>
        <w:t>条规定的约束，以各种合理的运输手段从现场撤离所有其带至现场的承包人装备。</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694" w:name="_Toc517532198"/>
      <w:bookmarkStart w:id="4695" w:name="_Toc31800"/>
      <w:bookmarkStart w:id="4696" w:name="_Toc30194"/>
      <w:bookmarkStart w:id="4697" w:name="_Toc2695"/>
      <w:bookmarkStart w:id="4698" w:name="_Toc517530922"/>
      <w:bookmarkStart w:id="4699" w:name="_Toc4999"/>
      <w:bookmarkStart w:id="4700" w:name="_Toc31464"/>
      <w:bookmarkStart w:id="4701" w:name="_Toc12643"/>
      <w:bookmarkStart w:id="4702" w:name="_Toc8546"/>
      <w:bookmarkStart w:id="4703" w:name="_Toc12238"/>
      <w:bookmarkStart w:id="4704" w:name="_Toc164"/>
      <w:bookmarkStart w:id="4705" w:name="_Toc17661"/>
      <w:bookmarkStart w:id="4706" w:name="_Toc25887"/>
      <w:bookmarkStart w:id="4707" w:name="_Toc13395"/>
      <w:bookmarkStart w:id="4708" w:name="_Toc9017"/>
      <w:bookmarkStart w:id="4709" w:name="_Toc5311"/>
      <w:bookmarkStart w:id="4710" w:name="_Toc419"/>
      <w:bookmarkStart w:id="4711" w:name="_Toc32110"/>
      <w:bookmarkStart w:id="4712" w:name="_Toc31833"/>
      <w:bookmarkStart w:id="4713" w:name="_Toc12281"/>
      <w:r>
        <w:rPr>
          <w:rFonts w:ascii="宋体" w:hAnsi="宋体" w:eastAsia="宋体" w:cs="华文仿宋"/>
          <w:b/>
          <w:bCs/>
          <w:color w:val="auto"/>
          <w:sz w:val="24"/>
          <w:szCs w:val="24"/>
        </w:rPr>
        <w:t>16.1.3</w:t>
      </w:r>
      <w:r>
        <w:rPr>
          <w:rFonts w:ascii="宋体" w:hAnsi="宋体" w:cs="华文仿宋"/>
          <w:b/>
          <w:bCs/>
          <w:color w:val="auto"/>
          <w:sz w:val="24"/>
          <w:szCs w:val="24"/>
        </w:rPr>
        <w:t>合同终止时的支付</w:t>
      </w:r>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如果发生上述合同终止，发包人对承包人承担的支付义务，与根据第</w:t>
      </w:r>
      <w:r>
        <w:rPr>
          <w:rFonts w:ascii="宋体" w:hAnsi="宋体" w:eastAsia="宋体" w:cs="华文仿宋"/>
          <w:color w:val="auto"/>
          <w:szCs w:val="21"/>
        </w:rPr>
        <w:t>17</w:t>
      </w:r>
      <w:r>
        <w:rPr>
          <w:rFonts w:ascii="宋体" w:hAnsi="宋体" w:cs="华文仿宋"/>
          <w:color w:val="auto"/>
          <w:szCs w:val="21"/>
        </w:rPr>
        <w:t>条的规定终止合同时所应承担的支付义务相同。但除在第</w:t>
      </w:r>
      <w:r>
        <w:rPr>
          <w:rFonts w:ascii="宋体" w:hAnsi="宋体" w:eastAsia="宋体" w:cs="华文仿宋"/>
          <w:color w:val="auto"/>
          <w:szCs w:val="21"/>
        </w:rPr>
        <w:t>17.7</w:t>
      </w:r>
      <w:r>
        <w:rPr>
          <w:rFonts w:ascii="宋体" w:hAnsi="宋体" w:cs="华文仿宋"/>
          <w:color w:val="auto"/>
          <w:szCs w:val="21"/>
        </w:rPr>
        <w:t>条规定的各项支付之外，发包人还应承担由于该项合同终止而引起的承包人的损失。根据本款规定应支付的款额应由监理人与承包人和发包人协商的确定，并通知承包人，抄送发包人。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714" w:name="_Toc13488"/>
      <w:bookmarkStart w:id="4715" w:name="_Toc7335"/>
      <w:bookmarkStart w:id="4716" w:name="_Toc25146"/>
      <w:bookmarkStart w:id="4717" w:name="_Toc21325"/>
      <w:bookmarkStart w:id="4718" w:name="_Toc19466"/>
      <w:bookmarkStart w:id="4719" w:name="_Toc25316"/>
      <w:bookmarkStart w:id="4720" w:name="_Toc517532199"/>
      <w:bookmarkStart w:id="4721" w:name="_Toc367"/>
      <w:bookmarkStart w:id="4722" w:name="_Toc2208"/>
      <w:bookmarkStart w:id="4723" w:name="_Toc5560"/>
      <w:bookmarkStart w:id="4724" w:name="_Toc2805"/>
      <w:bookmarkStart w:id="4725" w:name="_Toc24212"/>
      <w:bookmarkStart w:id="4726" w:name="_Toc6744"/>
      <w:bookmarkStart w:id="4727" w:name="_Toc5602"/>
      <w:bookmarkStart w:id="4728" w:name="_Toc517530923"/>
      <w:bookmarkStart w:id="4729" w:name="_Toc16890"/>
      <w:bookmarkStart w:id="4730" w:name="_Toc5374"/>
      <w:bookmarkStart w:id="4731" w:name="_Toc30905"/>
      <w:bookmarkStart w:id="4732" w:name="_Toc23614"/>
      <w:bookmarkStart w:id="4733" w:name="_Toc18016"/>
      <w:r>
        <w:rPr>
          <w:rFonts w:ascii="宋体" w:hAnsi="宋体" w:eastAsia="宋体" w:cs="华文仿宋"/>
          <w:b/>
          <w:bCs/>
          <w:color w:val="auto"/>
          <w:sz w:val="24"/>
          <w:szCs w:val="24"/>
        </w:rPr>
        <w:t>16.1.4</w:t>
      </w:r>
      <w:r>
        <w:rPr>
          <w:rFonts w:ascii="宋体" w:hAnsi="宋体" w:cs="华文仿宋"/>
          <w:b/>
          <w:bCs/>
          <w:color w:val="auto"/>
          <w:sz w:val="24"/>
          <w:szCs w:val="24"/>
        </w:rPr>
        <w:t>承包人暂停工程的权利</w:t>
      </w:r>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当发包人发生</w:t>
      </w:r>
      <w:r>
        <w:rPr>
          <w:rFonts w:ascii="宋体" w:hAnsi="宋体" w:eastAsia="宋体" w:cs="华文仿宋"/>
          <w:color w:val="auto"/>
          <w:szCs w:val="21"/>
        </w:rPr>
        <w:t>16.1.1</w:t>
      </w:r>
      <w:r>
        <w:rPr>
          <w:rFonts w:ascii="宋体" w:hAnsi="宋体" w:cs="华文仿宋"/>
          <w:color w:val="auto"/>
          <w:szCs w:val="21"/>
        </w:rPr>
        <w:t>条</w:t>
      </w:r>
      <w:r>
        <w:rPr>
          <w:rFonts w:ascii="宋体" w:hAnsi="宋体" w:eastAsia="宋体" w:cs="华文仿宋"/>
          <w:color w:val="auto"/>
          <w:szCs w:val="21"/>
        </w:rPr>
        <w:t>(a)</w:t>
      </w:r>
      <w:r>
        <w:rPr>
          <w:rFonts w:ascii="宋体" w:hAnsi="宋体" w:cs="华文仿宋"/>
          <w:color w:val="auto"/>
          <w:szCs w:val="21"/>
        </w:rPr>
        <w:t>所述违约事件后，在不损害承包人根据第</w:t>
      </w:r>
      <w:r>
        <w:rPr>
          <w:rFonts w:ascii="宋体" w:hAnsi="宋体" w:eastAsia="宋体" w:cs="华文仿宋"/>
          <w:color w:val="auto"/>
          <w:szCs w:val="21"/>
        </w:rPr>
        <w:t>16.1.1</w:t>
      </w:r>
      <w:r>
        <w:rPr>
          <w:rFonts w:ascii="宋体" w:hAnsi="宋体" w:cs="华文仿宋"/>
          <w:color w:val="auto"/>
          <w:szCs w:val="21"/>
        </w:rPr>
        <w:t>条规定有权终止对本合同项下的承包情况下，承包人可提前</w:t>
      </w:r>
      <w:r>
        <w:rPr>
          <w:rFonts w:ascii="宋体" w:hAnsi="宋体" w:eastAsia="宋体" w:cs="华文仿宋"/>
          <w:color w:val="auto"/>
          <w:szCs w:val="21"/>
        </w:rPr>
        <w:t>28</w:t>
      </w:r>
      <w:r>
        <w:rPr>
          <w:rFonts w:ascii="宋体" w:hAnsi="宋体" w:cs="华文仿宋"/>
          <w:color w:val="auto"/>
          <w:szCs w:val="21"/>
        </w:rPr>
        <w:t>天向发包人出通知并抄送监理人，表明承包人也可能暂停工程，或者降低工程进度率。如果承包人根据本款的规定在向发包人发出通知</w:t>
      </w:r>
      <w:r>
        <w:rPr>
          <w:rFonts w:ascii="宋体" w:hAnsi="宋体" w:eastAsia="宋体" w:cs="华文仿宋"/>
          <w:color w:val="auto"/>
          <w:szCs w:val="21"/>
        </w:rPr>
        <w:t>28</w:t>
      </w:r>
      <w:r>
        <w:rPr>
          <w:rFonts w:ascii="宋体" w:hAnsi="宋体" w:cs="华文仿宋"/>
          <w:color w:val="auto"/>
          <w:szCs w:val="21"/>
        </w:rPr>
        <w:t>天后暂停施工，或者降低了工程进度率，因此而受到延误或发生费用，监理人在与承包人和发包人协商后，承包人有权获得：</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根据第</w:t>
      </w:r>
      <w:r>
        <w:rPr>
          <w:rFonts w:ascii="宋体" w:hAnsi="宋体" w:eastAsia="宋体" w:cs="华文仿宋"/>
          <w:color w:val="auto"/>
          <w:szCs w:val="21"/>
        </w:rPr>
        <w:t>7.6</w:t>
      </w:r>
      <w:r>
        <w:rPr>
          <w:rFonts w:ascii="宋体" w:hAnsi="宋体" w:cs="华文仿宋"/>
          <w:color w:val="auto"/>
          <w:szCs w:val="21"/>
        </w:rPr>
        <w:t>条的规定承包人应得的延长工期；</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应该加到合同价格上的上述费用款额。</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并将此决定通知承包人，抄送发包人。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734" w:name="_Toc517532200"/>
      <w:bookmarkStart w:id="4735" w:name="_Toc27863"/>
      <w:bookmarkStart w:id="4736" w:name="_Toc21791"/>
      <w:bookmarkStart w:id="4737" w:name="_Toc26978"/>
      <w:bookmarkStart w:id="4738" w:name="_Toc7577"/>
      <w:bookmarkStart w:id="4739" w:name="_Toc9903"/>
      <w:bookmarkStart w:id="4740" w:name="_Toc12482"/>
      <w:bookmarkStart w:id="4741" w:name="_Toc22025"/>
      <w:bookmarkStart w:id="4742" w:name="_Toc24330"/>
      <w:bookmarkStart w:id="4743" w:name="_Toc15481"/>
      <w:bookmarkStart w:id="4744" w:name="_Toc19886"/>
      <w:bookmarkStart w:id="4745" w:name="_Toc21245"/>
      <w:bookmarkStart w:id="4746" w:name="_Toc4126"/>
      <w:bookmarkStart w:id="4747" w:name="_Toc517530924"/>
      <w:bookmarkStart w:id="4748" w:name="_Toc12803"/>
      <w:bookmarkStart w:id="4749" w:name="_Toc16022"/>
      <w:bookmarkStart w:id="4750" w:name="_Toc20041"/>
      <w:bookmarkStart w:id="4751" w:name="_Toc26438"/>
      <w:bookmarkStart w:id="4752" w:name="_Toc19230"/>
      <w:bookmarkStart w:id="4753" w:name="_Toc19070"/>
      <w:r>
        <w:rPr>
          <w:rFonts w:ascii="宋体" w:hAnsi="宋体" w:eastAsia="宋体" w:cs="华文仿宋"/>
          <w:b/>
          <w:bCs/>
          <w:color w:val="auto"/>
          <w:sz w:val="24"/>
          <w:szCs w:val="24"/>
        </w:rPr>
        <w:t>16.1.5</w:t>
      </w:r>
      <w:r>
        <w:rPr>
          <w:rFonts w:ascii="宋体" w:hAnsi="宋体" w:cs="华文仿宋"/>
          <w:b/>
          <w:bCs/>
          <w:color w:val="auto"/>
          <w:sz w:val="24"/>
          <w:szCs w:val="24"/>
        </w:rPr>
        <w:t>工程的复工</w:t>
      </w:r>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当承包人按第</w:t>
      </w:r>
      <w:r>
        <w:rPr>
          <w:rFonts w:ascii="宋体" w:hAnsi="宋体" w:eastAsia="宋体" w:cs="华文仿宋"/>
          <w:color w:val="auto"/>
          <w:szCs w:val="21"/>
        </w:rPr>
        <w:t>16.1.4</w:t>
      </w:r>
      <w:r>
        <w:rPr>
          <w:rFonts w:ascii="宋体" w:hAnsi="宋体" w:cs="华文仿宋"/>
          <w:color w:val="auto"/>
          <w:szCs w:val="21"/>
        </w:rPr>
        <w:t>条规定事先发过通知后，已暂停了工程或降低了工程进度率，而发包人后来又支付了应付款额，在这种情况下，如果终止合同的通知未曾发出，则根据</w:t>
      </w:r>
      <w:r>
        <w:rPr>
          <w:rFonts w:ascii="宋体" w:hAnsi="宋体" w:eastAsia="宋体" w:cs="华文仿宋"/>
          <w:color w:val="auto"/>
          <w:szCs w:val="21"/>
        </w:rPr>
        <w:t>16.1.1</w:t>
      </w:r>
      <w:r>
        <w:rPr>
          <w:rFonts w:ascii="宋体" w:hAnsi="宋体" w:cs="华文仿宋"/>
          <w:color w:val="auto"/>
          <w:szCs w:val="21"/>
        </w:rPr>
        <w:t>条规定的承包人权利应予终止，而承包人应该尽可能快地恢复正常工作。</w:t>
      </w:r>
      <w:bookmarkStart w:id="4754" w:name="_Toc337558821"/>
      <w:bookmarkEnd w:id="4754"/>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755" w:name="_Toc29792"/>
      <w:bookmarkStart w:id="4756" w:name="_Toc2974"/>
      <w:bookmarkStart w:id="4757" w:name="_Toc14617"/>
      <w:bookmarkStart w:id="4758" w:name="_Toc31577"/>
      <w:bookmarkStart w:id="4759" w:name="_Toc12771"/>
      <w:bookmarkStart w:id="4760" w:name="_Toc465237229"/>
      <w:bookmarkStart w:id="4761" w:name="_Toc13531"/>
      <w:bookmarkStart w:id="4762" w:name="_Toc31830"/>
      <w:bookmarkStart w:id="4763" w:name="_Toc465237132"/>
      <w:bookmarkStart w:id="4764" w:name="_Toc517528737"/>
      <w:bookmarkStart w:id="4765" w:name="_Toc517530925"/>
      <w:bookmarkStart w:id="4766" w:name="_Toc23742"/>
      <w:bookmarkStart w:id="4767" w:name="_Toc28570"/>
      <w:bookmarkStart w:id="4768" w:name="_Toc19600"/>
      <w:bookmarkStart w:id="4769" w:name="_Toc7732"/>
      <w:bookmarkStart w:id="4770" w:name="_Toc22143"/>
      <w:bookmarkStart w:id="4771" w:name="_Toc12699"/>
      <w:bookmarkStart w:id="4772" w:name="_Toc26888"/>
      <w:bookmarkStart w:id="4773" w:name="_Toc7158"/>
      <w:bookmarkStart w:id="4774" w:name="_Toc20536"/>
      <w:bookmarkStart w:id="4775" w:name="_Toc517532201"/>
      <w:bookmarkStart w:id="4776" w:name="_Toc25930"/>
      <w:bookmarkStart w:id="4777" w:name="_Toc16833"/>
      <w:r>
        <w:rPr>
          <w:rFonts w:ascii="宋体" w:hAnsi="宋体" w:eastAsia="宋体" w:cs="华文仿宋"/>
          <w:b/>
          <w:bCs/>
          <w:color w:val="auto"/>
          <w:sz w:val="28"/>
          <w:szCs w:val="28"/>
        </w:rPr>
        <w:t xml:space="preserve">16.2 </w:t>
      </w:r>
      <w:r>
        <w:rPr>
          <w:rFonts w:ascii="宋体" w:hAnsi="宋体" w:cs="华文仿宋"/>
          <w:b/>
          <w:bCs/>
          <w:color w:val="auto"/>
          <w:sz w:val="28"/>
          <w:szCs w:val="28"/>
        </w:rPr>
        <w:t>承包人违约</w:t>
      </w:r>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778" w:name="_Toc517530926"/>
      <w:bookmarkStart w:id="4779" w:name="_Toc10081"/>
      <w:bookmarkStart w:id="4780" w:name="_Toc13145"/>
      <w:bookmarkStart w:id="4781" w:name="_Toc11265"/>
      <w:bookmarkStart w:id="4782" w:name="_Toc18160"/>
      <w:bookmarkStart w:id="4783" w:name="_Toc24421"/>
      <w:bookmarkStart w:id="4784" w:name="_Toc25785"/>
      <w:bookmarkStart w:id="4785" w:name="_Toc27679"/>
      <w:bookmarkStart w:id="4786" w:name="_Toc18786"/>
      <w:bookmarkStart w:id="4787" w:name="_Toc22067"/>
      <w:bookmarkStart w:id="4788" w:name="_Toc28714"/>
      <w:bookmarkStart w:id="4789" w:name="_Toc7780"/>
      <w:bookmarkStart w:id="4790" w:name="_Toc14825"/>
      <w:bookmarkStart w:id="4791" w:name="_Toc10436"/>
      <w:bookmarkStart w:id="4792" w:name="_Toc18032"/>
      <w:bookmarkStart w:id="4793" w:name="_Toc14590"/>
      <w:bookmarkStart w:id="4794" w:name="_Toc517532202"/>
      <w:bookmarkStart w:id="4795" w:name="_Toc16803"/>
      <w:bookmarkStart w:id="4796" w:name="_Toc17284"/>
      <w:bookmarkStart w:id="4797" w:name="_Toc11822"/>
      <w:r>
        <w:rPr>
          <w:rFonts w:ascii="宋体" w:hAnsi="宋体" w:eastAsia="宋体" w:cs="华文仿宋"/>
          <w:b/>
          <w:bCs/>
          <w:color w:val="auto"/>
          <w:sz w:val="24"/>
          <w:szCs w:val="24"/>
        </w:rPr>
        <w:t>16.2.1</w:t>
      </w:r>
      <w:r>
        <w:rPr>
          <w:rFonts w:ascii="宋体" w:hAnsi="宋体" w:cs="华文仿宋"/>
          <w:b/>
          <w:bCs/>
          <w:color w:val="auto"/>
          <w:sz w:val="24"/>
          <w:szCs w:val="24"/>
        </w:rPr>
        <w:t>承包人的违约</w:t>
      </w:r>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如果从法律上认为承包人已陷入自动申请或强制破产、清算或解散（为合并或改组而进行的自愿清算除外）或无力偿还债务，或承包人已经违反第</w:t>
      </w:r>
      <w:r>
        <w:rPr>
          <w:rFonts w:ascii="宋体" w:hAnsi="宋体" w:eastAsia="宋体" w:cs="华文仿宋"/>
          <w:color w:val="auto"/>
          <w:szCs w:val="21"/>
        </w:rPr>
        <w:t>3.5.1</w:t>
      </w:r>
      <w:r>
        <w:rPr>
          <w:rFonts w:ascii="宋体" w:hAnsi="宋体" w:cs="华文仿宋"/>
          <w:color w:val="auto"/>
          <w:szCs w:val="21"/>
        </w:rPr>
        <w:t>条的规定，或监理人向发包人证明（抄送承包人）认为承包人有下述情况：</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已放弃合同；</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无正当理由而</w:t>
      </w:r>
    </w:p>
    <w:p>
      <w:pPr>
        <w:spacing w:line="360" w:lineRule="auto"/>
        <w:ind w:firstLine="840"/>
        <w:jc w:val="left"/>
        <w:rPr>
          <w:rFonts w:ascii="宋体" w:hAnsi="宋体" w:eastAsia="宋体" w:cs="华文仿宋"/>
          <w:color w:val="auto"/>
          <w:szCs w:val="21"/>
        </w:rPr>
      </w:pPr>
      <w:r>
        <w:rPr>
          <w:rFonts w:ascii="宋体" w:hAnsi="宋体" w:cs="华文仿宋"/>
          <w:color w:val="auto"/>
          <w:szCs w:val="21"/>
        </w:rPr>
        <w:t>①未能根据第</w:t>
      </w:r>
      <w:r>
        <w:rPr>
          <w:rFonts w:ascii="宋体" w:hAnsi="宋体" w:eastAsia="宋体" w:cs="华文仿宋"/>
          <w:color w:val="auto"/>
          <w:szCs w:val="21"/>
        </w:rPr>
        <w:t>7.3</w:t>
      </w:r>
      <w:r>
        <w:rPr>
          <w:rFonts w:ascii="宋体" w:hAnsi="宋体" w:cs="华文仿宋"/>
          <w:color w:val="auto"/>
          <w:szCs w:val="21"/>
        </w:rPr>
        <w:t>条规定开工；</w:t>
      </w:r>
    </w:p>
    <w:p>
      <w:pPr>
        <w:spacing w:line="360" w:lineRule="auto"/>
        <w:ind w:firstLine="840"/>
        <w:jc w:val="left"/>
        <w:rPr>
          <w:rFonts w:ascii="宋体" w:hAnsi="宋体" w:eastAsia="宋体" w:cs="华文仿宋"/>
          <w:color w:val="auto"/>
          <w:szCs w:val="21"/>
        </w:rPr>
      </w:pPr>
      <w:r>
        <w:rPr>
          <w:rFonts w:ascii="宋体" w:hAnsi="宋体" w:cs="华文仿宋"/>
          <w:color w:val="auto"/>
          <w:szCs w:val="21"/>
        </w:rPr>
        <w:t>②在接到第</w:t>
      </w:r>
      <w:r>
        <w:rPr>
          <w:rFonts w:ascii="宋体" w:hAnsi="宋体" w:eastAsia="宋体" w:cs="华文仿宋"/>
          <w:color w:val="auto"/>
          <w:szCs w:val="21"/>
        </w:rPr>
        <w:t>7.6.4</w:t>
      </w:r>
      <w:r>
        <w:rPr>
          <w:rFonts w:ascii="宋体" w:hAnsi="宋体" w:cs="华文仿宋"/>
          <w:color w:val="auto"/>
          <w:szCs w:val="21"/>
        </w:rPr>
        <w:t>、</w:t>
      </w:r>
      <w:r>
        <w:rPr>
          <w:rFonts w:ascii="宋体" w:hAnsi="宋体" w:eastAsia="宋体" w:cs="华文仿宋"/>
          <w:color w:val="auto"/>
          <w:szCs w:val="21"/>
        </w:rPr>
        <w:t>7.6.5</w:t>
      </w:r>
      <w:r>
        <w:rPr>
          <w:rFonts w:ascii="宋体" w:hAnsi="宋体" w:cs="华文仿宋"/>
          <w:color w:val="auto"/>
          <w:szCs w:val="21"/>
        </w:rPr>
        <w:t>条规定的通知后的</w:t>
      </w:r>
      <w:r>
        <w:rPr>
          <w:rFonts w:ascii="宋体" w:hAnsi="宋体" w:eastAsia="宋体" w:cs="华文仿宋"/>
          <w:color w:val="auto"/>
          <w:szCs w:val="21"/>
        </w:rPr>
        <w:t>28</w:t>
      </w:r>
      <w:r>
        <w:rPr>
          <w:rFonts w:ascii="宋体" w:hAnsi="宋体" w:cs="华文仿宋"/>
          <w:color w:val="auto"/>
          <w:szCs w:val="21"/>
        </w:rPr>
        <w:t>天内未继续进行本工程或其任一部分的施工；</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在接到根据第</w:t>
      </w:r>
      <w:r>
        <w:rPr>
          <w:rFonts w:ascii="宋体" w:hAnsi="宋体" w:eastAsia="宋体" w:cs="华文仿宋"/>
          <w:color w:val="auto"/>
          <w:szCs w:val="21"/>
        </w:rPr>
        <w:t>9.2.3</w:t>
      </w:r>
      <w:r>
        <w:rPr>
          <w:rFonts w:ascii="宋体" w:hAnsi="宋体" w:cs="华文仿宋"/>
          <w:color w:val="auto"/>
          <w:szCs w:val="21"/>
        </w:rPr>
        <w:t>条规定发出的指令后的</w:t>
      </w:r>
      <w:r>
        <w:rPr>
          <w:rFonts w:ascii="宋体" w:hAnsi="宋体" w:eastAsia="宋体" w:cs="华文仿宋"/>
          <w:color w:val="auto"/>
          <w:szCs w:val="21"/>
        </w:rPr>
        <w:t>28</w:t>
      </w:r>
      <w:r>
        <w:rPr>
          <w:rFonts w:ascii="宋体" w:hAnsi="宋体" w:cs="华文仿宋"/>
          <w:color w:val="auto"/>
          <w:szCs w:val="21"/>
        </w:rPr>
        <w:t>天内不遵守该通知或指令；</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无视监理人事先的书面警告，忽视履行其合同规定的义务；</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已经违反第</w:t>
      </w:r>
      <w:r>
        <w:rPr>
          <w:rFonts w:ascii="宋体" w:hAnsi="宋体" w:eastAsia="宋体" w:cs="华文仿宋"/>
          <w:color w:val="auto"/>
          <w:szCs w:val="21"/>
        </w:rPr>
        <w:t>3.5</w:t>
      </w:r>
      <w:r>
        <w:rPr>
          <w:rFonts w:ascii="宋体" w:hAnsi="宋体" w:cs="华文仿宋"/>
          <w:color w:val="auto"/>
          <w:szCs w:val="21"/>
        </w:rPr>
        <w:t>条的规定。</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则发包人在向承包人发出书面通知的</w:t>
      </w:r>
      <w:r>
        <w:rPr>
          <w:rFonts w:ascii="宋体" w:hAnsi="宋体" w:eastAsia="宋体" w:cs="华文仿宋"/>
          <w:color w:val="auto"/>
          <w:szCs w:val="21"/>
          <w:u w:val="single"/>
        </w:rPr>
        <w:t>14</w:t>
      </w:r>
      <w:r>
        <w:rPr>
          <w:rFonts w:ascii="宋体" w:hAnsi="宋体" w:cs="华文仿宋"/>
          <w:color w:val="auto"/>
          <w:szCs w:val="21"/>
        </w:rPr>
        <w:t>天之后进驻现场和接管工程，终止其在本合同项下的承包，但不因此解除合同规定的承包人的任何义务和责任，或影响合同赋予发包人或监理人的各种权利或权限，发包人可自行完成该工程，或邀请其他承包人完成该工程。发包人或上述其他承包人为了完成本工程，可以使用他们认为合适数量的承包人装备、临时工程和材料。</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798" w:name="_Toc7089"/>
      <w:bookmarkStart w:id="4799" w:name="_Toc17251"/>
      <w:bookmarkStart w:id="4800" w:name="_Toc23660"/>
      <w:bookmarkStart w:id="4801" w:name="_Toc18286"/>
      <w:bookmarkStart w:id="4802" w:name="_Toc20521"/>
      <w:bookmarkStart w:id="4803" w:name="_Toc23446"/>
      <w:bookmarkStart w:id="4804" w:name="_Toc2938"/>
      <w:bookmarkStart w:id="4805" w:name="_Toc3279"/>
      <w:bookmarkStart w:id="4806" w:name="_Toc1301"/>
      <w:bookmarkStart w:id="4807" w:name="_Toc9402"/>
      <w:bookmarkStart w:id="4808" w:name="_Toc517532203"/>
      <w:bookmarkStart w:id="4809" w:name="_Toc9270"/>
      <w:bookmarkStart w:id="4810" w:name="_Toc517530927"/>
      <w:bookmarkStart w:id="4811" w:name="_Toc16914"/>
      <w:bookmarkStart w:id="4812" w:name="_Toc29712"/>
      <w:bookmarkStart w:id="4813" w:name="_Toc13530"/>
      <w:bookmarkStart w:id="4814" w:name="_Toc10581"/>
      <w:bookmarkStart w:id="4815" w:name="_Toc4446"/>
      <w:bookmarkStart w:id="4816" w:name="_Toc13009"/>
      <w:bookmarkStart w:id="4817" w:name="_Toc30099"/>
      <w:r>
        <w:rPr>
          <w:rFonts w:ascii="宋体" w:hAnsi="宋体" w:eastAsia="宋体" w:cs="华文仿宋"/>
          <w:b/>
          <w:bCs/>
          <w:color w:val="auto"/>
          <w:sz w:val="24"/>
          <w:szCs w:val="24"/>
        </w:rPr>
        <w:t>16.2.2</w:t>
      </w:r>
      <w:r>
        <w:rPr>
          <w:rFonts w:ascii="宋体" w:hAnsi="宋体" w:cs="华文仿宋"/>
          <w:b/>
          <w:bCs/>
          <w:color w:val="auto"/>
          <w:sz w:val="24"/>
          <w:szCs w:val="24"/>
        </w:rPr>
        <w:t>合同终止之日的估价</w:t>
      </w:r>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在发包人进行上述进驻和终止合同之后，监理人应尽快地通过与各方协商、调查和询问之后，确定以下事项：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在上述进驻和终止合同时，承包人根据合同实际完成的工程已经合理地得到的或理应得到的款额（如有）；</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未使用或部分使用过的任何材料、承包人装备和临时工程的价值。</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818" w:name="_Toc3613"/>
      <w:bookmarkStart w:id="4819" w:name="_Toc22062"/>
      <w:bookmarkStart w:id="4820" w:name="_Toc517530928"/>
      <w:bookmarkStart w:id="4821" w:name="_Toc3606"/>
      <w:bookmarkStart w:id="4822" w:name="_Toc10686"/>
      <w:bookmarkStart w:id="4823" w:name="_Toc517532204"/>
      <w:bookmarkStart w:id="4824" w:name="_Toc27204"/>
      <w:bookmarkStart w:id="4825" w:name="_Toc16918"/>
      <w:bookmarkStart w:id="4826" w:name="_Toc5605"/>
      <w:bookmarkStart w:id="4827" w:name="_Toc9561"/>
      <w:bookmarkStart w:id="4828" w:name="_Toc12479"/>
      <w:bookmarkStart w:id="4829" w:name="_Toc6635"/>
      <w:bookmarkStart w:id="4830" w:name="_Toc9016"/>
      <w:bookmarkStart w:id="4831" w:name="_Toc29737"/>
      <w:bookmarkStart w:id="4832" w:name="_Toc11721"/>
      <w:bookmarkStart w:id="4833" w:name="_Toc23371"/>
      <w:bookmarkStart w:id="4834" w:name="_Toc6803"/>
      <w:bookmarkStart w:id="4835" w:name="_Toc5971"/>
      <w:bookmarkStart w:id="4836" w:name="_Toc6459"/>
      <w:bookmarkStart w:id="4837" w:name="_Toc31872"/>
      <w:r>
        <w:rPr>
          <w:rFonts w:ascii="宋体" w:hAnsi="宋体" w:eastAsia="宋体" w:cs="华文仿宋"/>
          <w:b/>
          <w:bCs/>
          <w:color w:val="auto"/>
          <w:sz w:val="24"/>
          <w:szCs w:val="24"/>
        </w:rPr>
        <w:t>16.2.3</w:t>
      </w:r>
      <w:r>
        <w:rPr>
          <w:rFonts w:ascii="宋体" w:hAnsi="宋体" w:cs="华文仿宋"/>
          <w:b/>
          <w:bCs/>
          <w:color w:val="auto"/>
          <w:sz w:val="24"/>
          <w:szCs w:val="24"/>
        </w:rPr>
        <w:t>合同终止后的支付</w:t>
      </w:r>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如果发包人根据本条规定终止承包人在本合同项下的承包，则：</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发包人暂停向承包人支付任何款额（包括损害赔偿费）；</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在本工程质量保证金返还之前，由监理人查清承包人实施和完成本工程与缺陷修复应结算的费用、竣工拖期损失赔偿金（如有）以及发包人已实际支付给承包人的各项费用，并予以证实。</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监理人查清证实后，承包人仅能得到由监理人证明的原应支付的已完合格工程的款额，并扣除上述应扣款额之后的余额。如果应扣款额超过承包人应得的原应支付的已完工程的款额，则当发包人提出要求时，承包人应将此超出部分款额付给发包人，并应被视为承包人欠发包人而应予偿还的债务。</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838" w:name="_Toc32190"/>
      <w:bookmarkStart w:id="4839" w:name="_Toc15294"/>
      <w:bookmarkStart w:id="4840" w:name="_Toc12984"/>
      <w:bookmarkStart w:id="4841" w:name="_Toc20066"/>
      <w:bookmarkStart w:id="4842" w:name="_Toc13779"/>
      <w:bookmarkStart w:id="4843" w:name="_Toc517530929"/>
      <w:bookmarkStart w:id="4844" w:name="_Toc32084"/>
      <w:bookmarkStart w:id="4845" w:name="_Toc2243"/>
      <w:bookmarkStart w:id="4846" w:name="_Toc27081"/>
      <w:bookmarkStart w:id="4847" w:name="_Toc24158"/>
      <w:bookmarkStart w:id="4848" w:name="_Toc517532205"/>
      <w:bookmarkStart w:id="4849" w:name="_Toc19152"/>
      <w:bookmarkStart w:id="4850" w:name="_Toc20654"/>
      <w:bookmarkStart w:id="4851" w:name="_Toc18869"/>
      <w:bookmarkStart w:id="4852" w:name="_Toc26395"/>
      <w:bookmarkStart w:id="4853" w:name="_Toc16242"/>
      <w:bookmarkStart w:id="4854" w:name="_Toc10517"/>
      <w:bookmarkStart w:id="4855" w:name="_Toc26831"/>
      <w:bookmarkStart w:id="4856" w:name="_Toc22816"/>
      <w:bookmarkStart w:id="4857" w:name="_Toc23650"/>
      <w:r>
        <w:rPr>
          <w:rFonts w:ascii="宋体" w:hAnsi="宋体" w:eastAsia="宋体" w:cs="华文仿宋"/>
          <w:b/>
          <w:bCs/>
          <w:color w:val="auto"/>
          <w:sz w:val="24"/>
          <w:szCs w:val="24"/>
        </w:rPr>
        <w:t>16.2.4</w:t>
      </w:r>
      <w:r>
        <w:rPr>
          <w:rFonts w:ascii="宋体" w:hAnsi="宋体" w:cs="华文仿宋"/>
          <w:b/>
          <w:bCs/>
          <w:color w:val="auto"/>
          <w:sz w:val="24"/>
          <w:szCs w:val="24"/>
        </w:rPr>
        <w:t>契约利益的转让</w:t>
      </w:r>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除非被法律禁止，在第</w:t>
      </w:r>
      <w:r>
        <w:rPr>
          <w:rFonts w:ascii="宋体" w:hAnsi="宋体" w:eastAsia="宋体" w:cs="华文仿宋"/>
          <w:color w:val="auto"/>
          <w:szCs w:val="21"/>
        </w:rPr>
        <w:t>16.2.1</w:t>
      </w:r>
      <w:r>
        <w:rPr>
          <w:rFonts w:ascii="宋体" w:hAnsi="宋体" w:cs="华文仿宋"/>
          <w:color w:val="auto"/>
          <w:szCs w:val="21"/>
        </w:rPr>
        <w:t>条所指的进驻和终止合同后的</w:t>
      </w:r>
      <w:r>
        <w:rPr>
          <w:rFonts w:ascii="宋体" w:hAnsi="宋体" w:eastAsia="宋体" w:cs="华文仿宋"/>
          <w:color w:val="auto"/>
          <w:szCs w:val="21"/>
          <w:u w:val="single"/>
        </w:rPr>
        <w:t>14</w:t>
      </w:r>
      <w:r>
        <w:rPr>
          <w:rFonts w:ascii="宋体" w:hAnsi="宋体" w:cs="华文仿宋"/>
          <w:color w:val="auto"/>
          <w:szCs w:val="21"/>
        </w:rPr>
        <w:t>天内，如果监理人有指令，承包人应将为本合同工程已经签订的提供任何货物或材料或服务的契约利益，和（或）本合同中任何工程的施工协议的利益转让给发包人。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4858" w:name="_Toc13749"/>
      <w:bookmarkStart w:id="4859" w:name="_Toc23128"/>
      <w:bookmarkStart w:id="4860" w:name="_Toc1822"/>
      <w:bookmarkStart w:id="4861" w:name="_Toc24710"/>
      <w:bookmarkStart w:id="4862" w:name="_Toc10426"/>
      <w:bookmarkStart w:id="4863" w:name="_Toc24151"/>
      <w:bookmarkStart w:id="4864" w:name="_Toc517532206"/>
      <w:bookmarkStart w:id="4865" w:name="_Toc11800"/>
      <w:bookmarkStart w:id="4866" w:name="_Toc517530930"/>
      <w:bookmarkStart w:id="4867" w:name="_Toc6043"/>
      <w:bookmarkStart w:id="4868" w:name="_Toc12672"/>
      <w:bookmarkStart w:id="4869" w:name="_Toc20115"/>
      <w:bookmarkStart w:id="4870" w:name="_Toc3636"/>
      <w:bookmarkStart w:id="4871" w:name="_Toc5459"/>
      <w:bookmarkStart w:id="4872" w:name="_Toc15018"/>
      <w:bookmarkStart w:id="4873" w:name="_Toc14176"/>
      <w:bookmarkStart w:id="4874" w:name="_Toc16066"/>
      <w:bookmarkStart w:id="4875" w:name="_Toc3704"/>
      <w:bookmarkStart w:id="4876" w:name="_Toc24883"/>
      <w:bookmarkStart w:id="4877" w:name="_Toc15013"/>
      <w:r>
        <w:rPr>
          <w:rFonts w:ascii="宋体" w:hAnsi="宋体" w:eastAsia="宋体" w:cs="华文仿宋"/>
          <w:b/>
          <w:bCs/>
          <w:color w:val="auto"/>
          <w:sz w:val="24"/>
          <w:szCs w:val="24"/>
        </w:rPr>
        <w:t>16.2.5</w:t>
      </w:r>
      <w:r>
        <w:rPr>
          <w:rFonts w:ascii="宋体" w:hAnsi="宋体" w:cs="华文仿宋"/>
          <w:b/>
          <w:bCs/>
          <w:color w:val="auto"/>
          <w:sz w:val="24"/>
          <w:szCs w:val="24"/>
        </w:rPr>
        <w:t>紧急补救工作</w:t>
      </w:r>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无论在工程施工期间或是履约期间，如果由于在工程中或工程的任何部分，或与之有关方面发生事故、失误或其他事件，监理人认为进行补救或其他工作是工程安全的紧急需要，而承包人无能力或不愿意立即进行此类工作时，则发包人有权邀请其他人员实施监理人认为必须做的工作，并支付有关费用。如果监理人认为由发包人按此方式完成的上述工作和补救，是按合同规定应由承包人负责以自费进行的，则因此而引起的或伴随而发生的全部费用，应由监理人在与发包人和承包人适当协商后确定，并由发包人向承包人索回，或由发包人在应付或到期应付给承包人的款项中扣除，监理人应通知承包人，并抄送发包人。但在任何此类紧急事件发生后，监理人应在实际可行的条件下，尽快地通知承包人。</w:t>
      </w:r>
      <w:bookmarkStart w:id="4878" w:name="_Toc337558822"/>
      <w:bookmarkEnd w:id="4878"/>
      <w:bookmarkStart w:id="4879" w:name="_Toc296503131"/>
      <w:bookmarkEnd w:id="4879"/>
      <w:bookmarkStart w:id="4880" w:name="_Toc296346632"/>
      <w:bookmarkEnd w:id="4880"/>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4881" w:name="_Toc32177"/>
      <w:bookmarkStart w:id="4882" w:name="_Toc4924"/>
      <w:bookmarkStart w:id="4883" w:name="_Toc517532207"/>
      <w:bookmarkStart w:id="4884" w:name="_Toc23213"/>
      <w:bookmarkStart w:id="4885" w:name="_Toc731"/>
      <w:bookmarkStart w:id="4886" w:name="_Toc21914"/>
      <w:bookmarkStart w:id="4887" w:name="_Toc517530931"/>
      <w:bookmarkStart w:id="4888" w:name="_Toc465237230"/>
      <w:bookmarkStart w:id="4889" w:name="_Toc28246"/>
      <w:bookmarkStart w:id="4890" w:name="_Toc27842"/>
      <w:bookmarkStart w:id="4891" w:name="_Toc25677"/>
      <w:bookmarkStart w:id="4892" w:name="_Toc11315"/>
      <w:bookmarkStart w:id="4893" w:name="_Toc13766"/>
      <w:bookmarkStart w:id="4894" w:name="_Toc29009"/>
      <w:bookmarkStart w:id="4895" w:name="_Toc517528738"/>
      <w:bookmarkStart w:id="4896" w:name="_Toc517529750"/>
      <w:bookmarkStart w:id="4897" w:name="_Toc32122"/>
      <w:bookmarkStart w:id="4898" w:name="_Toc21960"/>
      <w:bookmarkStart w:id="4899" w:name="_Toc31627"/>
      <w:bookmarkStart w:id="4900" w:name="_Toc28176"/>
      <w:bookmarkStart w:id="4901" w:name="_Toc16808"/>
      <w:bookmarkStart w:id="4902" w:name="_Toc465237133"/>
      <w:bookmarkStart w:id="4903" w:name="_Toc6171"/>
      <w:bookmarkStart w:id="4904" w:name="_Toc27732"/>
      <w:r>
        <w:rPr>
          <w:rFonts w:ascii="宋体" w:hAnsi="宋体" w:eastAsia="宋体" w:cs="华文仿宋"/>
          <w:b/>
          <w:bCs/>
          <w:color w:val="auto"/>
          <w:sz w:val="30"/>
          <w:szCs w:val="30"/>
        </w:rPr>
        <w:t>17.</w:t>
      </w:r>
      <w:r>
        <w:rPr>
          <w:rFonts w:ascii="宋体" w:hAnsi="宋体" w:cs="华文仿宋"/>
          <w:b/>
          <w:bCs/>
          <w:color w:val="auto"/>
          <w:sz w:val="30"/>
          <w:szCs w:val="30"/>
        </w:rPr>
        <w:t>特殊风险</w:t>
      </w:r>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905" w:name="_Toc4186"/>
      <w:bookmarkStart w:id="4906" w:name="_Toc21106"/>
      <w:bookmarkStart w:id="4907" w:name="_Toc22490"/>
      <w:bookmarkStart w:id="4908" w:name="_Toc19392"/>
      <w:bookmarkStart w:id="4909" w:name="_Toc1324"/>
      <w:bookmarkStart w:id="4910" w:name="_Toc21314"/>
      <w:bookmarkStart w:id="4911" w:name="_Toc17765"/>
      <w:bookmarkStart w:id="4912" w:name="_Toc13933"/>
      <w:bookmarkStart w:id="4913" w:name="_Toc23869"/>
      <w:bookmarkStart w:id="4914" w:name="_Toc17531"/>
      <w:bookmarkStart w:id="4915" w:name="_Toc12678"/>
      <w:bookmarkStart w:id="4916" w:name="_Toc13865"/>
      <w:bookmarkStart w:id="4917" w:name="_Toc7339"/>
      <w:bookmarkStart w:id="4918" w:name="_Toc5130"/>
      <w:bookmarkStart w:id="4919" w:name="_Toc517530932"/>
      <w:bookmarkStart w:id="4920" w:name="_Toc20822"/>
      <w:bookmarkStart w:id="4921" w:name="_Toc6882"/>
      <w:bookmarkStart w:id="4922" w:name="_Toc28732"/>
      <w:bookmarkStart w:id="4923" w:name="_Toc517528739"/>
      <w:bookmarkStart w:id="4924" w:name="_Toc27311"/>
      <w:bookmarkStart w:id="4925" w:name="_Toc517532208"/>
      <w:r>
        <w:rPr>
          <w:rFonts w:ascii="宋体" w:hAnsi="宋体" w:eastAsia="宋体" w:cs="华文仿宋"/>
          <w:b/>
          <w:bCs/>
          <w:color w:val="auto"/>
          <w:sz w:val="28"/>
          <w:szCs w:val="28"/>
        </w:rPr>
        <w:t>17.1</w:t>
      </w:r>
      <w:r>
        <w:rPr>
          <w:rFonts w:ascii="宋体" w:hAnsi="宋体" w:cs="华文仿宋"/>
          <w:b/>
          <w:bCs/>
          <w:color w:val="auto"/>
          <w:sz w:val="28"/>
          <w:szCs w:val="28"/>
        </w:rPr>
        <w:t>特殊风险</w:t>
      </w:r>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特殊风险是指：</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第</w:t>
      </w:r>
      <w:r>
        <w:rPr>
          <w:rFonts w:ascii="宋体" w:hAnsi="宋体" w:eastAsia="宋体" w:cs="华文仿宋"/>
          <w:color w:val="auto"/>
          <w:szCs w:val="21"/>
        </w:rPr>
        <w:t>8.2.6</w:t>
      </w:r>
      <w:r>
        <w:rPr>
          <w:rFonts w:ascii="宋体" w:hAnsi="宋体" w:cs="华文仿宋"/>
          <w:color w:val="auto"/>
          <w:szCs w:val="21"/>
        </w:rPr>
        <w:t>条</w:t>
      </w:r>
      <w:r>
        <w:rPr>
          <w:rFonts w:ascii="宋体" w:hAnsi="宋体" w:eastAsia="宋体" w:cs="华文仿宋"/>
          <w:color w:val="auto"/>
          <w:szCs w:val="21"/>
        </w:rPr>
        <w:t>(a)</w:t>
      </w:r>
      <w:r>
        <w:rPr>
          <w:rFonts w:ascii="宋体" w:hAnsi="宋体" w:cs="华文仿宋"/>
          <w:color w:val="auto"/>
          <w:szCs w:val="21"/>
        </w:rPr>
        <w:t>所定义的风险；以及</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在本工程实施现场附近范围内第</w:t>
      </w:r>
      <w:r>
        <w:rPr>
          <w:rFonts w:ascii="宋体" w:hAnsi="宋体" w:eastAsia="宋体" w:cs="华文仿宋"/>
          <w:color w:val="auto"/>
          <w:szCs w:val="21"/>
        </w:rPr>
        <w:t>8.2.6</w:t>
      </w:r>
      <w:r>
        <w:rPr>
          <w:rFonts w:ascii="宋体" w:hAnsi="宋体" w:cs="华文仿宋"/>
          <w:color w:val="auto"/>
          <w:szCs w:val="21"/>
        </w:rPr>
        <w:t>条</w:t>
      </w:r>
      <w:r>
        <w:rPr>
          <w:rFonts w:ascii="宋体" w:hAnsi="宋体" w:eastAsia="宋体" w:cs="华文仿宋"/>
          <w:color w:val="auto"/>
          <w:szCs w:val="21"/>
        </w:rPr>
        <w:t>(b)</w:t>
      </w:r>
      <w:r>
        <w:rPr>
          <w:rFonts w:ascii="宋体" w:hAnsi="宋体" w:cs="华文仿宋"/>
          <w:color w:val="auto"/>
          <w:szCs w:val="21"/>
        </w:rPr>
        <w:t>、</w:t>
      </w:r>
      <w:r>
        <w:rPr>
          <w:rFonts w:ascii="宋体" w:hAnsi="宋体" w:eastAsia="宋体" w:cs="华文仿宋"/>
          <w:color w:val="auto"/>
          <w:szCs w:val="21"/>
        </w:rPr>
        <w:t>(c)</w:t>
      </w:r>
      <w:r>
        <w:rPr>
          <w:rFonts w:ascii="宋体" w:hAnsi="宋体" w:cs="华文仿宋"/>
          <w:color w:val="auto"/>
          <w:szCs w:val="21"/>
        </w:rPr>
        <w:t>、</w:t>
      </w:r>
      <w:r>
        <w:rPr>
          <w:rFonts w:ascii="宋体" w:hAnsi="宋体" w:eastAsia="宋体" w:cs="华文仿宋"/>
          <w:color w:val="auto"/>
          <w:szCs w:val="21"/>
        </w:rPr>
        <w:t>(d)</w:t>
      </w:r>
      <w:r>
        <w:rPr>
          <w:rFonts w:ascii="宋体" w:hAnsi="宋体" w:cs="华文仿宋"/>
          <w:color w:val="auto"/>
          <w:szCs w:val="21"/>
        </w:rPr>
        <w:t>和</w:t>
      </w:r>
      <w:r>
        <w:rPr>
          <w:rFonts w:ascii="宋体" w:hAnsi="宋体" w:eastAsia="宋体" w:cs="华文仿宋"/>
          <w:color w:val="auto"/>
          <w:szCs w:val="21"/>
        </w:rPr>
        <w:t>(g)</w:t>
      </w:r>
      <w:r>
        <w:rPr>
          <w:rFonts w:ascii="宋体" w:hAnsi="宋体" w:cs="华文仿宋"/>
          <w:color w:val="auto"/>
          <w:szCs w:val="21"/>
        </w:rPr>
        <w:t>所定义的风险。</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926" w:name="_Toc6096"/>
      <w:bookmarkStart w:id="4927" w:name="_Toc517530933"/>
      <w:bookmarkStart w:id="4928" w:name="_Toc6239"/>
      <w:bookmarkStart w:id="4929" w:name="_Toc25295"/>
      <w:bookmarkStart w:id="4930" w:name="_Toc11433"/>
      <w:bookmarkStart w:id="4931" w:name="_Toc517528740"/>
      <w:bookmarkStart w:id="4932" w:name="_Toc6549"/>
      <w:bookmarkStart w:id="4933" w:name="_Toc9987"/>
      <w:bookmarkStart w:id="4934" w:name="_Toc11876"/>
      <w:bookmarkStart w:id="4935" w:name="_Toc16122"/>
      <w:bookmarkStart w:id="4936" w:name="_Toc29453"/>
      <w:bookmarkStart w:id="4937" w:name="_Toc5486"/>
      <w:bookmarkStart w:id="4938" w:name="_Toc1443"/>
      <w:bookmarkStart w:id="4939" w:name="_Toc517532209"/>
      <w:bookmarkStart w:id="4940" w:name="_Toc8905"/>
      <w:bookmarkStart w:id="4941" w:name="_Toc12637"/>
      <w:bookmarkStart w:id="4942" w:name="_Toc19700"/>
      <w:bookmarkStart w:id="4943" w:name="_Toc1528"/>
      <w:bookmarkStart w:id="4944" w:name="_Toc2519"/>
      <w:bookmarkStart w:id="4945" w:name="_Toc19543"/>
      <w:bookmarkStart w:id="4946" w:name="_Toc16059"/>
      <w:r>
        <w:rPr>
          <w:rFonts w:ascii="宋体" w:hAnsi="宋体" w:eastAsia="宋体" w:cs="华文仿宋"/>
          <w:b/>
          <w:bCs/>
          <w:color w:val="auto"/>
          <w:sz w:val="28"/>
          <w:szCs w:val="28"/>
        </w:rPr>
        <w:t>17.2</w:t>
      </w:r>
      <w:r>
        <w:rPr>
          <w:rFonts w:ascii="宋体" w:hAnsi="宋体" w:cs="华文仿宋"/>
          <w:b/>
          <w:bCs/>
          <w:color w:val="auto"/>
          <w:sz w:val="28"/>
          <w:szCs w:val="28"/>
        </w:rPr>
        <w:t>承包人对特殊风险不承担责任</w:t>
      </w:r>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由于第</w:t>
      </w:r>
      <w:r>
        <w:rPr>
          <w:rFonts w:ascii="宋体" w:hAnsi="宋体" w:eastAsia="宋体" w:cs="华文仿宋"/>
          <w:color w:val="auto"/>
          <w:szCs w:val="21"/>
        </w:rPr>
        <w:t>17.1</w:t>
      </w:r>
      <w:r>
        <w:rPr>
          <w:rFonts w:ascii="宋体" w:hAnsi="宋体" w:cs="华文仿宋"/>
          <w:color w:val="auto"/>
          <w:szCs w:val="21"/>
        </w:rPr>
        <w:t>条所指的任何一种特殊风险而发生的以下方面的后果，不论赔偿与否，承包人均不应承担责任：</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本工程的破坏或损失（但在下文所指的任何特殊风险发生之前，按第</w:t>
      </w:r>
      <w:r>
        <w:rPr>
          <w:rFonts w:ascii="宋体" w:hAnsi="宋体" w:eastAsia="宋体" w:cs="华文仿宋"/>
          <w:color w:val="auto"/>
          <w:szCs w:val="21"/>
        </w:rPr>
        <w:t>9.2.3</w:t>
      </w:r>
      <w:r>
        <w:rPr>
          <w:rFonts w:ascii="宋体" w:hAnsi="宋体" w:cs="华文仿宋"/>
          <w:color w:val="auto"/>
          <w:szCs w:val="21"/>
        </w:rPr>
        <w:t>条规定而被宣告为不合格的工程除外）；</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发包人或第三者的财产的破坏或损失；</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人身伤亡。</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947" w:name="_Toc29374"/>
      <w:bookmarkStart w:id="4948" w:name="_Toc25539"/>
      <w:bookmarkStart w:id="4949" w:name="_Toc5131"/>
      <w:bookmarkStart w:id="4950" w:name="_Toc4857"/>
      <w:bookmarkStart w:id="4951" w:name="_Toc14669"/>
      <w:bookmarkStart w:id="4952" w:name="_Toc5202"/>
      <w:bookmarkStart w:id="4953" w:name="_Toc13230"/>
      <w:bookmarkStart w:id="4954" w:name="_Toc517530934"/>
      <w:bookmarkStart w:id="4955" w:name="_Toc517528741"/>
      <w:bookmarkStart w:id="4956" w:name="_Toc14389"/>
      <w:bookmarkStart w:id="4957" w:name="_Toc27358"/>
      <w:bookmarkStart w:id="4958" w:name="_Toc5804"/>
      <w:bookmarkStart w:id="4959" w:name="_Toc23192"/>
      <w:bookmarkStart w:id="4960" w:name="_Toc23182"/>
      <w:bookmarkStart w:id="4961" w:name="_Toc17005"/>
      <w:bookmarkStart w:id="4962" w:name="_Toc22571"/>
      <w:bookmarkStart w:id="4963" w:name="_Toc32235"/>
      <w:bookmarkStart w:id="4964" w:name="_Toc26541"/>
      <w:bookmarkStart w:id="4965" w:name="_Toc31264"/>
      <w:bookmarkStart w:id="4966" w:name="_Toc22911"/>
      <w:bookmarkStart w:id="4967" w:name="_Toc517532210"/>
      <w:r>
        <w:rPr>
          <w:rFonts w:ascii="宋体" w:hAnsi="宋体" w:eastAsia="宋体" w:cs="华文仿宋"/>
          <w:b/>
          <w:bCs/>
          <w:color w:val="auto"/>
          <w:sz w:val="28"/>
          <w:szCs w:val="28"/>
        </w:rPr>
        <w:t>17.3</w:t>
      </w:r>
      <w:r>
        <w:rPr>
          <w:rFonts w:ascii="宋体" w:hAnsi="宋体" w:cs="华文仿宋"/>
          <w:b/>
          <w:bCs/>
          <w:color w:val="auto"/>
          <w:sz w:val="28"/>
          <w:szCs w:val="28"/>
        </w:rPr>
        <w:t>特殊风险对工程的损害</w:t>
      </w:r>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由于上述特殊风险致使本工程和用于本工程的任何材料、设备在现场或在现场附近或在运往现场途中遭到破坏或损害时，根据合同规定承包人应有权对上述受到破坏或损害的已建的永久工程和材料或设备得到付款，而且还应有权按监理人的要求或为了完成工程所必需的下述工作得到付款，即：修复遭受上述破坏或损害的工程。</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监理人应根据第</w:t>
      </w:r>
      <w:r>
        <w:rPr>
          <w:rFonts w:ascii="宋体" w:hAnsi="宋体" w:eastAsia="宋体" w:cs="华文仿宋"/>
          <w:color w:val="auto"/>
          <w:szCs w:val="21"/>
        </w:rPr>
        <w:t>10</w:t>
      </w:r>
      <w:r>
        <w:rPr>
          <w:rFonts w:ascii="宋体" w:hAnsi="宋体" w:cs="华文仿宋"/>
          <w:color w:val="auto"/>
          <w:szCs w:val="21"/>
        </w:rPr>
        <w:t>条规定在与承包人协商并报发包人批准后，确定合同价格的增加额，并通知承包人，抄送发包人。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968" w:name="_Toc18456"/>
      <w:bookmarkStart w:id="4969" w:name="_Toc7499"/>
      <w:bookmarkStart w:id="4970" w:name="_Toc16655"/>
      <w:bookmarkStart w:id="4971" w:name="_Toc11190"/>
      <w:bookmarkStart w:id="4972" w:name="_Toc22790"/>
      <w:bookmarkStart w:id="4973" w:name="_Toc3944"/>
      <w:bookmarkStart w:id="4974" w:name="_Toc7822"/>
      <w:bookmarkStart w:id="4975" w:name="_Toc16415"/>
      <w:bookmarkStart w:id="4976" w:name="_Toc30453"/>
      <w:bookmarkStart w:id="4977" w:name="_Toc14510"/>
      <w:bookmarkStart w:id="4978" w:name="_Toc30332"/>
      <w:bookmarkStart w:id="4979" w:name="_Toc517528742"/>
      <w:bookmarkStart w:id="4980" w:name="_Toc517532211"/>
      <w:bookmarkStart w:id="4981" w:name="_Toc22851"/>
      <w:bookmarkStart w:id="4982" w:name="_Toc5038"/>
      <w:bookmarkStart w:id="4983" w:name="_Toc31420"/>
      <w:bookmarkStart w:id="4984" w:name="_Toc15193"/>
      <w:bookmarkStart w:id="4985" w:name="_Toc13404"/>
      <w:bookmarkStart w:id="4986" w:name="_Toc31351"/>
      <w:bookmarkStart w:id="4987" w:name="_Toc517530935"/>
      <w:bookmarkStart w:id="4988" w:name="_Toc9444"/>
      <w:r>
        <w:rPr>
          <w:rFonts w:ascii="宋体" w:hAnsi="宋体" w:eastAsia="宋体" w:cs="华文仿宋"/>
          <w:b/>
          <w:bCs/>
          <w:color w:val="auto"/>
          <w:sz w:val="28"/>
          <w:szCs w:val="28"/>
        </w:rPr>
        <w:t>17.4</w:t>
      </w:r>
      <w:r>
        <w:rPr>
          <w:rFonts w:ascii="宋体" w:hAnsi="宋体" w:cs="华文仿宋"/>
          <w:b/>
          <w:bCs/>
          <w:color w:val="auto"/>
          <w:sz w:val="28"/>
          <w:szCs w:val="28"/>
        </w:rPr>
        <w:t>由特殊风险引起的费用增加</w:t>
      </w:r>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承包人除了根据合同的任何其他条款规定应该得到的付款之外，发包人应偿还承包人在施工方面产生的任何费用（但在任何特殊风险发生之前根据第</w:t>
      </w:r>
      <w:r>
        <w:rPr>
          <w:rFonts w:ascii="宋体" w:hAnsi="宋体" w:eastAsia="宋体" w:cs="华文仿宋"/>
          <w:color w:val="auto"/>
          <w:szCs w:val="21"/>
        </w:rPr>
        <w:t>9.2.3</w:t>
      </w:r>
      <w:r>
        <w:rPr>
          <w:rFonts w:ascii="宋体" w:hAnsi="宋体" w:cs="华文仿宋"/>
          <w:color w:val="auto"/>
          <w:szCs w:val="21"/>
        </w:rPr>
        <w:t>条的规定已宣告为不合格的工程的重建；特殊风险发生时停、窝工或承包人装备损坏或用于本工程的周转材料损坏费用除外），无论这些费用可归因于上述特殊风险，或随其发生，或为其后果，或以任何方式与之有关，但要受到本条下文中关于终止合同有关规定的制约，而承包人一旦知道发生此类费用时，应立即通知监理人。监理人在与承包人协商并经发包人批准后，应确定与此有关的应加到合同价格上的费用款额，并通知承包人，抄送发包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4989" w:name="_Toc9553"/>
      <w:bookmarkStart w:id="4990" w:name="_Toc1482"/>
      <w:bookmarkStart w:id="4991" w:name="_Toc683"/>
      <w:bookmarkStart w:id="4992" w:name="_Toc517532212"/>
      <w:bookmarkStart w:id="4993" w:name="_Toc16719"/>
      <w:bookmarkStart w:id="4994" w:name="_Toc18358"/>
      <w:bookmarkStart w:id="4995" w:name="_Toc18220"/>
      <w:bookmarkStart w:id="4996" w:name="_Toc16117"/>
      <w:bookmarkStart w:id="4997" w:name="_Toc517530936"/>
      <w:bookmarkStart w:id="4998" w:name="_Toc21694"/>
      <w:bookmarkStart w:id="4999" w:name="_Toc1548"/>
      <w:bookmarkStart w:id="5000" w:name="_Toc517528743"/>
      <w:bookmarkStart w:id="5001" w:name="_Toc16077"/>
      <w:bookmarkStart w:id="5002" w:name="_Toc20068"/>
      <w:bookmarkStart w:id="5003" w:name="_Toc19382"/>
      <w:bookmarkStart w:id="5004" w:name="_Toc28222"/>
      <w:bookmarkStart w:id="5005" w:name="_Toc19025"/>
      <w:bookmarkStart w:id="5006" w:name="_Toc379"/>
      <w:bookmarkStart w:id="5007" w:name="_Toc16767"/>
      <w:bookmarkStart w:id="5008" w:name="_Toc11583"/>
      <w:bookmarkStart w:id="5009" w:name="_Toc8823"/>
      <w:r>
        <w:rPr>
          <w:rFonts w:ascii="宋体" w:hAnsi="宋体" w:eastAsia="宋体" w:cs="华文仿宋"/>
          <w:b/>
          <w:bCs/>
          <w:color w:val="auto"/>
          <w:sz w:val="28"/>
          <w:szCs w:val="28"/>
        </w:rPr>
        <w:t>17.5</w:t>
      </w:r>
      <w:r>
        <w:rPr>
          <w:rFonts w:ascii="宋体" w:hAnsi="宋体" w:cs="华文仿宋"/>
          <w:b/>
          <w:bCs/>
          <w:color w:val="auto"/>
          <w:sz w:val="28"/>
          <w:szCs w:val="28"/>
        </w:rPr>
        <w:t>由特殊风险而终止合同</w:t>
      </w:r>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合同履行过程中，如果发生上述特殊风险，双方都应始终尽所有合理的努力，使特殊风险对履行合同造成的任何延误减至最小。承包人应继续尽最大努力实施和完成工程，除非此种特殊风险的发生对本工程施工有重大实质性影响，并使合同的继续履行已成为不可能。在这种情况下，发包人有权通知承包人终止合同。一经发出此通知，除按本条规定和行使第</w:t>
      </w:r>
      <w:r>
        <w:rPr>
          <w:rFonts w:ascii="宋体" w:hAnsi="宋体" w:eastAsia="宋体" w:cs="华文仿宋"/>
          <w:color w:val="auto"/>
          <w:szCs w:val="21"/>
        </w:rPr>
        <w:t>20</w:t>
      </w:r>
      <w:r>
        <w:rPr>
          <w:rFonts w:ascii="宋体" w:hAnsi="宋体" w:cs="华文仿宋"/>
          <w:color w:val="auto"/>
          <w:szCs w:val="21"/>
        </w:rPr>
        <w:t>条规定的各方权利外，此合同应告终止，但不损害双方中在该风险发生之前所应有的权利。</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010" w:name="_Toc517530937"/>
      <w:bookmarkStart w:id="5011" w:name="_Toc517528744"/>
      <w:bookmarkStart w:id="5012" w:name="_Toc27919"/>
      <w:bookmarkStart w:id="5013" w:name="_Toc21182"/>
      <w:bookmarkStart w:id="5014" w:name="_Toc19126"/>
      <w:bookmarkStart w:id="5015" w:name="_Toc5150"/>
      <w:bookmarkStart w:id="5016" w:name="_Toc26628"/>
      <w:bookmarkStart w:id="5017" w:name="_Toc30667"/>
      <w:bookmarkStart w:id="5018" w:name="_Toc517532213"/>
      <w:bookmarkStart w:id="5019" w:name="_Toc27972"/>
      <w:bookmarkStart w:id="5020" w:name="_Toc19044"/>
      <w:bookmarkStart w:id="5021" w:name="_Toc21649"/>
      <w:bookmarkStart w:id="5022" w:name="_Toc11584"/>
      <w:bookmarkStart w:id="5023" w:name="_Toc5395"/>
      <w:bookmarkStart w:id="5024" w:name="_Toc31295"/>
      <w:bookmarkStart w:id="5025" w:name="_Toc19712"/>
      <w:bookmarkStart w:id="5026" w:name="_Toc29036"/>
      <w:bookmarkStart w:id="5027" w:name="_Toc894"/>
      <w:bookmarkStart w:id="5028" w:name="_Toc21617"/>
      <w:bookmarkStart w:id="5029" w:name="_Toc17744"/>
      <w:bookmarkStart w:id="5030" w:name="_Toc24621"/>
      <w:r>
        <w:rPr>
          <w:rFonts w:ascii="宋体" w:hAnsi="宋体" w:eastAsia="宋体" w:cs="华文仿宋"/>
          <w:b/>
          <w:bCs/>
          <w:color w:val="auto"/>
          <w:sz w:val="28"/>
          <w:szCs w:val="28"/>
        </w:rPr>
        <w:t>17.6</w:t>
      </w:r>
      <w:r>
        <w:rPr>
          <w:rFonts w:ascii="宋体" w:hAnsi="宋体" w:cs="华文仿宋"/>
          <w:b/>
          <w:bCs/>
          <w:color w:val="auto"/>
          <w:sz w:val="28"/>
          <w:szCs w:val="28"/>
        </w:rPr>
        <w:t>终止合同时承包人装备的撤离</w:t>
      </w:r>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如果根据第</w:t>
      </w:r>
      <w:r>
        <w:rPr>
          <w:rFonts w:ascii="宋体" w:hAnsi="宋体" w:eastAsia="宋体" w:cs="华文仿宋"/>
          <w:color w:val="auto"/>
          <w:szCs w:val="21"/>
        </w:rPr>
        <w:t>17.5</w:t>
      </w:r>
      <w:r>
        <w:rPr>
          <w:rFonts w:ascii="宋体" w:hAnsi="宋体" w:cs="华文仿宋"/>
          <w:color w:val="auto"/>
          <w:szCs w:val="21"/>
        </w:rPr>
        <w:t>条的规定终止合同，则承包人应尽快地从现场撤离其一切装备，并为其分包人的尽快撤离提供同样的便利。</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031" w:name="_Toc14114"/>
      <w:bookmarkStart w:id="5032" w:name="_Toc3867"/>
      <w:bookmarkStart w:id="5033" w:name="_Toc4472"/>
      <w:bookmarkStart w:id="5034" w:name="_Toc2490"/>
      <w:bookmarkStart w:id="5035" w:name="_Toc30509"/>
      <w:bookmarkStart w:id="5036" w:name="_Toc7563"/>
      <w:bookmarkStart w:id="5037" w:name="_Toc517528745"/>
      <w:bookmarkStart w:id="5038" w:name="_Toc13705"/>
      <w:bookmarkStart w:id="5039" w:name="_Toc2122"/>
      <w:bookmarkStart w:id="5040" w:name="_Toc28488"/>
      <w:bookmarkStart w:id="5041" w:name="_Toc6120"/>
      <w:bookmarkStart w:id="5042" w:name="_Toc6059"/>
      <w:bookmarkStart w:id="5043" w:name="_Toc12635"/>
      <w:bookmarkStart w:id="5044" w:name="_Toc7232"/>
      <w:bookmarkStart w:id="5045" w:name="_Toc25390"/>
      <w:bookmarkStart w:id="5046" w:name="_Toc25284"/>
      <w:bookmarkStart w:id="5047" w:name="_Toc32324"/>
      <w:bookmarkStart w:id="5048" w:name="_Toc30725"/>
      <w:bookmarkStart w:id="5049" w:name="_Toc7397"/>
      <w:bookmarkStart w:id="5050" w:name="_Toc517530938"/>
      <w:bookmarkStart w:id="5051" w:name="_Toc517532214"/>
      <w:r>
        <w:rPr>
          <w:rFonts w:ascii="宋体" w:hAnsi="宋体" w:eastAsia="宋体" w:cs="华文仿宋"/>
          <w:b/>
          <w:bCs/>
          <w:color w:val="auto"/>
          <w:sz w:val="28"/>
          <w:szCs w:val="28"/>
        </w:rPr>
        <w:t>17.7</w:t>
      </w:r>
      <w:r>
        <w:rPr>
          <w:rFonts w:ascii="宋体" w:hAnsi="宋体" w:cs="华文仿宋"/>
          <w:b/>
          <w:bCs/>
          <w:color w:val="auto"/>
          <w:sz w:val="28"/>
          <w:szCs w:val="28"/>
        </w:rPr>
        <w:t>终止合同的支付</w:t>
      </w:r>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如果合同按前款予以终止，则发包人应向承包人支付在合同终止之日以前已完成的全部工程的费用，其单价和总额价应按合同的规定，并另外支付下述费用：</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有关在工程量清单中所指的任何费用项目的应付款额，只要这些项目中的工作或服务已经进行或履行，以及任何此类项中其工作或服务已经进行或履行了的那部分相应比例的费用；</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已经交付承包人或承包人依法有责任收货的、为本合同工程合理订购的材料、设备或货物的费用，经发包人支付此项费用，该材料、设备或货物即成为发包人的财产；</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(c)</w:t>
      </w:r>
      <w:r>
        <w:rPr>
          <w:rFonts w:ascii="宋体" w:hAnsi="宋体" w:cs="华文仿宋"/>
          <w:color w:val="auto"/>
          <w:szCs w:val="21"/>
        </w:rPr>
        <w:t>作为已合理开支的、确实属于承包人为了完成本合同工程而预期开支的任何款额，而该开支还没有包括在本款提及的各项其他支付之内；</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(d)</w:t>
      </w:r>
      <w:r>
        <w:rPr>
          <w:rFonts w:ascii="宋体" w:hAnsi="宋体" w:cs="华文仿宋"/>
          <w:color w:val="auto"/>
          <w:szCs w:val="21"/>
        </w:rPr>
        <w:t>根据第</w:t>
      </w:r>
      <w:r>
        <w:rPr>
          <w:rFonts w:ascii="宋体" w:hAnsi="宋体" w:eastAsia="宋体" w:cs="华文仿宋"/>
          <w:color w:val="auto"/>
          <w:szCs w:val="21"/>
        </w:rPr>
        <w:t>17.3</w:t>
      </w:r>
      <w:r>
        <w:rPr>
          <w:rFonts w:ascii="宋体" w:hAnsi="宋体" w:cs="华文仿宋"/>
          <w:color w:val="auto"/>
          <w:szCs w:val="21"/>
        </w:rPr>
        <w:t>和</w:t>
      </w:r>
      <w:r>
        <w:rPr>
          <w:rFonts w:ascii="宋体" w:hAnsi="宋体" w:eastAsia="宋体" w:cs="华文仿宋"/>
          <w:color w:val="auto"/>
          <w:szCs w:val="21"/>
        </w:rPr>
        <w:t>17.4</w:t>
      </w:r>
      <w:r>
        <w:rPr>
          <w:rFonts w:ascii="宋体" w:hAnsi="宋体" w:cs="华文仿宋"/>
          <w:color w:val="auto"/>
          <w:szCs w:val="21"/>
        </w:rPr>
        <w:t>条规定应支付的任何附加款额；</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(e)</w:t>
      </w:r>
      <w:r>
        <w:rPr>
          <w:rFonts w:ascii="宋体" w:hAnsi="宋体" w:cs="华文仿宋"/>
          <w:color w:val="auto"/>
          <w:szCs w:val="21"/>
        </w:rPr>
        <w:t>根据第</w:t>
      </w:r>
      <w:r>
        <w:rPr>
          <w:rFonts w:ascii="宋体" w:hAnsi="宋体" w:eastAsia="宋体" w:cs="华文仿宋"/>
          <w:color w:val="auto"/>
          <w:szCs w:val="21"/>
        </w:rPr>
        <w:t>17.6</w:t>
      </w:r>
      <w:r>
        <w:rPr>
          <w:rFonts w:ascii="宋体" w:hAnsi="宋体" w:cs="华文仿宋"/>
          <w:color w:val="auto"/>
          <w:szCs w:val="21"/>
        </w:rPr>
        <w:t>条规定承包人装备的撤离的合理开支部分（应考虑已完成的工程已支付或将支付的费用），以及当承包人提出要求时，将这些装备运回承包人的装备基地，或其他目的地的费用，但不得多索费用。</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除按本款规定应予支付上述费用外，亦应有权要求承包人偿还各项预付款的未扣回余额，以及在合同终止之日，按合同规定应由发包人向承包人收回的任何其他款额。根据本款规定应支付的费额，应由监理人在与承包人协商并报发包人批准后确定，然后通知承包人，抄送发包人。</w:t>
      </w:r>
      <w:bookmarkStart w:id="5052" w:name="_Toc296346617"/>
      <w:bookmarkEnd w:id="5052"/>
      <w:bookmarkStart w:id="5053" w:name="_Toc296503116"/>
      <w:bookmarkEnd w:id="5053"/>
      <w:bookmarkStart w:id="5054" w:name="_Toc351203607"/>
      <w:bookmarkEnd w:id="5054"/>
      <w:bookmarkStart w:id="5055" w:name="_Toc337558823"/>
      <w:bookmarkEnd w:id="5055"/>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5056" w:name="_Toc351203612"/>
      <w:bookmarkStart w:id="5057" w:name="_Toc13868"/>
      <w:bookmarkStart w:id="5058" w:name="_Toc2960"/>
      <w:bookmarkStart w:id="5059" w:name="_Toc19500"/>
      <w:bookmarkStart w:id="5060" w:name="_Toc1833"/>
      <w:bookmarkStart w:id="5061" w:name="_Toc32662"/>
      <w:bookmarkStart w:id="5062" w:name="_Toc6507"/>
      <w:bookmarkStart w:id="5063" w:name="_Toc1378"/>
      <w:bookmarkStart w:id="5064" w:name="_Toc465237231"/>
      <w:bookmarkStart w:id="5065" w:name="_Toc517528746"/>
      <w:bookmarkStart w:id="5066" w:name="_Toc16051"/>
      <w:bookmarkStart w:id="5067" w:name="_Toc12628"/>
      <w:bookmarkStart w:id="5068" w:name="_Toc26014"/>
      <w:bookmarkStart w:id="5069" w:name="_Toc465237134"/>
      <w:bookmarkStart w:id="5070" w:name="_Toc20391"/>
      <w:bookmarkStart w:id="5071" w:name="_Toc12856"/>
      <w:bookmarkStart w:id="5072" w:name="_Toc5363"/>
      <w:bookmarkStart w:id="5073" w:name="_Toc8410"/>
      <w:bookmarkStart w:id="5074" w:name="_Toc517529751"/>
      <w:bookmarkStart w:id="5075" w:name="_Toc24365"/>
      <w:bookmarkStart w:id="5076" w:name="_Toc517530939"/>
      <w:bookmarkStart w:id="5077" w:name="_Toc21457"/>
      <w:bookmarkStart w:id="5078" w:name="_Toc517532215"/>
      <w:bookmarkStart w:id="5079" w:name="_Toc30487"/>
      <w:bookmarkStart w:id="5080" w:name="_Toc27595"/>
      <w:r>
        <w:rPr>
          <w:rFonts w:ascii="宋体" w:hAnsi="宋体" w:eastAsia="宋体" w:cs="华文仿宋"/>
          <w:b/>
          <w:bCs/>
          <w:color w:val="auto"/>
          <w:sz w:val="30"/>
          <w:szCs w:val="30"/>
        </w:rPr>
        <w:t>18.</w:t>
      </w:r>
      <w:bookmarkEnd w:id="5056"/>
      <w:r>
        <w:rPr>
          <w:rFonts w:ascii="宋体" w:hAnsi="宋体" w:eastAsia="宋体" w:cs="华文仿宋"/>
          <w:b/>
          <w:bCs/>
          <w:color w:val="auto"/>
          <w:sz w:val="30"/>
          <w:szCs w:val="30"/>
        </w:rPr>
        <w:t xml:space="preserve"> </w:t>
      </w:r>
      <w:r>
        <w:rPr>
          <w:rFonts w:ascii="宋体" w:hAnsi="宋体" w:cs="华文仿宋"/>
          <w:b/>
          <w:bCs/>
          <w:color w:val="auto"/>
          <w:sz w:val="30"/>
          <w:szCs w:val="30"/>
        </w:rPr>
        <w:t>保险</w:t>
      </w:r>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081" w:name="_Toc517530940"/>
      <w:bookmarkStart w:id="5082" w:name="_Toc19401"/>
      <w:bookmarkStart w:id="5083" w:name="_Toc16390"/>
      <w:bookmarkStart w:id="5084" w:name="_Toc12931"/>
      <w:bookmarkStart w:id="5085" w:name="_Toc18104"/>
      <w:bookmarkStart w:id="5086" w:name="_Toc27905"/>
      <w:bookmarkStart w:id="5087" w:name="_Toc14055"/>
      <w:bookmarkStart w:id="5088" w:name="_Toc12245"/>
      <w:bookmarkStart w:id="5089" w:name="_Toc23975"/>
      <w:bookmarkStart w:id="5090" w:name="_Toc8941"/>
      <w:bookmarkStart w:id="5091" w:name="_Toc12690"/>
      <w:bookmarkStart w:id="5092" w:name="_Toc19269"/>
      <w:bookmarkStart w:id="5093" w:name="_Toc702"/>
      <w:bookmarkStart w:id="5094" w:name="_Toc23323"/>
      <w:bookmarkStart w:id="5095" w:name="_Toc17875"/>
      <w:bookmarkStart w:id="5096" w:name="_Toc17797"/>
      <w:bookmarkStart w:id="5097" w:name="_Toc28116"/>
      <w:bookmarkStart w:id="5098" w:name="_Toc517532216"/>
      <w:bookmarkStart w:id="5099" w:name="_Toc517528747"/>
      <w:bookmarkStart w:id="5100" w:name="_Toc24462"/>
      <w:bookmarkStart w:id="5101" w:name="_Toc31769"/>
      <w:r>
        <w:rPr>
          <w:rFonts w:ascii="宋体" w:hAnsi="宋体" w:eastAsia="宋体" w:cs="华文仿宋"/>
          <w:b/>
          <w:bCs/>
          <w:color w:val="auto"/>
          <w:sz w:val="28"/>
          <w:szCs w:val="28"/>
        </w:rPr>
        <w:t>18.1</w:t>
      </w:r>
      <w:r>
        <w:rPr>
          <w:rFonts w:ascii="宋体" w:hAnsi="宋体" w:cs="华文仿宋"/>
          <w:b/>
          <w:bCs/>
          <w:color w:val="auto"/>
          <w:sz w:val="28"/>
          <w:szCs w:val="28"/>
        </w:rPr>
        <w:t>工程的保险</w:t>
      </w:r>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p>
    <w:p>
      <w:pPr>
        <w:spacing w:line="360" w:lineRule="auto"/>
        <w:ind w:firstLine="420"/>
        <w:jc w:val="left"/>
        <w:rPr>
          <w:rFonts w:ascii="宋体" w:hAnsi="宋体" w:eastAsia="宋体" w:cs="华文仿宋"/>
          <w:bCs/>
          <w:color w:val="auto"/>
          <w:szCs w:val="21"/>
        </w:rPr>
      </w:pPr>
      <w:r>
        <w:rPr>
          <w:rFonts w:ascii="宋体" w:hAnsi="宋体" w:cs="华文仿宋"/>
          <w:bCs/>
          <w:color w:val="auto"/>
          <w:szCs w:val="21"/>
        </w:rPr>
        <w:t>在第</w:t>
      </w:r>
      <w:r>
        <w:rPr>
          <w:rFonts w:ascii="宋体" w:hAnsi="宋体" w:eastAsia="宋体" w:cs="华文仿宋"/>
          <w:bCs/>
          <w:color w:val="auto"/>
          <w:szCs w:val="21"/>
        </w:rPr>
        <w:t>8.2.1</w:t>
      </w:r>
      <w:r>
        <w:rPr>
          <w:rFonts w:ascii="宋体" w:hAnsi="宋体" w:cs="华文仿宋"/>
          <w:bCs/>
          <w:color w:val="auto"/>
          <w:szCs w:val="21"/>
        </w:rPr>
        <w:t>条规定的承包人和发包人的义务和责任不受约束的条件下，发包人已经以承包人和发包人的联名形式为本合同工程投保工程保险（包括第三者责任保险），其保险金额为本合同工程的概算中的建安费金额。上述保险的责任范围应符合保险公司的有关规定。当工程发生损失或损害时，应第一时间（出险当天）报保险顾问公司，在保险顾问公司指导下向保险公司报案，并同时通知业主代表。承包人应在风险发生后及时向发包人提供损失情况和估价报告，并抄送监理人；如损害继续发生，承包人在递交第一次报告后每</w:t>
      </w:r>
      <w:r>
        <w:rPr>
          <w:rFonts w:ascii="宋体" w:hAnsi="宋体" w:eastAsia="宋体" w:cs="华文仿宋"/>
          <w:bCs/>
          <w:color w:val="auto"/>
          <w:szCs w:val="21"/>
        </w:rPr>
        <w:t>7</w:t>
      </w:r>
      <w:r>
        <w:rPr>
          <w:rFonts w:ascii="宋体" w:hAnsi="宋体" w:cs="华文仿宋"/>
          <w:bCs/>
          <w:color w:val="auto"/>
          <w:szCs w:val="21"/>
        </w:rPr>
        <w:t>天报告一次，直到损害结束。对于发生保险责任范围内的损失及损害，承包人应及时向保险公司报告和索赔，对于涉及发包人权利的损害，承包人也应按监理人指示，协助发包人做好向保险公司的报告和索赔工作。</w:t>
      </w:r>
    </w:p>
    <w:p>
      <w:pPr>
        <w:spacing w:line="360" w:lineRule="auto"/>
        <w:ind w:firstLine="420"/>
        <w:jc w:val="left"/>
        <w:rPr>
          <w:rFonts w:ascii="宋体" w:hAnsi="宋体" w:eastAsia="宋体" w:cs="华文仿宋"/>
          <w:bCs/>
          <w:color w:val="auto"/>
          <w:szCs w:val="21"/>
        </w:rPr>
      </w:pPr>
      <w:r>
        <w:rPr>
          <w:rFonts w:ascii="宋体" w:hAnsi="宋体" w:cs="华文仿宋"/>
          <w:bCs/>
          <w:color w:val="auto"/>
          <w:szCs w:val="21"/>
        </w:rPr>
        <w:t>如保险期限即将结束但工程未完工，承包人须提前二个月以书面形式报告发包人，由发包人与承包人共同商议是否延期投保及延期保费的承担方式。</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102" w:name="_Toc29574"/>
      <w:bookmarkStart w:id="5103" w:name="_Toc517528748"/>
      <w:bookmarkStart w:id="5104" w:name="_Toc32657"/>
      <w:bookmarkStart w:id="5105" w:name="_Toc18870"/>
      <w:bookmarkStart w:id="5106" w:name="_Toc2308"/>
      <w:bookmarkStart w:id="5107" w:name="_Toc20926"/>
      <w:bookmarkStart w:id="5108" w:name="_Toc9155"/>
      <w:bookmarkStart w:id="5109" w:name="_Toc517532217"/>
      <w:bookmarkStart w:id="5110" w:name="_Toc4269"/>
      <w:bookmarkStart w:id="5111" w:name="_Toc27164"/>
      <w:bookmarkStart w:id="5112" w:name="_Toc8709"/>
      <w:bookmarkStart w:id="5113" w:name="_Toc14074"/>
      <w:bookmarkStart w:id="5114" w:name="_Toc9665"/>
      <w:bookmarkStart w:id="5115" w:name="_Toc517530941"/>
      <w:bookmarkStart w:id="5116" w:name="_Toc2218"/>
      <w:bookmarkStart w:id="5117" w:name="_Toc2453"/>
      <w:bookmarkStart w:id="5118" w:name="_Toc9843"/>
      <w:bookmarkStart w:id="5119" w:name="_Toc24099"/>
      <w:bookmarkStart w:id="5120" w:name="_Toc11069"/>
      <w:r>
        <w:rPr>
          <w:rFonts w:ascii="宋体" w:hAnsi="宋体" w:eastAsia="宋体" w:cs="华文仿宋"/>
          <w:b/>
          <w:bCs/>
          <w:color w:val="auto"/>
          <w:sz w:val="28"/>
          <w:szCs w:val="28"/>
        </w:rPr>
        <w:t>18.2</w:t>
      </w:r>
      <w:r>
        <w:rPr>
          <w:rFonts w:ascii="宋体" w:hAnsi="宋体" w:cs="华文仿宋"/>
          <w:b/>
          <w:bCs/>
          <w:color w:val="auto"/>
          <w:sz w:val="28"/>
          <w:szCs w:val="28"/>
        </w:rPr>
        <w:t>发包人与承包人约定的工程保险事项</w:t>
      </w:r>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p>
    <w:p>
      <w:pPr>
        <w:spacing w:line="360" w:lineRule="auto"/>
        <w:ind w:firstLine="420"/>
        <w:jc w:val="left"/>
        <w:rPr>
          <w:rFonts w:ascii="宋体" w:hAnsi="宋体" w:eastAsia="宋体" w:cs="华文仿宋"/>
          <w:bCs/>
          <w:color w:val="auto"/>
          <w:szCs w:val="21"/>
        </w:rPr>
      </w:pPr>
      <w:r>
        <w:rPr>
          <w:rFonts w:ascii="宋体" w:hAnsi="宋体" w:eastAsia="宋体" w:cs="华文仿宋"/>
          <w:color w:val="auto"/>
          <w:szCs w:val="21"/>
        </w:rPr>
        <w:t>(a)</w:t>
      </w:r>
      <w:r>
        <w:rPr>
          <w:rFonts w:ascii="宋体" w:hAnsi="宋体" w:cs="华文仿宋"/>
          <w:color w:val="auto"/>
          <w:szCs w:val="21"/>
          <w:lang w:val="zh-CN"/>
        </w:rPr>
        <w:t xml:space="preserve">发包人投保内容：建筑工程一切险及安装工程一切险（含第三者责任部分）。  </w:t>
      </w:r>
    </w:p>
    <w:p>
      <w:pPr>
        <w:spacing w:line="360" w:lineRule="auto"/>
        <w:ind w:firstLine="420"/>
        <w:jc w:val="left"/>
        <w:rPr>
          <w:rFonts w:ascii="宋体" w:hAnsi="宋体" w:eastAsia="宋体" w:cs="华文仿宋"/>
          <w:color w:val="auto"/>
          <w:szCs w:val="21"/>
          <w:lang w:val="zh-CN"/>
        </w:rPr>
      </w:pPr>
      <w:r>
        <w:rPr>
          <w:rFonts w:ascii="宋体" w:hAnsi="宋体" w:eastAsia="宋体" w:cs="华文仿宋"/>
          <w:color w:val="auto"/>
          <w:szCs w:val="21"/>
          <w:lang w:val="zh-CN"/>
        </w:rPr>
        <w:t>(b)</w:t>
      </w:r>
      <w:r>
        <w:rPr>
          <w:rFonts w:ascii="宋体" w:hAnsi="宋体" w:cs="华文仿宋"/>
          <w:color w:val="auto"/>
          <w:szCs w:val="21"/>
          <w:lang w:val="zh-CN"/>
        </w:rPr>
        <w:t xml:space="preserve">发包人委托承包人办理的保险事项：无论什么原因，若承保工程一旦出险，承包人必须第一时间向监理人、发包人、发包人的保险顾问、承保人报告，对出险现场具有及时抢险、防止风险扩大和临时看管义务，对监理人、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pPr>
        <w:spacing w:line="360" w:lineRule="auto"/>
        <w:ind w:firstLine="420"/>
        <w:jc w:val="left"/>
        <w:rPr>
          <w:rFonts w:ascii="宋体" w:hAnsi="宋体" w:eastAsia="宋体" w:cs="华文仿宋"/>
          <w:color w:val="auto"/>
          <w:szCs w:val="21"/>
          <w:lang w:val="zh-CN"/>
        </w:rPr>
      </w:pPr>
      <w:r>
        <w:rPr>
          <w:rFonts w:ascii="宋体" w:hAnsi="宋体" w:eastAsia="宋体" w:cs="华文仿宋"/>
          <w:color w:val="auto"/>
          <w:szCs w:val="21"/>
          <w:lang w:val="zh-CN"/>
        </w:rPr>
        <w:t>(c)</w:t>
      </w:r>
      <w:r>
        <w:rPr>
          <w:rFonts w:ascii="宋体" w:hAnsi="宋体" w:cs="华文仿宋"/>
          <w:color w:val="auto"/>
          <w:szCs w:val="21"/>
          <w:lang w:val="zh-CN"/>
        </w:rPr>
        <w:t>承包人投保内容：承包人必须足额（投保金额应足以现场重置）为从事危险作业的职工办理意外伤害保险（团体意外保险不得低于</w:t>
      </w:r>
      <w:r>
        <w:rPr>
          <w:rFonts w:ascii="宋体" w:hAnsi="宋体" w:eastAsia="宋体" w:cs="华文仿宋"/>
          <w:color w:val="auto"/>
          <w:szCs w:val="21"/>
          <w:lang w:val="zh-CN"/>
        </w:rPr>
        <w:t>20</w:t>
      </w:r>
      <w:r>
        <w:rPr>
          <w:rFonts w:ascii="宋体" w:hAnsi="宋体" w:cs="华文仿宋"/>
          <w:color w:val="auto"/>
          <w:szCs w:val="21"/>
          <w:lang w:val="zh-CN"/>
        </w:rPr>
        <w:t>万元</w:t>
      </w:r>
      <w:r>
        <w:rPr>
          <w:rFonts w:ascii="宋体" w:hAnsi="宋体" w:eastAsia="宋体" w:cs="华文仿宋"/>
          <w:color w:val="auto"/>
          <w:szCs w:val="21"/>
          <w:lang w:val="zh-CN"/>
        </w:rPr>
        <w:t>/</w:t>
      </w:r>
      <w:r>
        <w:rPr>
          <w:rFonts w:ascii="宋体" w:hAnsi="宋体" w:cs="华文仿宋"/>
          <w:color w:val="auto"/>
          <w:szCs w:val="21"/>
          <w:lang w:val="zh-CN"/>
        </w:rPr>
        <w:t>人</w:t>
      </w:r>
      <w:r>
        <w:rPr>
          <w:rFonts w:ascii="宋体" w:hAnsi="宋体" w:eastAsia="宋体" w:cs="华文仿宋"/>
          <w:color w:val="auto"/>
          <w:szCs w:val="21"/>
          <w:lang w:val="zh-CN"/>
        </w:rPr>
        <w:t>·</w:t>
      </w:r>
      <w:r>
        <w:rPr>
          <w:rFonts w:ascii="宋体" w:hAnsi="宋体" w:cs="华文仿宋"/>
          <w:color w:val="auto"/>
          <w:szCs w:val="21"/>
          <w:lang w:val="zh-CN"/>
        </w:rPr>
        <w:t>年），为场地内自有人员的生命财产及施工机械设备办理保险，支付保险费用。承包人还必须严格执行</w:t>
      </w:r>
      <w:r>
        <w:rPr>
          <w:rFonts w:ascii="宋体" w:hAnsi="宋体" w:cs="华文仿宋"/>
          <w:color w:val="auto"/>
          <w:kern w:val="0"/>
          <w:szCs w:val="21"/>
        </w:rPr>
        <w:t>深圳市相关主管部门的规定，</w:t>
      </w:r>
      <w:r>
        <w:rPr>
          <w:rFonts w:ascii="宋体" w:hAnsi="宋体" w:cs="华文仿宋"/>
          <w:color w:val="auto"/>
          <w:szCs w:val="21"/>
          <w:lang w:val="zh-CN"/>
        </w:rPr>
        <w:t>为本企业雇用的从事建筑施工的农民工参加工伤保险。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121" w:name="_Toc17739"/>
      <w:bookmarkStart w:id="5122" w:name="_Toc26958"/>
      <w:bookmarkStart w:id="5123" w:name="_Toc28626"/>
      <w:bookmarkStart w:id="5124" w:name="_Toc517532218"/>
      <w:bookmarkStart w:id="5125" w:name="_Toc29385"/>
      <w:bookmarkStart w:id="5126" w:name="_Toc29159"/>
      <w:bookmarkStart w:id="5127" w:name="_Toc6445"/>
      <w:bookmarkStart w:id="5128" w:name="_Toc31915"/>
      <w:bookmarkStart w:id="5129" w:name="_Toc10696"/>
      <w:bookmarkStart w:id="5130" w:name="_Toc21792"/>
      <w:bookmarkStart w:id="5131" w:name="_Toc2871"/>
      <w:bookmarkStart w:id="5132" w:name="_Toc17712"/>
      <w:bookmarkStart w:id="5133" w:name="_Toc2939"/>
      <w:bookmarkStart w:id="5134" w:name="_Toc25868"/>
      <w:bookmarkStart w:id="5135" w:name="_Toc26418"/>
      <w:bookmarkStart w:id="5136" w:name="_Toc20962"/>
      <w:bookmarkStart w:id="5137" w:name="_Toc12417"/>
      <w:bookmarkStart w:id="5138" w:name="_Toc887"/>
      <w:bookmarkStart w:id="5139" w:name="_Toc517528749"/>
      <w:bookmarkStart w:id="5140" w:name="_Toc517530942"/>
      <w:bookmarkStart w:id="5141" w:name="_Toc18052"/>
      <w:r>
        <w:rPr>
          <w:rFonts w:ascii="宋体" w:hAnsi="宋体" w:eastAsia="宋体" w:cs="华文仿宋"/>
          <w:b/>
          <w:bCs/>
          <w:color w:val="auto"/>
          <w:sz w:val="28"/>
          <w:szCs w:val="28"/>
        </w:rPr>
        <w:t>18.3</w:t>
      </w:r>
      <w:r>
        <w:rPr>
          <w:rFonts w:ascii="宋体" w:hAnsi="宋体" w:cs="华文仿宋"/>
          <w:b/>
          <w:bCs/>
          <w:color w:val="auto"/>
          <w:sz w:val="28"/>
          <w:szCs w:val="28"/>
        </w:rPr>
        <w:t>保险范围</w:t>
      </w:r>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第</w:t>
      </w:r>
      <w:r>
        <w:rPr>
          <w:rFonts w:ascii="宋体" w:hAnsi="宋体" w:eastAsia="宋体" w:cs="华文仿宋"/>
          <w:color w:val="auto"/>
          <w:szCs w:val="21"/>
        </w:rPr>
        <w:t>18.1</w:t>
      </w:r>
      <w:r>
        <w:rPr>
          <w:rFonts w:ascii="宋体" w:hAnsi="宋体" w:cs="华文仿宋"/>
          <w:color w:val="auto"/>
          <w:szCs w:val="21"/>
        </w:rPr>
        <w:t>条的保险范围应包括：</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(a)</w:t>
      </w:r>
      <w:r>
        <w:rPr>
          <w:rFonts w:ascii="宋体" w:hAnsi="宋体" w:cs="华文仿宋"/>
          <w:color w:val="auto"/>
          <w:szCs w:val="21"/>
        </w:rPr>
        <w:t>从现场开始工作直至合同工程或其区段或其单项工程（视情况而定）竣工颁发交接证书为止，发包人和承包人遭受的，并由第</w:t>
      </w:r>
      <w:r>
        <w:rPr>
          <w:rFonts w:ascii="宋体" w:hAnsi="宋体" w:eastAsia="宋体" w:cs="华文仿宋"/>
          <w:color w:val="auto"/>
          <w:szCs w:val="21"/>
        </w:rPr>
        <w:t>18.1</w:t>
      </w:r>
      <w:r>
        <w:rPr>
          <w:rFonts w:ascii="宋体" w:hAnsi="宋体" w:cs="华文仿宋"/>
          <w:color w:val="auto"/>
          <w:szCs w:val="21"/>
        </w:rPr>
        <w:t>条所规定的损失或损害；</w:t>
      </w:r>
    </w:p>
    <w:p>
      <w:pPr>
        <w:spacing w:line="360" w:lineRule="auto"/>
        <w:ind w:firstLine="420"/>
        <w:jc w:val="left"/>
        <w:rPr>
          <w:rFonts w:ascii="宋体" w:hAnsi="宋体" w:eastAsia="宋体" w:cs="华文仿宋"/>
          <w:color w:val="auto"/>
          <w:szCs w:val="21"/>
        </w:rPr>
      </w:pPr>
      <w:r>
        <w:rPr>
          <w:rFonts w:ascii="宋体" w:hAnsi="宋体" w:eastAsia="宋体" w:cs="华文仿宋"/>
          <w:color w:val="auto"/>
          <w:szCs w:val="21"/>
        </w:rPr>
        <w:t>(b)</w:t>
      </w:r>
      <w:r>
        <w:rPr>
          <w:rFonts w:ascii="宋体" w:hAnsi="宋体" w:cs="华文仿宋"/>
          <w:color w:val="auto"/>
          <w:szCs w:val="21"/>
        </w:rPr>
        <w:t>由承包人负责的：</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①在保修期内，由发生于保修期开始之前的原因造成的损失和损害；</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②在履行第</w:t>
      </w:r>
      <w:r>
        <w:rPr>
          <w:rFonts w:ascii="宋体" w:hAnsi="宋体" w:eastAsia="宋体" w:cs="华文仿宋"/>
          <w:color w:val="auto"/>
          <w:szCs w:val="21"/>
        </w:rPr>
        <w:t>15</w:t>
      </w:r>
      <w:r>
        <w:rPr>
          <w:rFonts w:ascii="宋体" w:hAnsi="宋体" w:cs="华文仿宋"/>
          <w:color w:val="auto"/>
          <w:szCs w:val="21"/>
        </w:rPr>
        <w:t>条规定的承包人义务而进行的任何作业过程中由他人造成的损失或损害。</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142" w:name="_Toc28127"/>
      <w:bookmarkStart w:id="5143" w:name="_Toc15749"/>
      <w:bookmarkStart w:id="5144" w:name="_Toc24544"/>
      <w:bookmarkStart w:id="5145" w:name="_Toc28601"/>
      <w:bookmarkStart w:id="5146" w:name="_Toc23363"/>
      <w:bookmarkStart w:id="5147" w:name="_Toc19091"/>
      <w:bookmarkStart w:id="5148" w:name="_Toc8761"/>
      <w:bookmarkStart w:id="5149" w:name="_Toc26343"/>
      <w:bookmarkStart w:id="5150" w:name="_Toc517530943"/>
      <w:bookmarkStart w:id="5151" w:name="_Toc20112"/>
      <w:bookmarkStart w:id="5152" w:name="_Toc3364"/>
      <w:bookmarkStart w:id="5153" w:name="_Toc14815"/>
      <w:bookmarkStart w:id="5154" w:name="_Toc20334"/>
      <w:bookmarkStart w:id="5155" w:name="_Toc24535"/>
      <w:bookmarkStart w:id="5156" w:name="_Toc3361"/>
      <w:bookmarkStart w:id="5157" w:name="_Toc194"/>
      <w:bookmarkStart w:id="5158" w:name="_Toc19983"/>
      <w:bookmarkStart w:id="5159" w:name="_Toc27757"/>
      <w:bookmarkStart w:id="5160" w:name="_Toc517532219"/>
      <w:bookmarkStart w:id="5161" w:name="_Toc517528750"/>
      <w:bookmarkStart w:id="5162" w:name="_Toc27005"/>
      <w:r>
        <w:rPr>
          <w:rFonts w:ascii="宋体" w:hAnsi="宋体" w:eastAsia="宋体" w:cs="华文仿宋"/>
          <w:b/>
          <w:bCs/>
          <w:color w:val="auto"/>
          <w:sz w:val="28"/>
          <w:szCs w:val="28"/>
        </w:rPr>
        <w:t>18.4</w:t>
      </w:r>
      <w:r>
        <w:rPr>
          <w:rFonts w:ascii="宋体" w:hAnsi="宋体" w:cs="华文仿宋"/>
          <w:b/>
          <w:bCs/>
          <w:color w:val="auto"/>
          <w:sz w:val="28"/>
          <w:szCs w:val="28"/>
        </w:rPr>
        <w:t>承包人装备的保险</w:t>
      </w:r>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在第</w:t>
      </w:r>
      <w:r>
        <w:rPr>
          <w:rFonts w:ascii="宋体" w:hAnsi="宋体" w:eastAsia="宋体" w:cs="华文仿宋"/>
          <w:color w:val="auto"/>
          <w:szCs w:val="21"/>
        </w:rPr>
        <w:t>8.2</w:t>
      </w:r>
      <w:r>
        <w:rPr>
          <w:rFonts w:ascii="宋体" w:hAnsi="宋体" w:cs="华文仿宋"/>
          <w:color w:val="auto"/>
          <w:szCs w:val="21"/>
        </w:rPr>
        <w:t>条规定的承包人的义务和责任不受约束的条件下，承包人应给已经运到现场的承包人装备办理保险，其投保金额足以现场重置。此项保险的一切费用由承包人承担并支付。</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163" w:name="_Toc30597"/>
      <w:bookmarkStart w:id="5164" w:name="_Toc28789"/>
      <w:bookmarkStart w:id="5165" w:name="_Toc19243"/>
      <w:bookmarkStart w:id="5166" w:name="_Toc18878"/>
      <w:bookmarkStart w:id="5167" w:name="_Toc10555"/>
      <w:bookmarkStart w:id="5168" w:name="_Toc17506"/>
      <w:bookmarkStart w:id="5169" w:name="_Toc31765"/>
      <w:bookmarkStart w:id="5170" w:name="_Toc21163"/>
      <w:bookmarkStart w:id="5171" w:name="_Toc517532220"/>
      <w:bookmarkStart w:id="5172" w:name="_Toc517530944"/>
      <w:bookmarkStart w:id="5173" w:name="_Toc29550"/>
      <w:bookmarkStart w:id="5174" w:name="_Toc974"/>
      <w:bookmarkStart w:id="5175" w:name="_Toc17823"/>
      <w:bookmarkStart w:id="5176" w:name="_Toc9640"/>
      <w:bookmarkStart w:id="5177" w:name="_Toc20621"/>
      <w:bookmarkStart w:id="5178" w:name="_Toc11404"/>
      <w:bookmarkStart w:id="5179" w:name="_Toc32481"/>
      <w:bookmarkStart w:id="5180" w:name="_Toc5426"/>
      <w:bookmarkStart w:id="5181" w:name="_Toc18711"/>
      <w:bookmarkStart w:id="5182" w:name="_Toc19244"/>
      <w:bookmarkStart w:id="5183" w:name="_Toc517528751"/>
      <w:r>
        <w:rPr>
          <w:rFonts w:ascii="宋体" w:hAnsi="宋体" w:eastAsia="宋体" w:cs="华文仿宋"/>
          <w:b/>
          <w:bCs/>
          <w:color w:val="auto"/>
          <w:sz w:val="28"/>
          <w:szCs w:val="28"/>
        </w:rPr>
        <w:t>18.5</w:t>
      </w:r>
      <w:r>
        <w:rPr>
          <w:rFonts w:ascii="宋体" w:hAnsi="宋体" w:cs="华文仿宋"/>
          <w:b/>
          <w:bCs/>
          <w:color w:val="auto"/>
          <w:sz w:val="28"/>
          <w:szCs w:val="28"/>
        </w:rPr>
        <w:t>对未能收回偿额的责任</w:t>
      </w:r>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任何不能投保的风险损失或不能从承保人收回的偿额，应根据第</w:t>
      </w:r>
      <w:r>
        <w:rPr>
          <w:rFonts w:ascii="宋体" w:hAnsi="宋体" w:eastAsia="宋体" w:cs="华文仿宋"/>
          <w:color w:val="auto"/>
          <w:szCs w:val="21"/>
        </w:rPr>
        <w:t>8.2.1</w:t>
      </w:r>
      <w:r>
        <w:rPr>
          <w:rFonts w:ascii="宋体" w:hAnsi="宋体" w:cs="华文仿宋"/>
          <w:color w:val="auto"/>
          <w:szCs w:val="21"/>
        </w:rPr>
        <w:t>条对发包人和承包人责任的规定，由发包人或承包人承担。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184" w:name="_Toc29276"/>
      <w:bookmarkStart w:id="5185" w:name="_Toc20489"/>
      <w:bookmarkStart w:id="5186" w:name="_Toc11637"/>
      <w:bookmarkStart w:id="5187" w:name="_Toc19134"/>
      <w:bookmarkStart w:id="5188" w:name="_Toc20164"/>
      <w:bookmarkStart w:id="5189" w:name="_Toc30374"/>
      <w:bookmarkStart w:id="5190" w:name="_Toc21501"/>
      <w:bookmarkStart w:id="5191" w:name="_Toc517532221"/>
      <w:bookmarkStart w:id="5192" w:name="_Toc6965"/>
      <w:bookmarkStart w:id="5193" w:name="_Toc29595"/>
      <w:bookmarkStart w:id="5194" w:name="_Toc517528752"/>
      <w:bookmarkStart w:id="5195" w:name="_Toc3251"/>
      <w:bookmarkStart w:id="5196" w:name="_Toc20578"/>
      <w:bookmarkStart w:id="5197" w:name="_Toc20132"/>
      <w:bookmarkStart w:id="5198" w:name="_Toc17995"/>
      <w:bookmarkStart w:id="5199" w:name="_Toc30118"/>
      <w:bookmarkStart w:id="5200" w:name="_Toc517530945"/>
      <w:bookmarkStart w:id="5201" w:name="_Toc3512"/>
      <w:bookmarkStart w:id="5202" w:name="_Toc9136"/>
      <w:bookmarkStart w:id="5203" w:name="_Toc29832"/>
      <w:bookmarkStart w:id="5204" w:name="_Toc19738"/>
      <w:r>
        <w:rPr>
          <w:rFonts w:ascii="宋体" w:hAnsi="宋体" w:eastAsia="宋体" w:cs="华文仿宋"/>
          <w:b/>
          <w:bCs/>
          <w:color w:val="auto"/>
          <w:sz w:val="28"/>
          <w:szCs w:val="28"/>
        </w:rPr>
        <w:t>18.6</w:t>
      </w:r>
      <w:r>
        <w:rPr>
          <w:rFonts w:ascii="宋体" w:hAnsi="宋体" w:cs="华文仿宋"/>
          <w:b/>
          <w:bCs/>
          <w:color w:val="auto"/>
          <w:sz w:val="28"/>
          <w:szCs w:val="28"/>
        </w:rPr>
        <w:t>第三者责任险</w:t>
      </w:r>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p>
    <w:p>
      <w:pPr>
        <w:snapToGrid w:val="0"/>
        <w:spacing w:line="360" w:lineRule="auto"/>
        <w:ind w:firstLine="420"/>
        <w:jc w:val="left"/>
        <w:rPr>
          <w:rFonts w:ascii="宋体" w:hAnsi="宋体" w:eastAsia="宋体" w:cs="华文仿宋"/>
          <w:bCs/>
          <w:color w:val="auto"/>
          <w:szCs w:val="21"/>
        </w:rPr>
      </w:pPr>
      <w:r>
        <w:rPr>
          <w:rFonts w:ascii="宋体" w:hAnsi="宋体" w:cs="华文仿宋"/>
          <w:bCs/>
          <w:color w:val="auto"/>
          <w:szCs w:val="21"/>
        </w:rPr>
        <w:t>在第</w:t>
      </w:r>
      <w:r>
        <w:rPr>
          <w:rFonts w:ascii="宋体" w:hAnsi="宋体" w:eastAsia="宋体" w:cs="华文仿宋"/>
          <w:bCs/>
          <w:color w:val="auto"/>
          <w:szCs w:val="21"/>
        </w:rPr>
        <w:t>6.2</w:t>
      </w:r>
      <w:r>
        <w:rPr>
          <w:rFonts w:ascii="宋体" w:hAnsi="宋体" w:cs="华文仿宋"/>
          <w:bCs/>
          <w:color w:val="auto"/>
          <w:szCs w:val="21"/>
        </w:rPr>
        <w:t>条规定的承包人和发包人的义务和责任不受约束的条件下，发包人已经以承包人与发包人的联名形式为本合同工程投保工程保险（其中包括第三者责任险）。第三者责任险是对因履行本合同而造成的任何财产（本工程及承包人的财产除外）的损失或损害，或任何人员（第</w:t>
      </w:r>
      <w:r>
        <w:rPr>
          <w:rFonts w:ascii="宋体" w:hAnsi="宋体" w:eastAsia="宋体" w:cs="华文仿宋"/>
          <w:bCs/>
          <w:color w:val="auto"/>
          <w:szCs w:val="21"/>
        </w:rPr>
        <w:t>6.2.3</w:t>
      </w:r>
      <w:r>
        <w:rPr>
          <w:rFonts w:ascii="宋体" w:hAnsi="宋体" w:cs="华文仿宋"/>
          <w:bCs/>
          <w:color w:val="auto"/>
          <w:szCs w:val="21"/>
        </w:rPr>
        <w:t>及</w:t>
      </w:r>
      <w:r>
        <w:rPr>
          <w:rFonts w:ascii="宋体" w:hAnsi="宋体" w:eastAsia="宋体" w:cs="华文仿宋"/>
          <w:bCs/>
          <w:color w:val="auto"/>
          <w:szCs w:val="21"/>
        </w:rPr>
        <w:t>18.7</w:t>
      </w:r>
      <w:r>
        <w:rPr>
          <w:rFonts w:ascii="宋体" w:hAnsi="宋体" w:cs="华文仿宋"/>
          <w:bCs/>
          <w:color w:val="auto"/>
          <w:szCs w:val="21"/>
        </w:rPr>
        <w:t>条规定的情况除外）的死亡或致伤所负的责任进行保险。因此第</w:t>
      </w:r>
      <w:r>
        <w:rPr>
          <w:rFonts w:ascii="宋体" w:hAnsi="宋体" w:eastAsia="宋体" w:cs="华文仿宋"/>
          <w:bCs/>
          <w:color w:val="auto"/>
          <w:szCs w:val="21"/>
        </w:rPr>
        <w:t>18.1</w:t>
      </w:r>
      <w:r>
        <w:rPr>
          <w:rFonts w:ascii="宋体" w:hAnsi="宋体" w:cs="华文仿宋"/>
          <w:bCs/>
          <w:color w:val="auto"/>
          <w:szCs w:val="21"/>
        </w:rPr>
        <w:t>条的相应规定同样地适用于本款。</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205" w:name="_Toc31907"/>
      <w:bookmarkStart w:id="5206" w:name="_Toc24208"/>
      <w:bookmarkStart w:id="5207" w:name="_Toc14834"/>
      <w:bookmarkStart w:id="5208" w:name="_Toc28527"/>
      <w:bookmarkStart w:id="5209" w:name="_Toc31863"/>
      <w:bookmarkStart w:id="5210" w:name="_Toc6905"/>
      <w:bookmarkStart w:id="5211" w:name="_Toc17610"/>
      <w:bookmarkStart w:id="5212" w:name="_Toc30086"/>
      <w:bookmarkStart w:id="5213" w:name="_Toc8217"/>
      <w:bookmarkStart w:id="5214" w:name="_Toc10287"/>
      <w:bookmarkStart w:id="5215" w:name="_Toc1563"/>
      <w:bookmarkStart w:id="5216" w:name="_Toc21298"/>
      <w:bookmarkStart w:id="5217" w:name="_Toc28105"/>
      <w:bookmarkStart w:id="5218" w:name="_Toc517532222"/>
      <w:bookmarkStart w:id="5219" w:name="_Toc1185"/>
      <w:bookmarkStart w:id="5220" w:name="_Toc517528753"/>
      <w:bookmarkStart w:id="5221" w:name="_Toc22706"/>
      <w:bookmarkStart w:id="5222" w:name="_Toc14624"/>
      <w:bookmarkStart w:id="5223" w:name="_Toc11582"/>
      <w:bookmarkStart w:id="5224" w:name="_Toc18080"/>
      <w:bookmarkStart w:id="5225" w:name="_Toc517530946"/>
      <w:r>
        <w:rPr>
          <w:rFonts w:ascii="宋体" w:hAnsi="宋体" w:eastAsia="宋体" w:cs="华文仿宋"/>
          <w:b/>
          <w:bCs/>
          <w:color w:val="auto"/>
          <w:sz w:val="28"/>
          <w:szCs w:val="28"/>
        </w:rPr>
        <w:t>18.7</w:t>
      </w:r>
      <w:r>
        <w:rPr>
          <w:rFonts w:ascii="宋体" w:hAnsi="宋体" w:cs="华文仿宋"/>
          <w:b/>
          <w:bCs/>
          <w:color w:val="auto"/>
          <w:sz w:val="28"/>
          <w:szCs w:val="28"/>
        </w:rPr>
        <w:t>职工事故的保险</w:t>
      </w:r>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p>
    <w:p>
      <w:pPr>
        <w:spacing w:line="360" w:lineRule="auto"/>
        <w:ind w:firstLine="420"/>
        <w:jc w:val="left"/>
        <w:rPr>
          <w:rFonts w:ascii="宋体" w:hAnsi="宋体" w:eastAsia="宋体" w:cs="华文仿宋"/>
          <w:color w:val="auto"/>
          <w:szCs w:val="21"/>
        </w:rPr>
      </w:pPr>
      <w:r>
        <w:rPr>
          <w:rFonts w:ascii="宋体" w:hAnsi="宋体" w:cs="华文仿宋"/>
          <w:color w:val="auto"/>
          <w:szCs w:val="21"/>
          <w:lang w:val="zh-CN"/>
        </w:rPr>
        <w:t>承包人必须为从事危险作业的职工办理意外伤害保险，支付保险费用。承包人必须严格执行</w:t>
      </w:r>
      <w:r>
        <w:rPr>
          <w:rFonts w:ascii="宋体" w:hAnsi="宋体" w:cs="华文仿宋"/>
          <w:color w:val="auto"/>
          <w:szCs w:val="21"/>
        </w:rPr>
        <w:t>深圳市相关主管部门关于建筑企业参加保险的各项规定</w:t>
      </w:r>
      <w:r>
        <w:rPr>
          <w:rFonts w:ascii="宋体" w:hAnsi="宋体" w:cs="华文仿宋"/>
          <w:color w:val="auto"/>
          <w:szCs w:val="21"/>
          <w:lang w:val="zh-CN"/>
        </w:rPr>
        <w:t>。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226" w:name="_Toc18285"/>
      <w:bookmarkStart w:id="5227" w:name="_Toc21918"/>
      <w:bookmarkStart w:id="5228" w:name="_Toc27062"/>
      <w:bookmarkStart w:id="5229" w:name="_Toc425"/>
      <w:bookmarkStart w:id="5230" w:name="_Toc16207"/>
      <w:bookmarkStart w:id="5231" w:name="_Toc20642"/>
      <w:bookmarkStart w:id="5232" w:name="_Toc29633"/>
      <w:bookmarkStart w:id="5233" w:name="_Toc32158"/>
      <w:bookmarkStart w:id="5234" w:name="_Toc517532223"/>
      <w:bookmarkStart w:id="5235" w:name="_Toc22990"/>
      <w:bookmarkStart w:id="5236" w:name="_Toc29544"/>
      <w:bookmarkStart w:id="5237" w:name="_Toc32371"/>
      <w:bookmarkStart w:id="5238" w:name="_Toc20842"/>
      <w:bookmarkStart w:id="5239" w:name="_Toc21417"/>
      <w:bookmarkStart w:id="5240" w:name="_Toc32253"/>
      <w:bookmarkStart w:id="5241" w:name="_Toc517528754"/>
      <w:bookmarkStart w:id="5242" w:name="_Toc517530947"/>
      <w:bookmarkStart w:id="5243" w:name="_Toc5215"/>
      <w:bookmarkStart w:id="5244" w:name="_Toc14763"/>
      <w:bookmarkStart w:id="5245" w:name="_Toc10070"/>
      <w:bookmarkStart w:id="5246" w:name="_Toc11102"/>
      <w:r>
        <w:rPr>
          <w:rFonts w:ascii="宋体" w:hAnsi="宋体" w:eastAsia="宋体" w:cs="华文仿宋"/>
          <w:b/>
          <w:bCs/>
          <w:color w:val="auto"/>
          <w:sz w:val="28"/>
          <w:szCs w:val="28"/>
        </w:rPr>
        <w:t>18.8</w:t>
      </w:r>
      <w:r>
        <w:rPr>
          <w:rFonts w:ascii="宋体" w:hAnsi="宋体" w:cs="华文仿宋"/>
          <w:b/>
          <w:bCs/>
          <w:color w:val="auto"/>
          <w:sz w:val="28"/>
          <w:szCs w:val="28"/>
        </w:rPr>
        <w:t>保险的凭证</w:t>
      </w:r>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p>
    <w:p>
      <w:pPr>
        <w:snapToGrid w:val="0"/>
        <w:spacing w:line="360" w:lineRule="auto"/>
        <w:ind w:firstLine="420"/>
        <w:jc w:val="left"/>
        <w:rPr>
          <w:rFonts w:ascii="宋体" w:hAnsi="宋体" w:eastAsia="宋体" w:cs="华文仿宋"/>
          <w:color w:val="auto"/>
          <w:szCs w:val="21"/>
          <w:lang w:val="zh-CN"/>
        </w:rPr>
      </w:pPr>
      <w:r>
        <w:rPr>
          <w:rFonts w:ascii="宋体" w:hAnsi="宋体" w:cs="华文仿宋"/>
          <w:color w:val="auto"/>
          <w:szCs w:val="21"/>
          <w:lang w:val="zh-CN"/>
        </w:rPr>
        <w:t>承包人应在正式施工前向发包人的保险顾问公司索取工程保险合同，并须在保险顾问的安排下进行保险知识培训。</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247" w:name="_Toc21712"/>
      <w:bookmarkStart w:id="5248" w:name="_Toc18675"/>
      <w:bookmarkStart w:id="5249" w:name="_Toc25480"/>
      <w:bookmarkStart w:id="5250" w:name="_Toc25672"/>
      <w:bookmarkStart w:id="5251" w:name="_Toc9605"/>
      <w:bookmarkStart w:id="5252" w:name="_Toc1898"/>
      <w:bookmarkStart w:id="5253" w:name="_Toc517532224"/>
      <w:bookmarkStart w:id="5254" w:name="_Toc517528755"/>
      <w:bookmarkStart w:id="5255" w:name="_Toc517530948"/>
      <w:bookmarkStart w:id="5256" w:name="_Toc7475"/>
      <w:bookmarkStart w:id="5257" w:name="_Toc19296"/>
      <w:bookmarkStart w:id="5258" w:name="_Toc241"/>
      <w:bookmarkStart w:id="5259" w:name="_Toc16143"/>
      <w:bookmarkStart w:id="5260" w:name="_Toc22621"/>
      <w:bookmarkStart w:id="5261" w:name="_Toc22921"/>
      <w:bookmarkStart w:id="5262" w:name="_Toc52"/>
      <w:bookmarkStart w:id="5263" w:name="_Toc22528"/>
      <w:bookmarkStart w:id="5264" w:name="_Toc1956"/>
      <w:bookmarkStart w:id="5265" w:name="_Toc6470"/>
      <w:bookmarkStart w:id="5266" w:name="_Toc13418"/>
      <w:bookmarkStart w:id="5267" w:name="_Toc1491"/>
      <w:r>
        <w:rPr>
          <w:rFonts w:ascii="宋体" w:hAnsi="宋体" w:eastAsia="宋体" w:cs="华文仿宋"/>
          <w:b/>
          <w:bCs/>
          <w:color w:val="auto"/>
          <w:sz w:val="28"/>
          <w:szCs w:val="28"/>
        </w:rPr>
        <w:t>18.9</w:t>
      </w:r>
      <w:r>
        <w:rPr>
          <w:rFonts w:ascii="宋体" w:hAnsi="宋体" w:cs="华文仿宋"/>
          <w:b/>
          <w:bCs/>
          <w:color w:val="auto"/>
          <w:sz w:val="28"/>
          <w:szCs w:val="28"/>
        </w:rPr>
        <w:t>足够的保险额</w:t>
      </w:r>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当工程施工的性质、规模或计划发生变更时，承包人应及时通知承保人，并在整个期间按合同条款保证足够的保险额。在发生上述通知前，如需对各项保险作任何变动时，承包人应事先与监理人协商并取得发包人的批准。</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268" w:name="_Toc8878"/>
      <w:bookmarkStart w:id="5269" w:name="_Toc6371"/>
      <w:bookmarkStart w:id="5270" w:name="_Toc517532225"/>
      <w:bookmarkStart w:id="5271" w:name="_Toc27292"/>
      <w:bookmarkStart w:id="5272" w:name="_Toc661"/>
      <w:bookmarkStart w:id="5273" w:name="_Toc13372"/>
      <w:bookmarkStart w:id="5274" w:name="_Toc5072"/>
      <w:bookmarkStart w:id="5275" w:name="_Toc5839"/>
      <w:bookmarkStart w:id="5276" w:name="_Toc1275"/>
      <w:bookmarkStart w:id="5277" w:name="_Toc2966"/>
      <w:bookmarkStart w:id="5278" w:name="_Toc29085"/>
      <w:bookmarkStart w:id="5279" w:name="_Toc26352"/>
      <w:bookmarkStart w:id="5280" w:name="_Toc9612"/>
      <w:bookmarkStart w:id="5281" w:name="_Toc517530949"/>
      <w:bookmarkStart w:id="5282" w:name="_Toc22567"/>
      <w:bookmarkStart w:id="5283" w:name="_Toc16323"/>
      <w:bookmarkStart w:id="5284" w:name="_Toc1151"/>
      <w:bookmarkStart w:id="5285" w:name="_Toc19535"/>
      <w:bookmarkStart w:id="5286" w:name="_Toc9907"/>
      <w:bookmarkStart w:id="5287" w:name="_Toc517528756"/>
      <w:bookmarkStart w:id="5288" w:name="_Toc6574"/>
      <w:r>
        <w:rPr>
          <w:rFonts w:ascii="宋体" w:hAnsi="宋体" w:eastAsia="宋体" w:cs="华文仿宋"/>
          <w:b/>
          <w:bCs/>
          <w:color w:val="auto"/>
          <w:sz w:val="28"/>
          <w:szCs w:val="28"/>
        </w:rPr>
        <w:t>18.10</w:t>
      </w:r>
      <w:r>
        <w:rPr>
          <w:rFonts w:ascii="宋体" w:hAnsi="宋体" w:cs="华文仿宋"/>
          <w:b/>
          <w:bCs/>
          <w:color w:val="auto"/>
          <w:sz w:val="28"/>
          <w:szCs w:val="28"/>
        </w:rPr>
        <w:t>遵守保险单的条件</w:t>
      </w:r>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p>
    <w:p>
      <w:pPr>
        <w:snapToGrid w:val="0"/>
        <w:spacing w:line="360" w:lineRule="auto"/>
        <w:ind w:firstLine="420"/>
        <w:jc w:val="left"/>
        <w:rPr>
          <w:rFonts w:ascii="宋体" w:hAnsi="宋体" w:eastAsia="宋体" w:cs="华文仿宋"/>
          <w:color w:val="auto"/>
          <w:szCs w:val="21"/>
          <w:lang w:val="zh-CN"/>
        </w:rPr>
      </w:pPr>
      <w:r>
        <w:rPr>
          <w:rFonts w:ascii="宋体" w:hAnsi="宋体" w:cs="华文仿宋"/>
          <w:color w:val="auto"/>
          <w:szCs w:val="21"/>
        </w:rPr>
        <w:t>承</w:t>
      </w:r>
      <w:r>
        <w:rPr>
          <w:rFonts w:ascii="宋体" w:hAnsi="宋体" w:cs="华文仿宋"/>
          <w:color w:val="auto"/>
          <w:szCs w:val="21"/>
          <w:lang w:val="zh-CN"/>
        </w:rPr>
        <w:t>包人应对其为本合同工程派遣或雇用的任何人员</w:t>
      </w:r>
      <w:r>
        <w:rPr>
          <w:rFonts w:ascii="宋体" w:hAnsi="宋体" w:cs="华文仿宋"/>
          <w:color w:val="auto"/>
          <w:szCs w:val="21"/>
        </w:rPr>
        <w:t>购买</w:t>
      </w:r>
      <w:r>
        <w:rPr>
          <w:rFonts w:ascii="宋体" w:hAnsi="宋体" w:cs="华文仿宋"/>
          <w:color w:val="auto"/>
          <w:szCs w:val="21"/>
          <w:lang w:val="zh-CN"/>
        </w:rPr>
        <w:t>人身意外保险，并应在全部工作期间持续进行上述保险，同时也应要分包人进行此项保险，该项保险的一切费用应由承包人（或分包人）承担并支付。</w:t>
      </w:r>
      <w:bookmarkStart w:id="5289" w:name="_Toc296503120"/>
      <w:bookmarkEnd w:id="5289"/>
      <w:bookmarkStart w:id="5290" w:name="_Toc337558828"/>
      <w:bookmarkEnd w:id="5290"/>
      <w:bookmarkStart w:id="5291" w:name="_Toc296346621"/>
      <w:bookmarkEnd w:id="5291"/>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5292" w:name="_Toc351203620"/>
      <w:bookmarkStart w:id="5293" w:name="_Toc31249"/>
      <w:bookmarkStart w:id="5294" w:name="_Toc29700"/>
      <w:bookmarkStart w:id="5295" w:name="_Toc7818"/>
      <w:bookmarkStart w:id="5296" w:name="_Toc12452"/>
      <w:bookmarkStart w:id="5297" w:name="_Toc517529752"/>
      <w:bookmarkStart w:id="5298" w:name="_Toc465237232"/>
      <w:bookmarkStart w:id="5299" w:name="_Toc22801"/>
      <w:bookmarkStart w:id="5300" w:name="_Toc19590"/>
      <w:bookmarkStart w:id="5301" w:name="_Toc517528757"/>
      <w:bookmarkStart w:id="5302" w:name="_Toc517532226"/>
      <w:bookmarkStart w:id="5303" w:name="_Toc18046"/>
      <w:bookmarkStart w:id="5304" w:name="_Toc11343"/>
      <w:bookmarkStart w:id="5305" w:name="_Toc4336"/>
      <w:bookmarkStart w:id="5306" w:name="_Toc21864"/>
      <w:bookmarkStart w:id="5307" w:name="_Toc465237135"/>
      <w:bookmarkStart w:id="5308" w:name="_Toc28122"/>
      <w:bookmarkStart w:id="5309" w:name="_Toc14807"/>
      <w:bookmarkStart w:id="5310" w:name="_Toc20456"/>
      <w:bookmarkStart w:id="5311" w:name="_Toc19474"/>
      <w:bookmarkStart w:id="5312" w:name="_Toc1918"/>
      <w:bookmarkStart w:id="5313" w:name="_Toc26530"/>
      <w:bookmarkStart w:id="5314" w:name="_Toc18763"/>
      <w:bookmarkStart w:id="5315" w:name="_Toc1863"/>
      <w:bookmarkStart w:id="5316" w:name="_Toc517530950"/>
      <w:r>
        <w:rPr>
          <w:rFonts w:ascii="宋体" w:hAnsi="宋体" w:eastAsia="宋体" w:cs="华文仿宋"/>
          <w:b/>
          <w:bCs/>
          <w:color w:val="auto"/>
          <w:sz w:val="30"/>
          <w:szCs w:val="30"/>
        </w:rPr>
        <w:t>19.</w:t>
      </w:r>
      <w:bookmarkEnd w:id="5292"/>
      <w:r>
        <w:rPr>
          <w:rFonts w:ascii="宋体" w:hAnsi="宋体" w:eastAsia="宋体" w:cs="华文仿宋"/>
          <w:b/>
          <w:bCs/>
          <w:color w:val="auto"/>
          <w:sz w:val="30"/>
          <w:szCs w:val="30"/>
        </w:rPr>
        <w:t xml:space="preserve"> </w:t>
      </w:r>
      <w:r>
        <w:rPr>
          <w:rFonts w:ascii="宋体" w:hAnsi="宋体" w:cs="华文仿宋"/>
          <w:b/>
          <w:bCs/>
          <w:color w:val="auto"/>
          <w:sz w:val="30"/>
          <w:szCs w:val="30"/>
        </w:rPr>
        <w:t>索赔</w:t>
      </w:r>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317" w:name="_Toc465237136"/>
      <w:bookmarkStart w:id="5318" w:name="_Toc23962"/>
      <w:bookmarkStart w:id="5319" w:name="_Toc17604"/>
      <w:bookmarkStart w:id="5320" w:name="_Toc20863"/>
      <w:bookmarkStart w:id="5321" w:name="_Toc517530951"/>
      <w:bookmarkStart w:id="5322" w:name="_Toc23723"/>
      <w:bookmarkStart w:id="5323" w:name="_Toc13156"/>
      <w:bookmarkStart w:id="5324" w:name="_Toc1183"/>
      <w:bookmarkStart w:id="5325" w:name="_Toc10258"/>
      <w:bookmarkStart w:id="5326" w:name="_Toc32189"/>
      <w:bookmarkStart w:id="5327" w:name="_Toc517532227"/>
      <w:bookmarkStart w:id="5328" w:name="_Toc517528758"/>
      <w:bookmarkStart w:id="5329" w:name="_Toc28931"/>
      <w:bookmarkStart w:id="5330" w:name="_Toc12428"/>
      <w:bookmarkStart w:id="5331" w:name="_Toc10177"/>
      <w:bookmarkStart w:id="5332" w:name="_Toc26018"/>
      <w:bookmarkStart w:id="5333" w:name="_Toc465237233"/>
      <w:bookmarkStart w:id="5334" w:name="_Toc26769"/>
      <w:bookmarkStart w:id="5335" w:name="_Toc5168"/>
      <w:bookmarkStart w:id="5336" w:name="_Toc8149"/>
      <w:bookmarkStart w:id="5337" w:name="_Toc5732"/>
      <w:bookmarkStart w:id="5338" w:name="_Toc17422"/>
      <w:bookmarkStart w:id="5339" w:name="_Toc25909"/>
      <w:r>
        <w:rPr>
          <w:rFonts w:ascii="宋体" w:hAnsi="宋体" w:eastAsia="宋体" w:cs="华文仿宋"/>
          <w:b/>
          <w:bCs/>
          <w:color w:val="auto"/>
          <w:sz w:val="28"/>
          <w:szCs w:val="28"/>
        </w:rPr>
        <w:t>19.1</w:t>
      </w:r>
      <w:r>
        <w:rPr>
          <w:rFonts w:ascii="宋体" w:hAnsi="宋体" w:cs="华文仿宋"/>
          <w:b/>
          <w:bCs/>
          <w:color w:val="auto"/>
          <w:sz w:val="28"/>
          <w:szCs w:val="28"/>
        </w:rPr>
        <w:t>承包人的索赔</w:t>
      </w:r>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340" w:name="_Toc517530952"/>
      <w:bookmarkStart w:id="5341" w:name="_Toc26371"/>
      <w:bookmarkStart w:id="5342" w:name="_Toc11248"/>
      <w:bookmarkStart w:id="5343" w:name="_Toc517532228"/>
      <w:bookmarkStart w:id="5344" w:name="_Toc4810"/>
      <w:bookmarkStart w:id="5345" w:name="_Toc31896"/>
      <w:bookmarkStart w:id="5346" w:name="_Toc5871"/>
      <w:bookmarkStart w:id="5347" w:name="_Toc6108"/>
      <w:bookmarkStart w:id="5348" w:name="_Toc24771"/>
      <w:bookmarkStart w:id="5349" w:name="_Toc16554"/>
      <w:bookmarkStart w:id="5350" w:name="_Toc11294"/>
      <w:bookmarkStart w:id="5351" w:name="_Toc19389"/>
      <w:bookmarkStart w:id="5352" w:name="_Toc19379"/>
      <w:bookmarkStart w:id="5353" w:name="_Toc1703"/>
      <w:bookmarkStart w:id="5354" w:name="_Toc20157"/>
      <w:bookmarkStart w:id="5355" w:name="_Toc6971"/>
      <w:bookmarkStart w:id="5356" w:name="_Toc14762"/>
      <w:bookmarkStart w:id="5357" w:name="_Toc20796"/>
      <w:bookmarkStart w:id="5358" w:name="_Toc13961"/>
      <w:bookmarkStart w:id="5359" w:name="_Toc4582"/>
      <w:r>
        <w:rPr>
          <w:rFonts w:ascii="宋体" w:hAnsi="宋体" w:eastAsia="宋体" w:cs="华文仿宋"/>
          <w:b/>
          <w:bCs/>
          <w:color w:val="auto"/>
          <w:sz w:val="24"/>
          <w:szCs w:val="24"/>
        </w:rPr>
        <w:t>19.1.1</w:t>
      </w:r>
      <w:r>
        <w:rPr>
          <w:rFonts w:ascii="宋体" w:hAnsi="宋体" w:cs="华文仿宋"/>
          <w:b/>
          <w:bCs/>
          <w:color w:val="auto"/>
          <w:sz w:val="24"/>
          <w:szCs w:val="24"/>
        </w:rPr>
        <w:t>索赔通知</w:t>
      </w:r>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即使合同有其他规定，如果承包人根据本合同条款任何条款或其他方面要求索取任何附加支付，承包人应在要求索赔的事件首次发生的</w:t>
      </w:r>
      <w:r>
        <w:rPr>
          <w:rFonts w:ascii="宋体" w:hAnsi="宋体" w:eastAsia="宋体" w:cs="华文仿宋"/>
          <w:color w:val="auto"/>
          <w:szCs w:val="21"/>
          <w:u w:val="single"/>
        </w:rPr>
        <w:t>21</w:t>
      </w:r>
      <w:r>
        <w:rPr>
          <w:rFonts w:ascii="宋体" w:hAnsi="宋体" w:cs="华文仿宋"/>
          <w:color w:val="auto"/>
          <w:szCs w:val="21"/>
        </w:rPr>
        <w:t>天之内将索赔的要求书面通知监理人，并抄送发包人。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360" w:name="_Toc10558"/>
      <w:bookmarkStart w:id="5361" w:name="_Toc12674"/>
      <w:bookmarkStart w:id="5362" w:name="_Toc30490"/>
      <w:bookmarkStart w:id="5363" w:name="_Toc21460"/>
      <w:bookmarkStart w:id="5364" w:name="_Toc7200"/>
      <w:bookmarkStart w:id="5365" w:name="_Toc517530953"/>
      <w:bookmarkStart w:id="5366" w:name="_Toc2712"/>
      <w:bookmarkStart w:id="5367" w:name="_Toc19306"/>
      <w:bookmarkStart w:id="5368" w:name="_Toc29261"/>
      <w:bookmarkStart w:id="5369" w:name="_Toc21765"/>
      <w:bookmarkStart w:id="5370" w:name="_Toc27092"/>
      <w:bookmarkStart w:id="5371" w:name="_Toc2558"/>
      <w:bookmarkStart w:id="5372" w:name="_Toc517532229"/>
      <w:bookmarkStart w:id="5373" w:name="_Toc25034"/>
      <w:bookmarkStart w:id="5374" w:name="_Toc13287"/>
      <w:bookmarkStart w:id="5375" w:name="_Toc29338"/>
      <w:bookmarkStart w:id="5376" w:name="_Toc8483"/>
      <w:bookmarkStart w:id="5377" w:name="_Toc25411"/>
      <w:bookmarkStart w:id="5378" w:name="_Toc32414"/>
      <w:bookmarkStart w:id="5379" w:name="_Toc28965"/>
      <w:r>
        <w:rPr>
          <w:rFonts w:ascii="宋体" w:hAnsi="宋体" w:eastAsia="宋体" w:cs="华文仿宋"/>
          <w:b/>
          <w:bCs/>
          <w:color w:val="auto"/>
          <w:sz w:val="24"/>
          <w:szCs w:val="24"/>
        </w:rPr>
        <w:t>19.1.2</w:t>
      </w:r>
      <w:r>
        <w:rPr>
          <w:rFonts w:ascii="宋体" w:hAnsi="宋体" w:cs="华文仿宋"/>
          <w:b/>
          <w:bCs/>
          <w:color w:val="auto"/>
          <w:sz w:val="24"/>
          <w:szCs w:val="24"/>
        </w:rPr>
        <w:t>索赔的记录</w:t>
      </w:r>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在第</w:t>
      </w:r>
      <w:r>
        <w:rPr>
          <w:rFonts w:ascii="宋体" w:hAnsi="宋体" w:eastAsia="宋体" w:cs="华文仿宋"/>
          <w:color w:val="auto"/>
          <w:szCs w:val="21"/>
        </w:rPr>
        <w:t>19.1.1</w:t>
      </w:r>
      <w:r>
        <w:rPr>
          <w:rFonts w:ascii="宋体" w:hAnsi="宋体" w:cs="华文仿宋"/>
          <w:color w:val="auto"/>
          <w:szCs w:val="21"/>
        </w:rPr>
        <w:t>条所指事件发生时，承包人应保存相关记录，以便合理地证明要申请的索赔。监理人在接到第</w:t>
      </w:r>
      <w:r>
        <w:rPr>
          <w:rFonts w:ascii="宋体" w:hAnsi="宋体" w:eastAsia="宋体" w:cs="华文仿宋"/>
          <w:color w:val="auto"/>
          <w:szCs w:val="21"/>
        </w:rPr>
        <w:t>19.1.1</w:t>
      </w:r>
      <w:r>
        <w:rPr>
          <w:rFonts w:ascii="宋体" w:hAnsi="宋体" w:cs="华文仿宋"/>
          <w:color w:val="auto"/>
          <w:szCs w:val="21"/>
        </w:rPr>
        <w:t>条所述的通知时，不必以承认是否系发包人责任为前提，先应审查这些记录，并可指示承包人进一步作好相关记录，该记录是承包人发出的索赔的重要补充资料。承包人应允许监理人审查根据本款规定而保存的全部记录，并当监理人指令要记录的复制件时，向监理人提交。</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380" w:name="_Toc19263"/>
      <w:bookmarkStart w:id="5381" w:name="_Toc7930"/>
      <w:bookmarkStart w:id="5382" w:name="_Toc20799"/>
      <w:bookmarkStart w:id="5383" w:name="_Toc517530954"/>
      <w:bookmarkStart w:id="5384" w:name="_Toc25798"/>
      <w:bookmarkStart w:id="5385" w:name="_Toc13333"/>
      <w:bookmarkStart w:id="5386" w:name="_Toc14480"/>
      <w:bookmarkStart w:id="5387" w:name="_Toc25231"/>
      <w:bookmarkStart w:id="5388" w:name="_Toc19105"/>
      <w:bookmarkStart w:id="5389" w:name="_Toc11226"/>
      <w:bookmarkStart w:id="5390" w:name="_Toc16511"/>
      <w:bookmarkStart w:id="5391" w:name="_Toc11058"/>
      <w:bookmarkStart w:id="5392" w:name="_Toc18740"/>
      <w:bookmarkStart w:id="5393" w:name="_Toc13906"/>
      <w:bookmarkStart w:id="5394" w:name="_Toc12531"/>
      <w:bookmarkStart w:id="5395" w:name="_Toc16136"/>
      <w:bookmarkStart w:id="5396" w:name="_Toc19405"/>
      <w:bookmarkStart w:id="5397" w:name="_Toc8567"/>
      <w:bookmarkStart w:id="5398" w:name="_Toc517532230"/>
      <w:bookmarkStart w:id="5399" w:name="_Toc26052"/>
      <w:r>
        <w:rPr>
          <w:rFonts w:ascii="宋体" w:hAnsi="宋体" w:eastAsia="宋体" w:cs="华文仿宋"/>
          <w:b/>
          <w:bCs/>
          <w:color w:val="auto"/>
          <w:sz w:val="24"/>
          <w:szCs w:val="24"/>
        </w:rPr>
        <w:t>19.1.3</w:t>
      </w:r>
      <w:r>
        <w:rPr>
          <w:rFonts w:ascii="宋体" w:hAnsi="宋体" w:cs="华文仿宋"/>
          <w:b/>
          <w:bCs/>
          <w:color w:val="auto"/>
          <w:sz w:val="24"/>
          <w:szCs w:val="24"/>
        </w:rPr>
        <w:t>索赔的证明</w:t>
      </w:r>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在根据第</w:t>
      </w:r>
      <w:r>
        <w:rPr>
          <w:rFonts w:ascii="宋体" w:hAnsi="宋体" w:eastAsia="宋体" w:cs="华文仿宋"/>
          <w:color w:val="auto"/>
          <w:szCs w:val="21"/>
        </w:rPr>
        <w:t>19.1.1</w:t>
      </w:r>
      <w:r>
        <w:rPr>
          <w:rFonts w:ascii="宋体" w:hAnsi="宋体" w:cs="华文仿宋"/>
          <w:color w:val="auto"/>
          <w:szCs w:val="21"/>
        </w:rPr>
        <w:t>条规定发出通知后的</w:t>
      </w:r>
      <w:r>
        <w:rPr>
          <w:rFonts w:ascii="宋体" w:hAnsi="宋体" w:eastAsia="宋体" w:cs="华文仿宋"/>
          <w:color w:val="auto"/>
          <w:szCs w:val="21"/>
          <w:u w:val="single"/>
        </w:rPr>
        <w:t>21</w:t>
      </w:r>
      <w:r>
        <w:rPr>
          <w:rFonts w:ascii="宋体" w:hAnsi="宋体" w:cs="华文仿宋"/>
          <w:color w:val="auto"/>
          <w:szCs w:val="21"/>
        </w:rPr>
        <w:t>天内，或在可能得到监理人同意的另一合理期限之内，承包人应向监理人提交一份说明索赔款额的具体细节账目，并说明索赔所依据的理由。在要求索赔的事件具有持续作用的情况下，上述账目应认为是一笔暂时账目，承包人应在监理人合理要求的间隔时间内，送交后来进一步发生的暂时账目和作为索赔依据的进一步理由。在暂时账目陆续送交监理人的条件下，承包人应该在要求索赔事件终止后</w:t>
      </w:r>
      <w:r>
        <w:rPr>
          <w:rFonts w:ascii="宋体" w:hAnsi="宋体" w:eastAsia="宋体" w:cs="华文仿宋"/>
          <w:color w:val="auto"/>
          <w:szCs w:val="21"/>
          <w:u w:val="single"/>
        </w:rPr>
        <w:t>21</w:t>
      </w:r>
      <w:r>
        <w:rPr>
          <w:rFonts w:ascii="宋体" w:hAnsi="宋体" w:cs="华文仿宋"/>
          <w:color w:val="auto"/>
          <w:szCs w:val="21"/>
        </w:rPr>
        <w:t>天之内送出最后账目。如果监理人有此要求，承包人应将根据本款规定送交监理人的全部账目的复制件送交发包人。</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400" w:name="_Toc24226"/>
      <w:bookmarkStart w:id="5401" w:name="_Toc30949"/>
      <w:bookmarkStart w:id="5402" w:name="_Toc11074"/>
      <w:bookmarkStart w:id="5403" w:name="_Toc32617"/>
      <w:bookmarkStart w:id="5404" w:name="_Toc25168"/>
      <w:bookmarkStart w:id="5405" w:name="_Toc16422"/>
      <w:bookmarkStart w:id="5406" w:name="_Toc31573"/>
      <w:bookmarkStart w:id="5407" w:name="_Toc16461"/>
      <w:bookmarkStart w:id="5408" w:name="_Toc24627"/>
      <w:bookmarkStart w:id="5409" w:name="_Toc19617"/>
      <w:bookmarkStart w:id="5410" w:name="_Toc517532231"/>
      <w:bookmarkStart w:id="5411" w:name="_Toc517530955"/>
      <w:bookmarkStart w:id="5412" w:name="_Toc24962"/>
      <w:bookmarkStart w:id="5413" w:name="_Toc21709"/>
      <w:bookmarkStart w:id="5414" w:name="_Toc14108"/>
      <w:bookmarkStart w:id="5415" w:name="_Toc21782"/>
      <w:bookmarkStart w:id="5416" w:name="_Toc9838"/>
      <w:bookmarkStart w:id="5417" w:name="_Toc28619"/>
      <w:bookmarkStart w:id="5418" w:name="_Toc12596"/>
      <w:bookmarkStart w:id="5419" w:name="_Toc17146"/>
      <w:r>
        <w:rPr>
          <w:rFonts w:ascii="宋体" w:hAnsi="宋体" w:eastAsia="宋体" w:cs="华文仿宋"/>
          <w:b/>
          <w:bCs/>
          <w:color w:val="auto"/>
          <w:sz w:val="24"/>
          <w:szCs w:val="24"/>
        </w:rPr>
        <w:t>19.1.4</w:t>
      </w:r>
      <w:r>
        <w:rPr>
          <w:rFonts w:ascii="宋体" w:hAnsi="宋体" w:cs="华文仿宋"/>
          <w:b/>
          <w:bCs/>
          <w:color w:val="auto"/>
          <w:sz w:val="24"/>
          <w:szCs w:val="24"/>
        </w:rPr>
        <w:t>索赔限制</w:t>
      </w:r>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如果承包人提出的任何索赔要求未能遵守本条中有关索赔的各项规定，则承包人有权得到的索赔付款不超过监理人或法院（即按第</w:t>
      </w:r>
      <w:r>
        <w:rPr>
          <w:rFonts w:ascii="宋体" w:hAnsi="宋体" w:eastAsia="宋体" w:cs="华文仿宋"/>
          <w:color w:val="auto"/>
          <w:szCs w:val="21"/>
        </w:rPr>
        <w:t>20</w:t>
      </w:r>
      <w:r>
        <w:rPr>
          <w:rFonts w:ascii="宋体" w:hAnsi="宋体" w:cs="华文仿宋"/>
          <w:color w:val="auto"/>
          <w:szCs w:val="21"/>
        </w:rPr>
        <w:t>条指定的对索赔进行评定者）认为可以按当时记录予以核实的款额。</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420" w:name="_Toc26540"/>
      <w:bookmarkStart w:id="5421" w:name="_Toc6754"/>
      <w:bookmarkStart w:id="5422" w:name="_Toc18211"/>
      <w:bookmarkStart w:id="5423" w:name="_Toc517532232"/>
      <w:bookmarkStart w:id="5424" w:name="_Toc517530956"/>
      <w:bookmarkStart w:id="5425" w:name="_Toc671"/>
      <w:bookmarkStart w:id="5426" w:name="_Toc12204"/>
      <w:bookmarkStart w:id="5427" w:name="_Toc4090"/>
      <w:bookmarkStart w:id="5428" w:name="_Toc26062"/>
      <w:bookmarkStart w:id="5429" w:name="_Toc31682"/>
      <w:bookmarkStart w:id="5430" w:name="_Toc27413"/>
      <w:bookmarkStart w:id="5431" w:name="_Toc26106"/>
      <w:bookmarkStart w:id="5432" w:name="_Toc5176"/>
      <w:bookmarkStart w:id="5433" w:name="_Toc13945"/>
      <w:bookmarkStart w:id="5434" w:name="_Toc5178"/>
      <w:bookmarkStart w:id="5435" w:name="_Toc29585"/>
      <w:bookmarkStart w:id="5436" w:name="_Toc30459"/>
      <w:bookmarkStart w:id="5437" w:name="_Toc29769"/>
      <w:bookmarkStart w:id="5438" w:name="_Toc21893"/>
      <w:bookmarkStart w:id="5439" w:name="_Toc19150"/>
      <w:r>
        <w:rPr>
          <w:rFonts w:ascii="宋体" w:hAnsi="宋体" w:eastAsia="宋体" w:cs="华文仿宋"/>
          <w:b/>
          <w:bCs/>
          <w:color w:val="auto"/>
          <w:sz w:val="24"/>
          <w:szCs w:val="24"/>
        </w:rPr>
        <w:t>19.1.5</w:t>
      </w:r>
      <w:r>
        <w:rPr>
          <w:rFonts w:ascii="宋体" w:hAnsi="宋体" w:cs="华文仿宋"/>
          <w:b/>
          <w:bCs/>
          <w:color w:val="auto"/>
          <w:sz w:val="24"/>
          <w:szCs w:val="24"/>
        </w:rPr>
        <w:t>索赔的支付</w:t>
      </w:r>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监理人应对承包人根据上述各款规定提供的索赔证据和细节账目等有关资料进行审查核实，在与承包人协商并报经发包人批准后，确定承包人有权得到的全部或部分的索赔款额，并列入核签的期中支付证书或最后支付证书内予以支付。监理人应将此决定通知承包人，并抄送发包人。</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如果承包人未能在第</w:t>
      </w:r>
      <w:r>
        <w:rPr>
          <w:rFonts w:ascii="宋体" w:hAnsi="宋体" w:eastAsia="宋体" w:cs="华文仿宋"/>
          <w:color w:val="auto"/>
          <w:szCs w:val="21"/>
        </w:rPr>
        <w:t>19.1.1</w:t>
      </w:r>
      <w:r>
        <w:rPr>
          <w:rFonts w:ascii="宋体" w:hAnsi="宋体" w:cs="华文仿宋"/>
          <w:color w:val="auto"/>
          <w:szCs w:val="21"/>
        </w:rPr>
        <w:t>和</w:t>
      </w:r>
      <w:r>
        <w:rPr>
          <w:rFonts w:ascii="宋体" w:hAnsi="宋体" w:eastAsia="宋体" w:cs="华文仿宋"/>
          <w:color w:val="auto"/>
          <w:szCs w:val="21"/>
        </w:rPr>
        <w:t>19.1.3</w:t>
      </w:r>
      <w:r>
        <w:rPr>
          <w:rFonts w:ascii="宋体" w:hAnsi="宋体" w:cs="华文仿宋"/>
          <w:color w:val="auto"/>
          <w:szCs w:val="21"/>
        </w:rPr>
        <w:t>条规定的时间内，将要求索赔的通知和说明索赔款额的具体细节账目与索赔所依据的理由等证实资料交监理人，则监理人事后可不予受理。</w:t>
      </w:r>
    </w:p>
    <w:p>
      <w:pPr>
        <w:keepNext/>
        <w:keepLines/>
        <w:numPr>
          <w:ilvl w:val="0"/>
          <w:numId w:val="0"/>
        </w:numPr>
        <w:spacing w:before="156" w:after="156" w:line="360" w:lineRule="auto"/>
        <w:ind w:firstLine="728"/>
        <w:outlineLvl w:val="3"/>
        <w:rPr>
          <w:rFonts w:ascii="宋体" w:hAnsi="宋体" w:eastAsia="宋体" w:cs="华文仿宋"/>
          <w:b/>
          <w:bCs/>
          <w:color w:val="auto"/>
          <w:sz w:val="24"/>
          <w:szCs w:val="24"/>
        </w:rPr>
      </w:pPr>
      <w:bookmarkStart w:id="5440" w:name="_Toc25208"/>
      <w:bookmarkStart w:id="5441" w:name="_Toc16659"/>
      <w:bookmarkStart w:id="5442" w:name="_Toc7378"/>
      <w:bookmarkStart w:id="5443" w:name="_Toc517530957"/>
      <w:bookmarkStart w:id="5444" w:name="_Toc28923"/>
      <w:bookmarkStart w:id="5445" w:name="_Toc5247"/>
      <w:bookmarkStart w:id="5446" w:name="_Toc7993"/>
      <w:bookmarkStart w:id="5447" w:name="_Toc16826"/>
      <w:bookmarkStart w:id="5448" w:name="_Toc8531"/>
      <w:bookmarkStart w:id="5449" w:name="_Toc13208"/>
      <w:bookmarkStart w:id="5450" w:name="_Toc32119"/>
      <w:bookmarkStart w:id="5451" w:name="_Toc28482"/>
      <w:bookmarkStart w:id="5452" w:name="_Toc2628"/>
      <w:bookmarkStart w:id="5453" w:name="_Toc30782"/>
      <w:bookmarkStart w:id="5454" w:name="_Toc885"/>
      <w:bookmarkStart w:id="5455" w:name="_Toc18231"/>
      <w:bookmarkStart w:id="5456" w:name="_Toc648"/>
      <w:bookmarkStart w:id="5457" w:name="_Toc19606"/>
      <w:bookmarkStart w:id="5458" w:name="_Toc995"/>
      <w:bookmarkStart w:id="5459" w:name="_Toc517532233"/>
      <w:r>
        <w:rPr>
          <w:rFonts w:ascii="宋体" w:hAnsi="宋体" w:eastAsia="宋体" w:cs="华文仿宋"/>
          <w:b/>
          <w:bCs/>
          <w:color w:val="auto"/>
          <w:sz w:val="24"/>
          <w:szCs w:val="24"/>
        </w:rPr>
        <w:t>19.1.6</w:t>
      </w:r>
      <w:r>
        <w:rPr>
          <w:rFonts w:ascii="宋体" w:hAnsi="宋体" w:cs="华文仿宋"/>
          <w:b/>
          <w:bCs/>
          <w:color w:val="auto"/>
          <w:sz w:val="24"/>
          <w:szCs w:val="24"/>
        </w:rPr>
        <w:t>因发包人原因造成的停工</w:t>
      </w:r>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由于发包人原因造成暂时停工持续</w:t>
      </w:r>
      <w:r>
        <w:rPr>
          <w:rFonts w:ascii="宋体" w:hAnsi="宋体" w:eastAsia="宋体" w:cs="华文仿宋"/>
          <w:color w:val="auto"/>
          <w:szCs w:val="21"/>
        </w:rPr>
        <w:t>63</w:t>
      </w:r>
      <w:r>
        <w:rPr>
          <w:rFonts w:ascii="宋体" w:hAnsi="宋体" w:cs="华文仿宋"/>
          <w:color w:val="auto"/>
          <w:szCs w:val="21"/>
        </w:rPr>
        <w:t>天以上的，双方可以按照情势变更原则，协商停工超过</w:t>
      </w:r>
      <w:r>
        <w:rPr>
          <w:rFonts w:ascii="宋体" w:hAnsi="宋体" w:eastAsia="宋体" w:cs="华文仿宋"/>
          <w:color w:val="auto"/>
          <w:szCs w:val="21"/>
        </w:rPr>
        <w:t>63</w:t>
      </w:r>
      <w:r>
        <w:rPr>
          <w:rFonts w:ascii="宋体" w:hAnsi="宋体" w:cs="华文仿宋"/>
          <w:color w:val="auto"/>
          <w:szCs w:val="21"/>
        </w:rPr>
        <w:t>天以上部分的费用补偿（不计停工后</w:t>
      </w:r>
      <w:r>
        <w:rPr>
          <w:rFonts w:ascii="宋体" w:hAnsi="宋体" w:eastAsia="宋体" w:cs="华文仿宋"/>
          <w:color w:val="auto"/>
          <w:szCs w:val="21"/>
        </w:rPr>
        <w:t>63</w:t>
      </w:r>
      <w:r>
        <w:rPr>
          <w:rFonts w:ascii="宋体" w:hAnsi="宋体" w:cs="华文仿宋"/>
          <w:color w:val="auto"/>
          <w:szCs w:val="21"/>
        </w:rPr>
        <w:t>天之内造成的损失，承包人在停工后</w:t>
      </w:r>
      <w:r>
        <w:rPr>
          <w:rFonts w:ascii="宋体" w:hAnsi="宋体" w:eastAsia="宋体" w:cs="华文仿宋"/>
          <w:color w:val="auto"/>
          <w:szCs w:val="21"/>
        </w:rPr>
        <w:t>63</w:t>
      </w:r>
      <w:r>
        <w:rPr>
          <w:rFonts w:ascii="宋体" w:hAnsi="宋体" w:cs="华文仿宋"/>
          <w:color w:val="auto"/>
          <w:szCs w:val="21"/>
        </w:rPr>
        <w:t>天之内遣散人员、承包人装备、临时工程和材料退场等费用不予补偿）。发包人原因造成的停工仅影响本工程的一部分时，发包人仅对受此停工影响工程的部分造成的损失与承包人协商补偿事宜。由于发包人原因造成暂时停工未持续超过</w:t>
      </w:r>
      <w:r>
        <w:rPr>
          <w:rFonts w:ascii="宋体" w:hAnsi="宋体" w:eastAsia="宋体" w:cs="华文仿宋"/>
          <w:color w:val="auto"/>
          <w:szCs w:val="21"/>
        </w:rPr>
        <w:t>63</w:t>
      </w:r>
      <w:r>
        <w:rPr>
          <w:rFonts w:ascii="宋体" w:hAnsi="宋体" w:cs="华文仿宋"/>
          <w:color w:val="auto"/>
          <w:szCs w:val="21"/>
        </w:rPr>
        <w:t>天的，费用不予补偿。</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发包人原因导致持续暂时停工情况发生时，承包人应采取有效措施将损失降到最低，否则造成的额外损失由承包人承担，发包人不予补偿。承包人应采取的有效措施包括但不限于遣散不必要的承包人职员和工人、安排不必要的承包人装备、临时工程和材料退场等。承包人的应对措施在征得发包人同意后，应及时将暂时停工</w:t>
      </w:r>
      <w:r>
        <w:rPr>
          <w:rFonts w:ascii="宋体" w:hAnsi="宋体" w:eastAsia="宋体" w:cs="华文仿宋"/>
          <w:color w:val="auto"/>
          <w:szCs w:val="21"/>
        </w:rPr>
        <w:t>63</w:t>
      </w:r>
      <w:r>
        <w:rPr>
          <w:rFonts w:ascii="宋体" w:hAnsi="宋体" w:cs="华文仿宋"/>
          <w:color w:val="auto"/>
          <w:szCs w:val="21"/>
        </w:rPr>
        <w:t>天之后涉及费用预算报送发包人，作为双方协商补偿事宜的依据；承包人不执行监理人或发包人指令以降低损失的，由此造成的损失发包人不予补偿。</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承包人不得提出无理高价索赔，不得以此为由暂停不受影响工程的施工，或拒绝执行监理人或发包人的指令，否则发包人可对承包人予以记录不良行为。</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460" w:name="_Toc31389"/>
      <w:bookmarkStart w:id="5461" w:name="_Toc30380"/>
      <w:bookmarkStart w:id="5462" w:name="_Toc30105"/>
      <w:bookmarkStart w:id="5463" w:name="_Toc7514"/>
      <w:bookmarkStart w:id="5464" w:name="_Toc31154"/>
      <w:bookmarkStart w:id="5465" w:name="_Toc303"/>
      <w:bookmarkStart w:id="5466" w:name="_Toc517532234"/>
      <w:bookmarkStart w:id="5467" w:name="_Toc28060"/>
      <w:bookmarkStart w:id="5468" w:name="_Toc20557"/>
      <w:bookmarkStart w:id="5469" w:name="_Toc2479"/>
      <w:bookmarkStart w:id="5470" w:name="_Toc14157"/>
      <w:bookmarkStart w:id="5471" w:name="_Toc19439"/>
      <w:bookmarkStart w:id="5472" w:name="_Toc11601"/>
      <w:bookmarkStart w:id="5473" w:name="_Toc19197"/>
      <w:bookmarkStart w:id="5474" w:name="_Toc517530958"/>
      <w:bookmarkStart w:id="5475" w:name="_Toc465237137"/>
      <w:bookmarkStart w:id="5476" w:name="_Toc28202"/>
      <w:bookmarkStart w:id="5477" w:name="_Toc18413"/>
      <w:bookmarkStart w:id="5478" w:name="_Toc24853"/>
      <w:bookmarkStart w:id="5479" w:name="_Toc19492"/>
      <w:bookmarkStart w:id="5480" w:name="_Toc2114"/>
      <w:bookmarkStart w:id="5481" w:name="_Toc465237234"/>
      <w:bookmarkStart w:id="5482" w:name="_Toc517528759"/>
      <w:r>
        <w:rPr>
          <w:rFonts w:ascii="宋体" w:hAnsi="宋体" w:eastAsia="宋体" w:cs="华文仿宋"/>
          <w:b/>
          <w:bCs/>
          <w:color w:val="auto"/>
          <w:sz w:val="28"/>
          <w:szCs w:val="28"/>
        </w:rPr>
        <w:t>19.2</w:t>
      </w:r>
      <w:r>
        <w:rPr>
          <w:rFonts w:ascii="宋体" w:hAnsi="宋体" w:cs="华文仿宋"/>
          <w:b/>
          <w:bCs/>
          <w:color w:val="auto"/>
          <w:sz w:val="28"/>
          <w:szCs w:val="28"/>
        </w:rPr>
        <w:t>发包人的索赔</w:t>
      </w:r>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根据本合同的有关规定，发包人如果认为有权得到任何付款和（或）对履约担保期限的任何延长，发包人应在了解引起索赔事项或情况后</w:t>
      </w:r>
      <w:r>
        <w:rPr>
          <w:rFonts w:ascii="宋体" w:hAnsi="宋体" w:eastAsia="宋体" w:cs="华文仿宋"/>
          <w:color w:val="auto"/>
          <w:szCs w:val="21"/>
        </w:rPr>
        <w:t>7</w:t>
      </w:r>
      <w:r>
        <w:rPr>
          <w:rFonts w:ascii="宋体" w:hAnsi="宋体" w:cs="华文仿宋"/>
          <w:color w:val="auto"/>
          <w:szCs w:val="21"/>
        </w:rPr>
        <w:t>天内发出索赔通知，关于履约担保期限延长的通知应在该期限到期前</w:t>
      </w:r>
      <w:r>
        <w:rPr>
          <w:rFonts w:ascii="宋体" w:hAnsi="宋体" w:eastAsia="宋体" w:cs="华文仿宋"/>
          <w:color w:val="auto"/>
          <w:szCs w:val="21"/>
        </w:rPr>
        <w:t>14</w:t>
      </w:r>
      <w:r>
        <w:rPr>
          <w:rFonts w:ascii="宋体" w:hAnsi="宋体" w:cs="华文仿宋"/>
          <w:color w:val="auto"/>
          <w:szCs w:val="21"/>
        </w:rPr>
        <w:t>天内发出。上述通知应详细说明提出索赔依据的合同条款或其他依据，还应说明根据合同发包人有权得到索赔金额和（或）延长期限的事实根据。监理人在充分了解和与发包人或承包人沟通后，合理确定发包人有权得到的由承包人支付的金额（如果有），和（或）延长履约担保的期限（如果有），并有权在当期（或最后）支付证书中作为扣减项进行冲销或扣除，或另外对承包人提出索赔。</w:t>
      </w:r>
    </w:p>
    <w:p>
      <w:pPr>
        <w:snapToGrid w:val="0"/>
        <w:spacing w:line="360" w:lineRule="auto"/>
        <w:ind w:firstLine="420"/>
        <w:jc w:val="left"/>
        <w:rPr>
          <w:rFonts w:ascii="宋体" w:hAnsi="宋体" w:eastAsia="宋体" w:cs="华文仿宋"/>
          <w:color w:val="auto"/>
          <w:szCs w:val="21"/>
        </w:rPr>
      </w:pPr>
      <w:r>
        <w:rPr>
          <w:rFonts w:ascii="宋体" w:hAnsi="宋体" w:cs="华文仿宋"/>
          <w:color w:val="auto"/>
          <w:szCs w:val="21"/>
        </w:rPr>
        <w:t>本款的履行不影响发包人对合同其他条款权利的缩小或免除。</w:t>
      </w:r>
      <w:bookmarkStart w:id="5483" w:name="_Toc296503140"/>
      <w:bookmarkEnd w:id="5483"/>
      <w:bookmarkStart w:id="5484" w:name="_Toc296346641"/>
      <w:bookmarkEnd w:id="5484"/>
      <w:bookmarkStart w:id="5485" w:name="_Toc337558835"/>
      <w:bookmarkEnd w:id="5485"/>
    </w:p>
    <w:p>
      <w:pPr>
        <w:keepNext/>
        <w:keepLines/>
        <w:numPr>
          <w:ilvl w:val="0"/>
          <w:numId w:val="0"/>
        </w:numPr>
        <w:spacing w:before="156" w:after="156" w:line="360" w:lineRule="auto"/>
        <w:ind w:firstLine="602"/>
        <w:outlineLvl w:val="1"/>
        <w:rPr>
          <w:rFonts w:ascii="宋体" w:hAnsi="宋体" w:eastAsia="宋体" w:cs="华文仿宋"/>
          <w:b/>
          <w:bCs/>
          <w:color w:val="auto"/>
          <w:sz w:val="30"/>
          <w:szCs w:val="30"/>
        </w:rPr>
      </w:pPr>
      <w:bookmarkStart w:id="5486" w:name="_Toc351203626"/>
      <w:bookmarkStart w:id="5487" w:name="_Toc1609"/>
      <w:bookmarkStart w:id="5488" w:name="_Toc32757"/>
      <w:bookmarkStart w:id="5489" w:name="_Toc10309"/>
      <w:bookmarkStart w:id="5490" w:name="_Toc2768"/>
      <w:bookmarkStart w:id="5491" w:name="_Toc15976"/>
      <w:bookmarkStart w:id="5492" w:name="_Toc24314"/>
      <w:bookmarkStart w:id="5493" w:name="_Toc4957"/>
      <w:bookmarkStart w:id="5494" w:name="_Toc21992"/>
      <w:bookmarkStart w:id="5495" w:name="_Toc517532235"/>
      <w:bookmarkStart w:id="5496" w:name="_Toc19499"/>
      <w:bookmarkStart w:id="5497" w:name="_Toc517528760"/>
      <w:bookmarkStart w:id="5498" w:name="_Toc517529753"/>
      <w:bookmarkStart w:id="5499" w:name="_Toc21670"/>
      <w:bookmarkStart w:id="5500" w:name="_Toc22602"/>
      <w:bookmarkStart w:id="5501" w:name="_Toc465237138"/>
      <w:bookmarkStart w:id="5502" w:name="_Toc5046"/>
      <w:bookmarkStart w:id="5503" w:name="_Toc14626"/>
      <w:bookmarkStart w:id="5504" w:name="_Toc3004"/>
      <w:bookmarkStart w:id="5505" w:name="_Toc32715"/>
      <w:bookmarkStart w:id="5506" w:name="_Toc465237235"/>
      <w:bookmarkStart w:id="5507" w:name="_Toc517530959"/>
      <w:bookmarkStart w:id="5508" w:name="_Toc19133"/>
      <w:bookmarkStart w:id="5509" w:name="_Toc27214"/>
      <w:bookmarkStart w:id="5510" w:name="_Toc11803"/>
      <w:r>
        <w:rPr>
          <w:rFonts w:ascii="宋体" w:hAnsi="宋体" w:eastAsia="宋体" w:cs="华文仿宋"/>
          <w:b/>
          <w:bCs/>
          <w:color w:val="auto"/>
          <w:sz w:val="30"/>
          <w:szCs w:val="30"/>
        </w:rPr>
        <w:t>20.</w:t>
      </w:r>
      <w:bookmarkEnd w:id="5486"/>
      <w:r>
        <w:rPr>
          <w:rFonts w:ascii="宋体" w:hAnsi="宋体" w:eastAsia="宋体" w:cs="华文仿宋"/>
          <w:b/>
          <w:bCs/>
          <w:color w:val="auto"/>
          <w:sz w:val="30"/>
          <w:szCs w:val="30"/>
        </w:rPr>
        <w:t xml:space="preserve"> </w:t>
      </w:r>
      <w:r>
        <w:rPr>
          <w:rFonts w:ascii="宋体" w:hAnsi="宋体" w:cs="华文仿宋"/>
          <w:b/>
          <w:bCs/>
          <w:color w:val="auto"/>
          <w:sz w:val="30"/>
          <w:szCs w:val="30"/>
        </w:rPr>
        <w:t>争议解决</w:t>
      </w:r>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511" w:name="_Toc6133"/>
      <w:bookmarkStart w:id="5512" w:name="_Toc19807"/>
      <w:bookmarkStart w:id="5513" w:name="_Toc32614"/>
      <w:bookmarkStart w:id="5514" w:name="_Toc31231"/>
      <w:bookmarkStart w:id="5515" w:name="_Toc13201"/>
      <w:bookmarkStart w:id="5516" w:name="_Toc16846"/>
      <w:bookmarkStart w:id="5517" w:name="_Toc20171"/>
      <w:bookmarkStart w:id="5518" w:name="_Toc32077"/>
      <w:bookmarkStart w:id="5519" w:name="_Toc3382"/>
      <w:bookmarkStart w:id="5520" w:name="_Toc2664"/>
      <w:bookmarkStart w:id="5521" w:name="_Toc32024"/>
      <w:bookmarkStart w:id="5522" w:name="_Toc31546"/>
      <w:bookmarkStart w:id="5523" w:name="_Toc29970"/>
      <w:bookmarkStart w:id="5524" w:name="_Toc12441"/>
      <w:bookmarkStart w:id="5525" w:name="_Toc23804"/>
      <w:bookmarkStart w:id="5526" w:name="_Toc4130"/>
      <w:bookmarkStart w:id="5527" w:name="_Toc8372"/>
      <w:bookmarkStart w:id="5528" w:name="_Toc465237236"/>
      <w:bookmarkStart w:id="5529" w:name="_Toc517532236"/>
      <w:bookmarkStart w:id="5530" w:name="_Toc517528761"/>
      <w:bookmarkStart w:id="5531" w:name="_Toc517530960"/>
      <w:bookmarkStart w:id="5532" w:name="_Toc27606"/>
      <w:r>
        <w:rPr>
          <w:rFonts w:ascii="宋体" w:hAnsi="宋体" w:eastAsia="宋体" w:cs="华文仿宋"/>
          <w:b/>
          <w:bCs/>
          <w:color w:val="auto"/>
          <w:sz w:val="28"/>
          <w:szCs w:val="28"/>
        </w:rPr>
        <w:t>20.1</w:t>
      </w:r>
      <w:r>
        <w:rPr>
          <w:rFonts w:ascii="宋体" w:hAnsi="宋体" w:cs="华文仿宋"/>
          <w:b/>
          <w:bCs/>
          <w:color w:val="auto"/>
          <w:sz w:val="28"/>
          <w:szCs w:val="28"/>
        </w:rPr>
        <w:t>监理人的裁定</w:t>
      </w:r>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承包人和发包人因本合同工程产生的任何争端，首先应书面提交监理人解决，并抄送另一方，此提交文件应写明是根据本条规定作出的。监理人在收到该提交件后</w:t>
      </w:r>
      <w:r>
        <w:rPr>
          <w:rFonts w:ascii="宋体" w:hAnsi="宋体" w:eastAsia="宋体" w:cs="华文仿宋"/>
          <w:color w:val="auto"/>
          <w:szCs w:val="21"/>
        </w:rPr>
        <w:t>42</w:t>
      </w:r>
      <w:r>
        <w:rPr>
          <w:rFonts w:ascii="宋体" w:hAnsi="宋体" w:cs="华文仿宋"/>
          <w:color w:val="auto"/>
          <w:szCs w:val="21"/>
        </w:rPr>
        <w:t>天之内应将自己的裁定通知发包人和承包人。此裁定应写明是根据本条规定作出的。</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除非合同已被终止，承包人无论在什么情况下都应尽一切努力继续完成本工程。而且承包人和发包人应使监理人的上述每一项裁定付诸实施，除非到该裁定按第</w:t>
      </w:r>
      <w:r>
        <w:rPr>
          <w:rFonts w:ascii="宋体" w:hAnsi="宋体" w:eastAsia="宋体" w:cs="华文仿宋"/>
          <w:color w:val="auto"/>
          <w:szCs w:val="21"/>
        </w:rPr>
        <w:t>20.2</w:t>
      </w:r>
      <w:r>
        <w:rPr>
          <w:rFonts w:ascii="宋体" w:hAnsi="宋体" w:cs="华文仿宋"/>
          <w:color w:val="auto"/>
          <w:szCs w:val="21"/>
        </w:rPr>
        <w:t>或</w:t>
      </w:r>
      <w:r>
        <w:rPr>
          <w:rFonts w:ascii="宋体" w:hAnsi="宋体" w:eastAsia="宋体" w:cs="华文仿宋"/>
          <w:color w:val="auto"/>
          <w:szCs w:val="21"/>
        </w:rPr>
        <w:t>20.3</w:t>
      </w:r>
      <w:r>
        <w:rPr>
          <w:rFonts w:ascii="宋体" w:hAnsi="宋体" w:cs="华文仿宋"/>
          <w:color w:val="auto"/>
          <w:szCs w:val="21"/>
        </w:rPr>
        <w:t>条规定的方式作出更改。</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如果监理人已将其对此争端的裁定通知了发包人或承包人，而发包人和承包人在收到该通知之日起的</w:t>
      </w:r>
      <w:r>
        <w:rPr>
          <w:rFonts w:ascii="宋体" w:hAnsi="宋体" w:eastAsia="宋体" w:cs="华文仿宋"/>
          <w:color w:val="auto"/>
          <w:szCs w:val="21"/>
        </w:rPr>
        <w:t>42</w:t>
      </w:r>
      <w:r>
        <w:rPr>
          <w:rFonts w:ascii="宋体" w:hAnsi="宋体" w:cs="华文仿宋"/>
          <w:color w:val="auto"/>
          <w:szCs w:val="21"/>
        </w:rPr>
        <w:t>天当天或之前，任何一方均未向其提出要求按第</w:t>
      </w:r>
      <w:r>
        <w:rPr>
          <w:rFonts w:ascii="宋体" w:hAnsi="宋体" w:eastAsia="宋体" w:cs="华文仿宋"/>
          <w:color w:val="auto"/>
          <w:szCs w:val="21"/>
        </w:rPr>
        <w:t>20.2</w:t>
      </w:r>
      <w:r>
        <w:rPr>
          <w:rFonts w:ascii="宋体" w:hAnsi="宋体" w:cs="华文仿宋"/>
          <w:color w:val="auto"/>
          <w:szCs w:val="21"/>
        </w:rPr>
        <w:t>条双方进行友好协商或通过双方上级主管部门进行调解；或者在上述协商或调解达不成协议后的</w:t>
      </w:r>
      <w:r>
        <w:rPr>
          <w:rFonts w:ascii="宋体" w:hAnsi="宋体" w:eastAsia="宋体" w:cs="华文仿宋"/>
          <w:color w:val="auto"/>
          <w:szCs w:val="21"/>
        </w:rPr>
        <w:t>42</w:t>
      </w:r>
      <w:r>
        <w:rPr>
          <w:rFonts w:ascii="宋体" w:hAnsi="宋体" w:cs="华文仿宋"/>
          <w:color w:val="auto"/>
          <w:szCs w:val="21"/>
        </w:rPr>
        <w:t>天当天或以前，任何一方均未通知另一方提出要求按第</w:t>
      </w:r>
      <w:r>
        <w:rPr>
          <w:rFonts w:ascii="宋体" w:hAnsi="宋体" w:eastAsia="宋体" w:cs="华文仿宋"/>
          <w:color w:val="auto"/>
          <w:szCs w:val="21"/>
        </w:rPr>
        <w:t>20.3</w:t>
      </w:r>
      <w:r>
        <w:rPr>
          <w:rFonts w:ascii="宋体" w:hAnsi="宋体" w:cs="华文仿宋"/>
          <w:color w:val="auto"/>
          <w:szCs w:val="21"/>
        </w:rPr>
        <w:t>条开始起诉的意向，则监理人的上述裁定应是最后的裁定；并对发包人和承包人均有约束力。</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533" w:name="_Toc3860"/>
      <w:bookmarkStart w:id="5534" w:name="_Toc17550"/>
      <w:bookmarkStart w:id="5535" w:name="_Toc465237237"/>
      <w:bookmarkStart w:id="5536" w:name="_Toc24874"/>
      <w:bookmarkStart w:id="5537" w:name="_Toc517532237"/>
      <w:bookmarkStart w:id="5538" w:name="_Toc12755"/>
      <w:bookmarkStart w:id="5539" w:name="_Toc17221"/>
      <w:bookmarkStart w:id="5540" w:name="_Toc17014"/>
      <w:bookmarkStart w:id="5541" w:name="_Toc27465"/>
      <w:bookmarkStart w:id="5542" w:name="_Toc30309"/>
      <w:bookmarkStart w:id="5543" w:name="_Toc10701"/>
      <w:bookmarkStart w:id="5544" w:name="_Toc31940"/>
      <w:bookmarkStart w:id="5545" w:name="_Toc12414"/>
      <w:bookmarkStart w:id="5546" w:name="_Toc31299"/>
      <w:bookmarkStart w:id="5547" w:name="_Toc27890"/>
      <w:bookmarkStart w:id="5548" w:name="_Toc517528762"/>
      <w:bookmarkStart w:id="5549" w:name="_Toc11050"/>
      <w:bookmarkStart w:id="5550" w:name="_Toc14814"/>
      <w:bookmarkStart w:id="5551" w:name="_Toc14632"/>
      <w:bookmarkStart w:id="5552" w:name="_Toc19575"/>
      <w:bookmarkStart w:id="5553" w:name="_Toc14862"/>
      <w:bookmarkStart w:id="5554" w:name="_Toc517530961"/>
      <w:r>
        <w:rPr>
          <w:rFonts w:ascii="宋体" w:hAnsi="宋体" w:eastAsia="宋体" w:cs="华文仿宋"/>
          <w:b/>
          <w:bCs/>
          <w:color w:val="auto"/>
          <w:sz w:val="28"/>
          <w:szCs w:val="28"/>
        </w:rPr>
        <w:t>20.2</w:t>
      </w:r>
      <w:r>
        <w:rPr>
          <w:rFonts w:ascii="宋体" w:hAnsi="宋体" w:cs="华文仿宋"/>
          <w:b/>
          <w:bCs/>
          <w:color w:val="auto"/>
          <w:sz w:val="28"/>
          <w:szCs w:val="28"/>
        </w:rPr>
        <w:t>友好协商或上级调解</w:t>
      </w:r>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如果发包人或承包人对监理人的裁定有异议，或如果监理人在收到提交件后</w:t>
      </w:r>
      <w:r>
        <w:rPr>
          <w:rFonts w:ascii="宋体" w:hAnsi="宋体" w:eastAsia="宋体" w:cs="华文仿宋"/>
          <w:color w:val="auto"/>
          <w:szCs w:val="21"/>
        </w:rPr>
        <w:t>42</w:t>
      </w:r>
      <w:r>
        <w:rPr>
          <w:rFonts w:ascii="宋体" w:hAnsi="宋体" w:cs="华文仿宋"/>
          <w:color w:val="auto"/>
          <w:szCs w:val="21"/>
        </w:rPr>
        <w:t>天当天或之前，没有发出自己的裁定通知，则双方可就争端事项进行友好协商或通过双方上级主管部门进行调解。协商或调解应在收到监理人发出的裁定通知或监理发出裁定通知规定的期限到期后的</w:t>
      </w:r>
      <w:r>
        <w:rPr>
          <w:rFonts w:ascii="宋体" w:hAnsi="宋体" w:eastAsia="宋体" w:cs="华文仿宋"/>
          <w:color w:val="auto"/>
          <w:szCs w:val="21"/>
        </w:rPr>
        <w:t>42</w:t>
      </w:r>
      <w:r>
        <w:rPr>
          <w:rFonts w:ascii="宋体" w:hAnsi="宋体" w:cs="华文仿宋"/>
          <w:color w:val="auto"/>
          <w:szCs w:val="21"/>
        </w:rPr>
        <w:t>天内进行。通过协商或调解如能达成书面协议，双方都应执行，对发包人和承包人均有约束力，该协议应送监理人一份。</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555" w:name="_Toc517530962"/>
      <w:bookmarkStart w:id="5556" w:name="_Toc32398"/>
      <w:bookmarkStart w:id="5557" w:name="_Toc29735"/>
      <w:bookmarkStart w:id="5558" w:name="_Toc12589"/>
      <w:bookmarkStart w:id="5559" w:name="_Toc2457"/>
      <w:bookmarkStart w:id="5560" w:name="_Toc28500"/>
      <w:bookmarkStart w:id="5561" w:name="_Toc10194"/>
      <w:bookmarkStart w:id="5562" w:name="_Toc16530"/>
      <w:bookmarkStart w:id="5563" w:name="_Toc20304"/>
      <w:bookmarkStart w:id="5564" w:name="_Toc30273"/>
      <w:bookmarkStart w:id="5565" w:name="_Toc30792"/>
      <w:bookmarkStart w:id="5566" w:name="_Toc3661"/>
      <w:bookmarkStart w:id="5567" w:name="_Toc23592"/>
      <w:bookmarkStart w:id="5568" w:name="_Toc5617"/>
      <w:bookmarkStart w:id="5569" w:name="_Toc517528763"/>
      <w:bookmarkStart w:id="5570" w:name="_Toc8222"/>
      <w:bookmarkStart w:id="5571" w:name="_Toc465237238"/>
      <w:bookmarkStart w:id="5572" w:name="_Toc23982"/>
      <w:bookmarkStart w:id="5573" w:name="_Toc14613"/>
      <w:bookmarkStart w:id="5574" w:name="_Toc29187"/>
      <w:bookmarkStart w:id="5575" w:name="_Toc517532238"/>
      <w:bookmarkStart w:id="5576" w:name="_Toc5930"/>
      <w:r>
        <w:rPr>
          <w:rFonts w:ascii="宋体" w:hAnsi="宋体" w:eastAsia="宋体" w:cs="华文仿宋"/>
          <w:b/>
          <w:bCs/>
          <w:color w:val="auto"/>
          <w:sz w:val="28"/>
          <w:szCs w:val="28"/>
        </w:rPr>
        <w:t>20.3</w:t>
      </w:r>
      <w:r>
        <w:rPr>
          <w:rFonts w:ascii="宋体" w:hAnsi="宋体" w:cs="华文仿宋"/>
          <w:b/>
          <w:bCs/>
          <w:color w:val="auto"/>
          <w:sz w:val="28"/>
          <w:szCs w:val="28"/>
        </w:rPr>
        <w:t>管辖及法律适用</w:t>
      </w:r>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如果在</w:t>
      </w:r>
      <w:r>
        <w:rPr>
          <w:rFonts w:ascii="宋体" w:hAnsi="宋体" w:eastAsia="宋体" w:cs="华文仿宋"/>
          <w:color w:val="auto"/>
          <w:szCs w:val="21"/>
        </w:rPr>
        <w:t>20.2</w:t>
      </w:r>
      <w:r>
        <w:rPr>
          <w:rFonts w:ascii="宋体" w:hAnsi="宋体" w:cs="华文仿宋"/>
          <w:color w:val="auto"/>
          <w:szCs w:val="21"/>
        </w:rPr>
        <w:t>条规定的期限内，双方进行友好协商或通过上级主管部门进行调解未能达成协议，则发包人或承包人任何一方可以提起诉讼，并在协商或调解达不成协议后的</w:t>
      </w:r>
      <w:r>
        <w:rPr>
          <w:rFonts w:ascii="宋体" w:hAnsi="宋体" w:eastAsia="宋体" w:cs="华文仿宋"/>
          <w:color w:val="auto"/>
          <w:szCs w:val="21"/>
        </w:rPr>
        <w:t>42</w:t>
      </w:r>
      <w:r>
        <w:rPr>
          <w:rFonts w:ascii="宋体" w:hAnsi="宋体" w:cs="华文仿宋"/>
          <w:color w:val="auto"/>
          <w:szCs w:val="21"/>
        </w:rPr>
        <w:t>天当天或以前将其通过诉讼解决纠纷的意向通知另一方，并抄送给监理人。诉讼应由工程所在地的人民法院管辖，并适用中华人民共和国的法律（不包括香港、澳门、台湾地区的法律）。</w:t>
      </w:r>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诉讼可以在竣工之前或之后进行，但发包人、监理人和承包人各自的义务不得因在工程实施期间进行诉讼而有所改变。如果诉讼是在终止合同的情况下进行，则对合同工程应采用保护措施，措施费由败诉方承担。</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577" w:name="_Toc10385"/>
      <w:bookmarkStart w:id="5578" w:name="_Toc11369"/>
      <w:bookmarkStart w:id="5579" w:name="_Toc27619"/>
      <w:bookmarkStart w:id="5580" w:name="_Toc517530963"/>
      <w:bookmarkStart w:id="5581" w:name="_Toc28623"/>
      <w:bookmarkStart w:id="5582" w:name="_Toc517528764"/>
      <w:bookmarkStart w:id="5583" w:name="_Toc30443"/>
      <w:bookmarkStart w:id="5584" w:name="_Toc31778"/>
      <w:bookmarkStart w:id="5585" w:name="_Toc465237239"/>
      <w:bookmarkStart w:id="5586" w:name="_Toc7607"/>
      <w:bookmarkStart w:id="5587" w:name="_Toc13682"/>
      <w:bookmarkStart w:id="5588" w:name="_Toc14374"/>
      <w:bookmarkStart w:id="5589" w:name="_Toc15880"/>
      <w:bookmarkStart w:id="5590" w:name="_Toc9236"/>
      <w:bookmarkStart w:id="5591" w:name="_Toc23015"/>
      <w:bookmarkStart w:id="5592" w:name="_Toc14898"/>
      <w:bookmarkStart w:id="5593" w:name="_Toc28575"/>
      <w:bookmarkStart w:id="5594" w:name="_Toc28189"/>
      <w:bookmarkStart w:id="5595" w:name="_Toc517532239"/>
      <w:bookmarkStart w:id="5596" w:name="_Toc23564"/>
      <w:bookmarkStart w:id="5597" w:name="_Toc1587"/>
      <w:bookmarkStart w:id="5598" w:name="_Toc17516"/>
      <w:r>
        <w:rPr>
          <w:rFonts w:ascii="宋体" w:hAnsi="宋体" w:eastAsia="宋体" w:cs="华文仿宋"/>
          <w:b/>
          <w:bCs/>
          <w:color w:val="auto"/>
          <w:sz w:val="28"/>
          <w:szCs w:val="28"/>
        </w:rPr>
        <w:t>20.4</w:t>
      </w:r>
      <w:r>
        <w:rPr>
          <w:rFonts w:ascii="宋体" w:hAnsi="宋体" w:cs="华文仿宋"/>
          <w:b/>
          <w:bCs/>
          <w:color w:val="auto"/>
          <w:sz w:val="28"/>
          <w:szCs w:val="28"/>
        </w:rPr>
        <w:t>未能遵守裁定或协议</w:t>
      </w:r>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p>
    <w:p>
      <w:pPr>
        <w:spacing w:line="360" w:lineRule="auto"/>
        <w:ind w:firstLine="420"/>
        <w:jc w:val="left"/>
        <w:rPr>
          <w:rFonts w:ascii="宋体" w:hAnsi="宋体" w:eastAsia="宋体" w:cs="华文仿宋"/>
          <w:color w:val="auto"/>
          <w:szCs w:val="21"/>
        </w:rPr>
      </w:pPr>
      <w:r>
        <w:rPr>
          <w:rFonts w:ascii="宋体" w:hAnsi="宋体" w:cs="华文仿宋"/>
          <w:color w:val="auto"/>
          <w:szCs w:val="21"/>
        </w:rPr>
        <w:t>在第</w:t>
      </w:r>
      <w:r>
        <w:rPr>
          <w:rFonts w:ascii="宋体" w:hAnsi="宋体" w:eastAsia="宋体" w:cs="华文仿宋"/>
          <w:color w:val="auto"/>
          <w:szCs w:val="21"/>
        </w:rPr>
        <w:t>20.1</w:t>
      </w:r>
      <w:r>
        <w:rPr>
          <w:rFonts w:ascii="宋体" w:hAnsi="宋体" w:cs="华文仿宋"/>
          <w:color w:val="auto"/>
          <w:szCs w:val="21"/>
        </w:rPr>
        <w:t>、</w:t>
      </w:r>
      <w:r>
        <w:rPr>
          <w:rFonts w:ascii="宋体" w:hAnsi="宋体" w:eastAsia="宋体" w:cs="华文仿宋"/>
          <w:color w:val="auto"/>
          <w:szCs w:val="21"/>
        </w:rPr>
        <w:t>20.2</w:t>
      </w:r>
      <w:r>
        <w:rPr>
          <w:rFonts w:ascii="宋体" w:hAnsi="宋体" w:cs="华文仿宋"/>
          <w:color w:val="auto"/>
          <w:szCs w:val="21"/>
        </w:rPr>
        <w:t>条规定的期限之内，发包人和承包人都未发出对争端要求开始起诉的通知，且上述有关的裁定或协议已经成为最后的有约束力的情况下，如果任何一方未能遵守这样的裁定或协议，则另一方可在不损害对方可能具有的任何其他权利的情况下，根据第</w:t>
      </w:r>
      <w:r>
        <w:rPr>
          <w:rFonts w:ascii="宋体" w:hAnsi="宋体" w:eastAsia="宋体" w:cs="华文仿宋"/>
          <w:color w:val="auto"/>
          <w:szCs w:val="21"/>
        </w:rPr>
        <w:t>20.3</w:t>
      </w:r>
      <w:r>
        <w:rPr>
          <w:rFonts w:ascii="宋体" w:hAnsi="宋体" w:cs="华文仿宋"/>
          <w:color w:val="auto"/>
          <w:szCs w:val="21"/>
        </w:rPr>
        <w:t>条的规定将未能遵守监理人裁定或不执行双方友好协商或双方上级主管部门调解达成书面协议的事项提交诉讼，在此情况下，第</w:t>
      </w:r>
      <w:r>
        <w:rPr>
          <w:rFonts w:ascii="宋体" w:hAnsi="宋体" w:eastAsia="宋体" w:cs="华文仿宋"/>
          <w:color w:val="auto"/>
          <w:szCs w:val="21"/>
        </w:rPr>
        <w:t>20.1</w:t>
      </w:r>
      <w:r>
        <w:rPr>
          <w:rFonts w:ascii="宋体" w:hAnsi="宋体" w:cs="华文仿宋"/>
          <w:color w:val="auto"/>
          <w:szCs w:val="21"/>
        </w:rPr>
        <w:t>和</w:t>
      </w:r>
      <w:r>
        <w:rPr>
          <w:rFonts w:ascii="宋体" w:hAnsi="宋体" w:eastAsia="宋体" w:cs="华文仿宋"/>
          <w:color w:val="auto"/>
          <w:szCs w:val="21"/>
        </w:rPr>
        <w:t>20.2</w:t>
      </w:r>
      <w:r>
        <w:rPr>
          <w:rFonts w:ascii="宋体" w:hAnsi="宋体" w:cs="华文仿宋"/>
          <w:color w:val="auto"/>
          <w:szCs w:val="21"/>
        </w:rPr>
        <w:t>条的各项规定应不适用于任何这样的提交件。</w:t>
      </w:r>
    </w:p>
    <w:p>
      <w:pPr>
        <w:keepNext/>
        <w:keepLines/>
        <w:numPr>
          <w:ilvl w:val="0"/>
          <w:numId w:val="0"/>
        </w:numPr>
        <w:spacing w:before="156" w:after="156" w:line="360" w:lineRule="auto"/>
        <w:ind w:firstLine="562"/>
        <w:outlineLvl w:val="2"/>
        <w:rPr>
          <w:rFonts w:ascii="宋体" w:hAnsi="宋体" w:eastAsia="宋体" w:cs="华文仿宋"/>
          <w:b/>
          <w:bCs/>
          <w:color w:val="auto"/>
          <w:sz w:val="28"/>
          <w:szCs w:val="28"/>
        </w:rPr>
      </w:pPr>
      <w:bookmarkStart w:id="5599" w:name="_Toc4961"/>
      <w:bookmarkStart w:id="5600" w:name="_Toc200"/>
      <w:bookmarkStart w:id="5601" w:name="_Toc1998"/>
      <w:bookmarkStart w:id="5602" w:name="_Toc3957"/>
      <w:bookmarkStart w:id="5603" w:name="_Toc7014"/>
      <w:bookmarkStart w:id="5604" w:name="_Toc28314"/>
      <w:bookmarkStart w:id="5605" w:name="_Toc11555"/>
      <w:bookmarkStart w:id="5606" w:name="_Toc517528765"/>
      <w:bookmarkStart w:id="5607" w:name="_Toc31979"/>
      <w:bookmarkStart w:id="5608" w:name="_Toc27031"/>
      <w:bookmarkStart w:id="5609" w:name="_Toc20354"/>
      <w:bookmarkStart w:id="5610" w:name="_Toc971"/>
      <w:bookmarkStart w:id="5611" w:name="_Toc517530964"/>
      <w:bookmarkStart w:id="5612" w:name="_Toc10533"/>
      <w:bookmarkStart w:id="5613" w:name="_Toc31199"/>
      <w:bookmarkStart w:id="5614" w:name="_Toc2513"/>
      <w:bookmarkStart w:id="5615" w:name="_Toc15348"/>
      <w:bookmarkStart w:id="5616" w:name="_Toc30854"/>
      <w:bookmarkStart w:id="5617" w:name="_Toc465237240"/>
      <w:bookmarkStart w:id="5618" w:name="_Toc16749"/>
      <w:bookmarkStart w:id="5619" w:name="_Toc9554"/>
      <w:bookmarkStart w:id="5620" w:name="_Toc517532240"/>
      <w:r>
        <w:rPr>
          <w:rFonts w:ascii="宋体" w:hAnsi="宋体" w:eastAsia="宋体" w:cs="华文仿宋"/>
          <w:b/>
          <w:bCs/>
          <w:color w:val="auto"/>
          <w:sz w:val="28"/>
          <w:szCs w:val="28"/>
        </w:rPr>
        <w:t>20.5</w:t>
      </w:r>
      <w:r>
        <w:rPr>
          <w:rFonts w:ascii="宋体" w:hAnsi="宋体" w:cs="华文仿宋"/>
          <w:b/>
          <w:bCs/>
          <w:color w:val="auto"/>
          <w:sz w:val="28"/>
          <w:szCs w:val="28"/>
        </w:rPr>
        <w:t>诉讼费用</w:t>
      </w:r>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p>
    <w:p>
      <w:pPr>
        <w:rPr>
          <w:rFonts w:ascii="宋体" w:hAnsi="宋体" w:eastAsia="宋体" w:cs="华文仿宋"/>
          <w:color w:val="auto"/>
          <w:szCs w:val="21"/>
        </w:rPr>
        <w:sectPr>
          <w:footerReference r:id="rId6" w:type="default"/>
          <w:pgSz w:w="11906" w:h="16838"/>
          <w:pgMar w:top="1440" w:right="1800" w:bottom="1440" w:left="1800" w:header="0" w:footer="992" w:gutter="0"/>
          <w:pgNumType w:fmt="decimal"/>
          <w:cols w:space="720" w:num="1"/>
          <w:formProt w:val="0"/>
          <w:docGrid w:type="lines" w:linePitch="312" w:charSpace="0"/>
        </w:sectPr>
      </w:pPr>
      <w:r>
        <w:rPr>
          <w:rFonts w:ascii="宋体" w:hAnsi="宋体" w:cs="华文仿宋"/>
          <w:color w:val="auto"/>
          <w:szCs w:val="21"/>
        </w:rPr>
        <w:t>按第</w:t>
      </w:r>
      <w:r>
        <w:rPr>
          <w:rFonts w:ascii="宋体" w:hAnsi="宋体" w:eastAsia="宋体" w:cs="华文仿宋"/>
          <w:color w:val="auto"/>
          <w:szCs w:val="21"/>
        </w:rPr>
        <w:t>20.3</w:t>
      </w:r>
      <w:r>
        <w:rPr>
          <w:rFonts w:ascii="宋体" w:hAnsi="宋体" w:cs="华文仿宋"/>
          <w:color w:val="auto"/>
          <w:szCs w:val="21"/>
        </w:rPr>
        <w:t>和</w:t>
      </w:r>
      <w:r>
        <w:rPr>
          <w:rFonts w:ascii="宋体" w:hAnsi="宋体" w:eastAsia="宋体" w:cs="华文仿宋"/>
          <w:color w:val="auto"/>
          <w:szCs w:val="21"/>
        </w:rPr>
        <w:t>20.4</w:t>
      </w:r>
      <w:r>
        <w:rPr>
          <w:rFonts w:ascii="宋体" w:hAnsi="宋体" w:cs="华文仿宋"/>
          <w:color w:val="auto"/>
          <w:szCs w:val="21"/>
        </w:rPr>
        <w:t>条规定，任何争端的问题如经法院判决，则其诉讼费用应由败诉方承担；或按法院判决的比例分</w:t>
      </w:r>
      <w:bookmarkStart w:id="5621" w:name="_Toc337558840"/>
      <w:bookmarkEnd w:id="5621"/>
      <w:bookmarkStart w:id="5622" w:name="_Toc296503146"/>
      <w:bookmarkEnd w:id="5622"/>
      <w:bookmarkStart w:id="5623" w:name="_Toc296346647"/>
      <w:bookmarkEnd w:id="5623"/>
      <w:r>
        <w:rPr>
          <w:rFonts w:ascii="宋体" w:hAnsi="宋体" w:cs="华文仿宋"/>
          <w:color w:val="auto"/>
          <w:szCs w:val="21"/>
        </w:rPr>
        <w:t>担</w:t>
      </w:r>
    </w:p>
    <w:p>
      <w:pPr>
        <w:pStyle w:val="3"/>
        <w:numPr>
          <w:ilvl w:val="0"/>
          <w:numId w:val="13"/>
        </w:numPr>
        <w:ind w:left="0" w:firstLine="0"/>
        <w:rPr>
          <w:rFonts w:ascii="宋体" w:hAnsi="宋体" w:eastAsia="宋体" w:cs="宋体"/>
          <w:color w:val="auto"/>
        </w:rPr>
      </w:pPr>
      <w:bookmarkStart w:id="5624" w:name="_Toc30480"/>
      <w:bookmarkStart w:id="5625" w:name="_Toc8514"/>
      <w:bookmarkStart w:id="5626" w:name="_Toc10512"/>
      <w:bookmarkStart w:id="5627" w:name="_Toc17968"/>
      <w:r>
        <w:rPr>
          <w:rFonts w:ascii="宋体" w:hAnsi="宋体" w:eastAsia="宋体" w:cs="宋体"/>
          <w:color w:val="auto"/>
        </w:rPr>
        <w:t>合同专用条件</w:t>
      </w:r>
      <w:bookmarkEnd w:id="5624"/>
      <w:bookmarkEnd w:id="5625"/>
      <w:bookmarkEnd w:id="5626"/>
      <w:bookmarkEnd w:id="5627"/>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5628" w:name="_Toc1317"/>
      <w:bookmarkStart w:id="5629" w:name="_Toc29394"/>
      <w:bookmarkStart w:id="5630" w:name="_Toc517532243"/>
      <w:bookmarkStart w:id="5631" w:name="_Toc6972"/>
      <w:bookmarkStart w:id="5632" w:name="_Toc28334"/>
      <w:bookmarkStart w:id="5633" w:name="_Toc18047"/>
      <w:bookmarkStart w:id="5634" w:name="_Toc16777"/>
      <w:bookmarkStart w:id="5635" w:name="_Toc351203633"/>
      <w:bookmarkStart w:id="5636" w:name="_Toc517528768"/>
      <w:bookmarkStart w:id="5637" w:name="_Toc465237140"/>
      <w:bookmarkStart w:id="5638" w:name="_Toc465237242"/>
      <w:bookmarkStart w:id="5639" w:name="_Toc32016"/>
      <w:bookmarkStart w:id="5640" w:name="_Toc11531"/>
      <w:bookmarkStart w:id="5641" w:name="_Toc16463"/>
      <w:bookmarkStart w:id="5642" w:name="_Toc18893"/>
      <w:bookmarkStart w:id="5643" w:name="_Toc19629"/>
      <w:bookmarkStart w:id="5644" w:name="_Toc25533"/>
      <w:bookmarkStart w:id="5645" w:name="_Toc22205"/>
      <w:bookmarkStart w:id="5646" w:name="_Toc19305"/>
      <w:bookmarkStart w:id="5647" w:name="_Toc517530967"/>
      <w:bookmarkStart w:id="5648" w:name="_Toc517529756"/>
      <w:bookmarkStart w:id="5649" w:name="_Toc18256"/>
      <w:bookmarkStart w:id="5650" w:name="_Toc8658"/>
      <w:bookmarkStart w:id="5651" w:name="_Toc3052"/>
      <w:bookmarkStart w:id="5652" w:name="_Toc27851"/>
      <w:r>
        <w:rPr>
          <w:rFonts w:ascii="宋体" w:hAnsi="宋体" w:cs="宋体"/>
          <w:b/>
          <w:bCs/>
          <w:color w:val="auto"/>
          <w:sz w:val="30"/>
          <w:szCs w:val="30"/>
        </w:rPr>
        <w:t>1. 一般约定</w:t>
      </w:r>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Start w:id="5653" w:name="_Toc296503156"/>
      <w:bookmarkEnd w:id="5653"/>
      <w:bookmarkStart w:id="5654" w:name="_Toc296891196"/>
      <w:bookmarkEnd w:id="5654"/>
      <w:bookmarkStart w:id="5655" w:name="_Toc296890984"/>
      <w:bookmarkEnd w:id="5655"/>
      <w:bookmarkStart w:id="5656" w:name="_Toc296347155"/>
      <w:bookmarkEnd w:id="5656"/>
      <w:bookmarkStart w:id="5657" w:name="_Toc297048342"/>
      <w:bookmarkEnd w:id="5657"/>
      <w:bookmarkStart w:id="5658" w:name="_Toc297120456"/>
      <w:bookmarkEnd w:id="5658"/>
      <w:bookmarkStart w:id="5659" w:name="_Toc296346657"/>
      <w:bookmarkEnd w:id="5659"/>
      <w:bookmarkStart w:id="5660" w:name="_Toc292559866"/>
      <w:bookmarkEnd w:id="5660"/>
      <w:bookmarkStart w:id="5661" w:name="_Toc296944495"/>
      <w:bookmarkEnd w:id="5661"/>
      <w:bookmarkStart w:id="5662" w:name="_Toc292559361"/>
      <w:bookmarkEnd w:id="5662"/>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663" w:name="_Toc517530968"/>
      <w:bookmarkStart w:id="5664" w:name="_Toc18433"/>
      <w:bookmarkStart w:id="5665" w:name="_Toc7408"/>
      <w:bookmarkStart w:id="5666" w:name="_Toc8800"/>
      <w:bookmarkStart w:id="5667" w:name="_Toc517528769"/>
      <w:bookmarkStart w:id="5668" w:name="_Toc21725"/>
      <w:bookmarkStart w:id="5669" w:name="_Toc32671"/>
      <w:bookmarkStart w:id="5670" w:name="_Toc30401"/>
      <w:bookmarkStart w:id="5671" w:name="_Toc1280"/>
      <w:bookmarkStart w:id="5672" w:name="_Toc32709"/>
      <w:bookmarkStart w:id="5673" w:name="_Toc16944"/>
      <w:bookmarkStart w:id="5674" w:name="_Toc5618"/>
      <w:bookmarkStart w:id="5675" w:name="_Toc1987"/>
      <w:bookmarkStart w:id="5676" w:name="_Toc23920"/>
      <w:bookmarkStart w:id="5677" w:name="_Toc26482"/>
      <w:bookmarkStart w:id="5678" w:name="_Toc8975"/>
      <w:bookmarkStart w:id="5679" w:name="_Toc517532244"/>
      <w:bookmarkStart w:id="5680" w:name="_Toc16256"/>
      <w:bookmarkStart w:id="5681" w:name="_Toc17727"/>
      <w:bookmarkStart w:id="5682" w:name="_Toc3820"/>
      <w:bookmarkStart w:id="5683" w:name="_Toc2652"/>
      <w:r>
        <w:rPr>
          <w:rFonts w:ascii="宋体" w:hAnsi="宋体" w:cs="宋体"/>
          <w:b/>
          <w:bCs/>
          <w:color w:val="auto"/>
          <w:sz w:val="28"/>
          <w:szCs w:val="28"/>
        </w:rPr>
        <w:t>1.1 定义</w:t>
      </w:r>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p>
    <w:p>
      <w:pPr>
        <w:spacing w:line="360" w:lineRule="auto"/>
        <w:ind w:firstLine="420"/>
        <w:rPr>
          <w:rFonts w:ascii="宋体" w:hAnsi="宋体" w:cs="宋体"/>
          <w:color w:val="auto"/>
          <w:szCs w:val="21"/>
        </w:rPr>
      </w:pPr>
      <w:r>
        <w:rPr>
          <w:rFonts w:ascii="宋体" w:hAnsi="宋体" w:cs="宋体"/>
          <w:color w:val="auto"/>
          <w:szCs w:val="21"/>
        </w:rPr>
        <w:t>注：此处可增设关于设计单位、勘察单位、项目管理公司等相关主体的定义和职责。</w:t>
      </w:r>
    </w:p>
    <w:p>
      <w:pPr>
        <w:numPr>
          <w:ilvl w:val="0"/>
          <w:numId w:val="0"/>
        </w:numPr>
        <w:spacing w:line="360" w:lineRule="auto"/>
        <w:ind w:firstLine="422"/>
        <w:outlineLvl w:val="3"/>
        <w:rPr>
          <w:rFonts w:ascii="宋体" w:hAnsi="宋体" w:cs="宋体"/>
          <w:b/>
          <w:bCs/>
          <w:color w:val="auto"/>
          <w:szCs w:val="21"/>
        </w:rPr>
      </w:pPr>
      <w:bookmarkStart w:id="5684" w:name="_Toc29870"/>
      <w:bookmarkStart w:id="5685" w:name="_Toc9207"/>
      <w:bookmarkStart w:id="5686" w:name="_Toc5408"/>
      <w:bookmarkStart w:id="5687" w:name="_Toc26739"/>
      <w:bookmarkStart w:id="5688" w:name="_Toc15242"/>
      <w:bookmarkStart w:id="5689" w:name="_Toc517530969"/>
      <w:bookmarkStart w:id="5690" w:name="_Toc2897"/>
      <w:bookmarkStart w:id="5691" w:name="_Toc19381"/>
      <w:bookmarkStart w:id="5692" w:name="_Toc17915"/>
      <w:bookmarkStart w:id="5693" w:name="_Toc517532245"/>
      <w:bookmarkStart w:id="5694" w:name="_Toc22066"/>
      <w:bookmarkStart w:id="5695" w:name="_Toc8209"/>
      <w:bookmarkStart w:id="5696" w:name="_Toc31680"/>
      <w:bookmarkStart w:id="5697" w:name="_Toc30290"/>
      <w:bookmarkStart w:id="5698" w:name="_Toc1120"/>
      <w:bookmarkStart w:id="5699" w:name="_Toc21869"/>
      <w:bookmarkStart w:id="5700" w:name="_Toc5235"/>
      <w:bookmarkStart w:id="5701" w:name="_Toc2600"/>
      <w:bookmarkStart w:id="5702" w:name="_Toc14016"/>
      <w:bookmarkStart w:id="5703" w:name="_Toc1790"/>
      <w:r>
        <w:rPr>
          <w:rFonts w:ascii="宋体" w:hAnsi="宋体" w:cs="宋体"/>
          <w:b/>
          <w:bCs/>
          <w:color w:val="auto"/>
          <w:szCs w:val="21"/>
        </w:rPr>
        <w:t>1.1.1合同</w:t>
      </w:r>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p>
    <w:p>
      <w:pPr>
        <w:spacing w:line="360" w:lineRule="auto"/>
        <w:ind w:firstLine="420"/>
        <w:rPr>
          <w:rFonts w:ascii="宋体" w:hAnsi="宋体" w:cs="宋体"/>
          <w:color w:val="auto"/>
          <w:szCs w:val="21"/>
          <w:u w:val="single"/>
        </w:rPr>
      </w:pPr>
      <w:r>
        <w:rPr>
          <w:rFonts w:ascii="宋体" w:hAnsi="宋体" w:cs="宋体"/>
          <w:color w:val="auto"/>
          <w:szCs w:val="21"/>
        </w:rPr>
        <w:t>构成合同组成部分的其他文件</w:t>
      </w:r>
      <w:r>
        <w:rPr>
          <w:rFonts w:ascii="宋体" w:hAnsi="宋体" w:cs="宋体"/>
          <w:color w:val="auto"/>
          <w:kern w:val="0"/>
          <w:szCs w:val="21"/>
        </w:rPr>
        <w:t>：</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704" w:name="_Toc501"/>
      <w:bookmarkStart w:id="5705" w:name="_Toc11308"/>
      <w:bookmarkStart w:id="5706" w:name="_Toc517530970"/>
      <w:bookmarkStart w:id="5707" w:name="_Toc29424"/>
      <w:bookmarkStart w:id="5708" w:name="_Toc14314"/>
      <w:bookmarkStart w:id="5709" w:name="_Toc30574"/>
      <w:bookmarkStart w:id="5710" w:name="_Toc517532246"/>
      <w:bookmarkStart w:id="5711" w:name="_Toc11212"/>
      <w:bookmarkStart w:id="5712" w:name="_Toc10543"/>
      <w:bookmarkStart w:id="5713" w:name="_Toc20667"/>
      <w:bookmarkStart w:id="5714" w:name="_Toc6224"/>
      <w:bookmarkStart w:id="5715" w:name="_Toc1980"/>
      <w:bookmarkStart w:id="5716" w:name="_Toc28874"/>
      <w:bookmarkStart w:id="5717" w:name="_Toc4850"/>
      <w:bookmarkStart w:id="5718" w:name="_Toc31176"/>
      <w:bookmarkStart w:id="5719" w:name="_Toc17585"/>
      <w:bookmarkStart w:id="5720" w:name="_Toc14271"/>
      <w:bookmarkStart w:id="5721" w:name="_Toc24753"/>
      <w:bookmarkStart w:id="5722" w:name="_Toc3528"/>
      <w:bookmarkStart w:id="5723" w:name="_Toc17300"/>
      <w:bookmarkStart w:id="5724" w:name="_Toc517528770"/>
      <w:r>
        <w:rPr>
          <w:rFonts w:ascii="宋体" w:hAnsi="宋体" w:cs="宋体"/>
          <w:b/>
          <w:bCs/>
          <w:color w:val="auto"/>
          <w:sz w:val="28"/>
          <w:szCs w:val="28"/>
        </w:rPr>
        <w:t>1.3法律和法规</w:t>
      </w:r>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p>
    <w:p>
      <w:pPr>
        <w:spacing w:line="360" w:lineRule="auto"/>
        <w:ind w:firstLine="420"/>
        <w:jc w:val="left"/>
        <w:rPr>
          <w:rFonts w:ascii="宋体" w:hAnsi="宋体" w:cs="宋体"/>
          <w:color w:val="auto"/>
          <w:szCs w:val="21"/>
        </w:rPr>
      </w:pPr>
      <w:r>
        <w:rPr>
          <w:rFonts w:ascii="宋体" w:hAnsi="宋体" w:cs="宋体"/>
          <w:color w:val="auto"/>
          <w:szCs w:val="21"/>
        </w:rPr>
        <w:t>适用于合同的其他规范性文件：</w:t>
      </w:r>
      <w:r>
        <w:rPr>
          <w:rFonts w:ascii="宋体" w:hAnsi="宋体" w:cs="宋体"/>
          <w:color w:val="auto"/>
          <w:szCs w:val="21"/>
          <w:u w:val="single"/>
        </w:rPr>
        <w:t xml:space="preserve">                            </w:t>
      </w:r>
      <w:r>
        <w:rPr>
          <w:rFonts w:ascii="宋体" w:hAnsi="宋体" w:cs="宋体"/>
          <w:color w:val="auto"/>
          <w:szCs w:val="21"/>
        </w:rPr>
        <w:t>。</w:t>
      </w:r>
      <w:bookmarkStart w:id="5725" w:name="_Toc23492"/>
      <w:bookmarkStart w:id="5726" w:name="_Toc8903"/>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727" w:name="_Toc28548"/>
      <w:bookmarkStart w:id="5728" w:name="_Toc13816"/>
      <w:bookmarkStart w:id="5729" w:name="_Toc517532247"/>
      <w:bookmarkStart w:id="5730" w:name="_Toc20585"/>
      <w:bookmarkStart w:id="5731" w:name="_Toc26408"/>
      <w:bookmarkStart w:id="5732" w:name="_Toc12951"/>
      <w:bookmarkStart w:id="5733" w:name="_Toc517530971"/>
      <w:bookmarkStart w:id="5734" w:name="_Toc11334"/>
      <w:bookmarkStart w:id="5735" w:name="_Toc18183"/>
      <w:bookmarkStart w:id="5736" w:name="_Toc12431"/>
      <w:bookmarkStart w:id="5737" w:name="_Toc457"/>
      <w:bookmarkStart w:id="5738" w:name="_Toc517528771"/>
      <w:r>
        <w:rPr>
          <w:rFonts w:ascii="宋体" w:hAnsi="宋体" w:cs="宋体"/>
          <w:b/>
          <w:bCs/>
          <w:color w:val="auto"/>
          <w:sz w:val="28"/>
          <w:szCs w:val="28"/>
        </w:rPr>
        <w:t>1.4 标准和规范</w:t>
      </w:r>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p>
    <w:p>
      <w:pPr>
        <w:spacing w:line="360" w:lineRule="auto"/>
        <w:ind w:firstLine="420"/>
        <w:rPr>
          <w:rFonts w:ascii="宋体" w:hAnsi="宋体" w:cs="宋体"/>
          <w:color w:val="auto"/>
          <w:szCs w:val="21"/>
        </w:rPr>
      </w:pPr>
      <w:r>
        <w:rPr>
          <w:rFonts w:ascii="宋体" w:hAnsi="宋体" w:cs="宋体"/>
          <w:color w:val="auto"/>
          <w:szCs w:val="21"/>
        </w:rPr>
        <w:t>适用于工程的特别标准或规范：</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739" w:name="_Toc13723"/>
      <w:bookmarkStart w:id="5740" w:name="_Toc5265"/>
      <w:bookmarkStart w:id="5741" w:name="_Toc5552"/>
      <w:bookmarkStart w:id="5742" w:name="_Toc7574"/>
      <w:bookmarkStart w:id="5743" w:name="_Toc11848"/>
      <w:bookmarkStart w:id="5744" w:name="_Toc22817"/>
      <w:bookmarkStart w:id="5745" w:name="_Toc12386"/>
      <w:bookmarkStart w:id="5746" w:name="_Toc9916"/>
      <w:bookmarkStart w:id="5747" w:name="_Toc517530972"/>
      <w:bookmarkStart w:id="5748" w:name="_Toc517528772"/>
      <w:bookmarkStart w:id="5749" w:name="_Toc12706"/>
      <w:bookmarkStart w:id="5750" w:name="_Toc23441"/>
      <w:bookmarkStart w:id="5751" w:name="_Toc18338"/>
      <w:bookmarkStart w:id="5752" w:name="_Toc32047"/>
      <w:bookmarkStart w:id="5753" w:name="_Toc9122"/>
      <w:bookmarkStart w:id="5754" w:name="_Toc16662"/>
      <w:bookmarkStart w:id="5755" w:name="_Toc4548"/>
      <w:bookmarkStart w:id="5756" w:name="_Toc27536"/>
      <w:bookmarkStart w:id="5757" w:name="_Toc517532248"/>
      <w:bookmarkStart w:id="5758" w:name="_Toc11173"/>
      <w:bookmarkStart w:id="5759" w:name="_Toc10883"/>
      <w:r>
        <w:rPr>
          <w:rFonts w:ascii="宋体" w:hAnsi="宋体" w:cs="宋体"/>
          <w:b/>
          <w:bCs/>
          <w:color w:val="auto"/>
          <w:sz w:val="28"/>
          <w:szCs w:val="28"/>
        </w:rPr>
        <w:t>1.7 联络</w:t>
      </w:r>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p>
    <w:p>
      <w:pPr>
        <w:spacing w:line="360" w:lineRule="auto"/>
        <w:ind w:firstLine="420"/>
        <w:rPr>
          <w:rFonts w:ascii="宋体" w:hAnsi="宋体" w:cs="宋体"/>
          <w:color w:val="auto"/>
          <w:kern w:val="0"/>
          <w:szCs w:val="21"/>
        </w:rPr>
      </w:pPr>
      <w:r>
        <w:rPr>
          <w:rFonts w:ascii="宋体" w:hAnsi="宋体" w:cs="宋体"/>
          <w:color w:val="auto"/>
          <w:kern w:val="0"/>
          <w:szCs w:val="21"/>
        </w:rPr>
        <w:t>发包人和承包人应当在</w:t>
      </w:r>
      <w:r>
        <w:rPr>
          <w:rFonts w:ascii="宋体" w:hAnsi="宋体" w:cs="宋体"/>
          <w:color w:val="auto"/>
          <w:kern w:val="0"/>
          <w:szCs w:val="21"/>
          <w:u w:val="single"/>
        </w:rPr>
        <w:t xml:space="preserve">    </w:t>
      </w:r>
      <w:r>
        <w:rPr>
          <w:rFonts w:ascii="宋体" w:hAnsi="宋体" w:cs="宋体"/>
          <w:color w:val="auto"/>
          <w:kern w:val="0"/>
          <w:szCs w:val="21"/>
        </w:rPr>
        <w:t>天内将与合同有关的通知、批准、证明、证书、指示、指令、要求、请求、同意、意见、确定和决定等书面函件送达对方当事人。</w:t>
      </w:r>
    </w:p>
    <w:p>
      <w:pPr>
        <w:spacing w:line="360" w:lineRule="auto"/>
        <w:ind w:firstLine="420"/>
        <w:rPr>
          <w:rFonts w:ascii="宋体" w:hAnsi="宋体" w:cs="宋体"/>
          <w:color w:val="auto"/>
          <w:kern w:val="0"/>
          <w:szCs w:val="21"/>
        </w:rPr>
      </w:pPr>
      <w:r>
        <w:rPr>
          <w:rFonts w:ascii="宋体" w:hAnsi="宋体" w:cs="宋体"/>
          <w:color w:val="auto"/>
          <w:kern w:val="0"/>
          <w:szCs w:val="21"/>
        </w:rPr>
        <w:t>发包人接收文件的地点：</w:t>
      </w:r>
      <w:r>
        <w:rPr>
          <w:rFonts w:ascii="宋体" w:hAnsi="宋体" w:cs="宋体"/>
          <w:color w:val="auto"/>
          <w:kern w:val="0"/>
          <w:szCs w:val="21"/>
          <w:u w:val="single"/>
        </w:rPr>
        <w:t xml:space="preserve">                      </w:t>
      </w:r>
      <w:r>
        <w:rPr>
          <w:rFonts w:ascii="宋体" w:hAnsi="宋体" w:cs="宋体"/>
          <w:color w:val="auto"/>
          <w:kern w:val="0"/>
          <w:szCs w:val="21"/>
        </w:rPr>
        <w:t>；</w:t>
      </w:r>
    </w:p>
    <w:p>
      <w:pPr>
        <w:spacing w:line="360" w:lineRule="auto"/>
        <w:ind w:firstLine="420"/>
        <w:rPr>
          <w:rFonts w:ascii="宋体" w:hAnsi="宋体" w:cs="宋体"/>
          <w:color w:val="auto"/>
          <w:kern w:val="0"/>
          <w:szCs w:val="21"/>
        </w:rPr>
      </w:pPr>
      <w:r>
        <w:rPr>
          <w:rFonts w:ascii="宋体" w:hAnsi="宋体" w:cs="宋体"/>
          <w:color w:val="auto"/>
          <w:kern w:val="0"/>
          <w:szCs w:val="21"/>
        </w:rPr>
        <w:t>发包人指定的接收人为：</w:t>
      </w:r>
      <w:r>
        <w:rPr>
          <w:rFonts w:ascii="宋体" w:hAnsi="宋体" w:cs="宋体"/>
          <w:color w:val="auto"/>
          <w:kern w:val="0"/>
          <w:szCs w:val="21"/>
          <w:u w:val="single"/>
        </w:rPr>
        <w:t xml:space="preserve">                       </w:t>
      </w:r>
      <w:r>
        <w:rPr>
          <w:rFonts w:ascii="宋体" w:hAnsi="宋体" w:cs="宋体"/>
          <w:color w:val="auto"/>
          <w:kern w:val="0"/>
          <w:szCs w:val="21"/>
        </w:rPr>
        <w:t>。</w:t>
      </w:r>
    </w:p>
    <w:p>
      <w:pPr>
        <w:spacing w:line="360" w:lineRule="auto"/>
        <w:ind w:firstLine="420"/>
        <w:rPr>
          <w:rFonts w:ascii="宋体" w:hAnsi="宋体" w:cs="宋体"/>
          <w:color w:val="auto"/>
          <w:kern w:val="0"/>
          <w:szCs w:val="21"/>
        </w:rPr>
      </w:pPr>
      <w:r>
        <w:rPr>
          <w:rFonts w:ascii="宋体" w:hAnsi="宋体" w:cs="宋体"/>
          <w:color w:val="auto"/>
          <w:kern w:val="0"/>
          <w:szCs w:val="21"/>
        </w:rPr>
        <w:t>承包人接收文件的地点：</w:t>
      </w:r>
      <w:r>
        <w:rPr>
          <w:rFonts w:ascii="宋体" w:hAnsi="宋体" w:cs="宋体"/>
          <w:color w:val="auto"/>
          <w:kern w:val="0"/>
          <w:szCs w:val="21"/>
          <w:u w:val="single"/>
        </w:rPr>
        <w:t xml:space="preserve">                       </w:t>
      </w:r>
      <w:r>
        <w:rPr>
          <w:rFonts w:ascii="宋体" w:hAnsi="宋体" w:cs="宋体"/>
          <w:color w:val="auto"/>
          <w:kern w:val="0"/>
          <w:szCs w:val="21"/>
        </w:rPr>
        <w:t>；</w:t>
      </w:r>
    </w:p>
    <w:p>
      <w:pPr>
        <w:spacing w:line="360" w:lineRule="auto"/>
        <w:ind w:firstLine="420"/>
        <w:rPr>
          <w:rFonts w:ascii="宋体" w:hAnsi="宋体" w:cs="宋体"/>
          <w:color w:val="auto"/>
          <w:kern w:val="0"/>
          <w:szCs w:val="21"/>
        </w:rPr>
      </w:pPr>
      <w:r>
        <w:rPr>
          <w:rFonts w:ascii="宋体" w:hAnsi="宋体" w:cs="宋体"/>
          <w:color w:val="auto"/>
          <w:kern w:val="0"/>
          <w:szCs w:val="21"/>
        </w:rPr>
        <w:t>承包人指定的接收人为：</w:t>
      </w:r>
      <w:r>
        <w:rPr>
          <w:rFonts w:ascii="宋体" w:hAnsi="宋体" w:cs="宋体"/>
          <w:color w:val="auto"/>
          <w:kern w:val="0"/>
          <w:szCs w:val="21"/>
          <w:u w:val="single"/>
        </w:rPr>
        <w:t xml:space="preserve">                       </w:t>
      </w:r>
      <w:r>
        <w:rPr>
          <w:rFonts w:ascii="宋体" w:hAnsi="宋体" w:cs="宋体"/>
          <w:color w:val="auto"/>
          <w:kern w:val="0"/>
          <w:szCs w:val="21"/>
        </w:rPr>
        <w:t>。</w:t>
      </w:r>
    </w:p>
    <w:p>
      <w:pPr>
        <w:spacing w:line="360" w:lineRule="auto"/>
        <w:ind w:firstLine="420"/>
        <w:rPr>
          <w:rFonts w:ascii="宋体" w:hAnsi="宋体" w:cs="宋体"/>
          <w:color w:val="auto"/>
          <w:kern w:val="0"/>
          <w:szCs w:val="21"/>
        </w:rPr>
      </w:pPr>
      <w:r>
        <w:rPr>
          <w:rFonts w:ascii="宋体" w:hAnsi="宋体" w:cs="宋体"/>
          <w:color w:val="auto"/>
          <w:kern w:val="0"/>
          <w:szCs w:val="21"/>
        </w:rPr>
        <w:t>监理人接收文件的地点：</w:t>
      </w:r>
      <w:r>
        <w:rPr>
          <w:rFonts w:ascii="宋体" w:hAnsi="宋体" w:cs="宋体"/>
          <w:color w:val="auto"/>
          <w:kern w:val="0"/>
          <w:szCs w:val="21"/>
          <w:u w:val="single"/>
        </w:rPr>
        <w:t xml:space="preserve">                       </w:t>
      </w:r>
      <w:r>
        <w:rPr>
          <w:rFonts w:ascii="宋体" w:hAnsi="宋体" w:cs="宋体"/>
          <w:color w:val="auto"/>
          <w:kern w:val="0"/>
          <w:szCs w:val="21"/>
        </w:rPr>
        <w:t>；</w:t>
      </w:r>
    </w:p>
    <w:p>
      <w:pPr>
        <w:spacing w:line="360" w:lineRule="auto"/>
        <w:ind w:firstLine="420"/>
        <w:rPr>
          <w:rFonts w:ascii="宋体" w:hAnsi="宋体" w:cs="宋体"/>
          <w:color w:val="auto"/>
          <w:kern w:val="0"/>
          <w:szCs w:val="21"/>
        </w:rPr>
      </w:pPr>
      <w:r>
        <w:rPr>
          <w:rFonts w:ascii="宋体" w:hAnsi="宋体" w:cs="宋体"/>
          <w:color w:val="auto"/>
          <w:kern w:val="0"/>
          <w:szCs w:val="21"/>
        </w:rPr>
        <w:t>监理人指定的接收人为：</w:t>
      </w:r>
      <w:r>
        <w:rPr>
          <w:rFonts w:ascii="宋体" w:hAnsi="宋体" w:cs="宋体"/>
          <w:color w:val="auto"/>
          <w:kern w:val="0"/>
          <w:szCs w:val="21"/>
          <w:u w:val="single"/>
        </w:rPr>
        <w:t xml:space="preserve">                       </w:t>
      </w:r>
      <w:r>
        <w:rPr>
          <w:rFonts w:ascii="宋体" w:hAnsi="宋体" w:cs="宋体"/>
          <w:color w:val="auto"/>
          <w:kern w:val="0"/>
          <w:szCs w:val="21"/>
        </w:rPr>
        <w:t>。</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760" w:name="_Toc517528773"/>
      <w:bookmarkStart w:id="5761" w:name="_Toc16768"/>
      <w:bookmarkStart w:id="5762" w:name="_Toc517532249"/>
      <w:bookmarkStart w:id="5763" w:name="_Toc1952"/>
      <w:bookmarkStart w:id="5764" w:name="_Toc19370"/>
      <w:bookmarkStart w:id="5765" w:name="_Toc9534"/>
      <w:bookmarkStart w:id="5766" w:name="_Toc22348"/>
      <w:bookmarkStart w:id="5767" w:name="_Toc517530973"/>
      <w:bookmarkStart w:id="5768" w:name="_Toc6940"/>
      <w:bookmarkStart w:id="5769" w:name="_Toc3061"/>
      <w:bookmarkStart w:id="5770" w:name="_Toc29138"/>
      <w:bookmarkStart w:id="5771" w:name="_Toc32354"/>
      <w:bookmarkStart w:id="5772" w:name="_Toc29947"/>
      <w:bookmarkStart w:id="5773" w:name="_Toc16202"/>
      <w:bookmarkStart w:id="5774" w:name="_Toc1621"/>
      <w:bookmarkStart w:id="5775" w:name="_Toc9111"/>
      <w:bookmarkStart w:id="5776" w:name="_Toc18092"/>
      <w:bookmarkStart w:id="5777" w:name="_Toc30133"/>
      <w:bookmarkStart w:id="5778" w:name="_Toc23420"/>
      <w:bookmarkStart w:id="5779" w:name="_Toc3650"/>
      <w:bookmarkStart w:id="5780" w:name="_Toc2985"/>
      <w:r>
        <w:rPr>
          <w:rFonts w:ascii="宋体" w:hAnsi="宋体" w:cs="宋体"/>
          <w:b/>
          <w:bCs/>
          <w:color w:val="auto"/>
          <w:sz w:val="28"/>
          <w:szCs w:val="28"/>
        </w:rPr>
        <w:t>1.11知识产权</w:t>
      </w:r>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pPr>
        <w:spacing w:line="360" w:lineRule="auto"/>
        <w:ind w:firstLine="420"/>
        <w:rPr>
          <w:rFonts w:ascii="宋体" w:hAnsi="宋体" w:cs="宋体"/>
          <w:color w:val="auto"/>
          <w:kern w:val="0"/>
          <w:szCs w:val="21"/>
        </w:rPr>
      </w:pPr>
      <w:r>
        <w:rPr>
          <w:rFonts w:ascii="宋体" w:hAnsi="宋体" w:cs="宋体"/>
          <w:color w:val="auto"/>
          <w:kern w:val="0"/>
          <w:szCs w:val="21"/>
        </w:rPr>
        <w:t>发包人和承包人有关知识产权保护的特别约定：</w:t>
      </w:r>
      <w:r>
        <w:rPr>
          <w:rFonts w:ascii="宋体" w:hAnsi="宋体" w:cs="宋体"/>
          <w:color w:val="auto"/>
          <w:kern w:val="0"/>
          <w:szCs w:val="21"/>
          <w:u w:val="single"/>
        </w:rPr>
        <w:t xml:space="preserve">                 </w:t>
      </w:r>
      <w:r>
        <w:rPr>
          <w:rFonts w:ascii="宋体" w:hAnsi="宋体" w:cs="宋体"/>
          <w:color w:val="auto"/>
          <w:kern w:val="0"/>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5781" w:name="_Toc8377"/>
      <w:bookmarkStart w:id="5782" w:name="_Toc517528774"/>
      <w:bookmarkStart w:id="5783" w:name="_Toc465237243"/>
      <w:bookmarkStart w:id="5784" w:name="_Toc26277"/>
      <w:bookmarkStart w:id="5785" w:name="_Toc21781"/>
      <w:bookmarkStart w:id="5786" w:name="_Toc9518"/>
      <w:bookmarkStart w:id="5787" w:name="_Toc20682"/>
      <w:bookmarkStart w:id="5788" w:name="_Toc4365"/>
      <w:bookmarkStart w:id="5789" w:name="_Toc24098"/>
      <w:bookmarkStart w:id="5790" w:name="_Toc1186"/>
      <w:bookmarkStart w:id="5791" w:name="_Toc3998"/>
      <w:bookmarkStart w:id="5792" w:name="_Toc31605"/>
      <w:bookmarkStart w:id="5793" w:name="_Toc11914"/>
      <w:bookmarkStart w:id="5794" w:name="_Toc517530974"/>
      <w:bookmarkStart w:id="5795" w:name="_Toc14739"/>
      <w:bookmarkStart w:id="5796" w:name="_Toc517529757"/>
      <w:bookmarkStart w:id="5797" w:name="_Toc465237141"/>
      <w:bookmarkStart w:id="5798" w:name="_Toc30859"/>
      <w:bookmarkStart w:id="5799" w:name="_Toc9616"/>
      <w:bookmarkStart w:id="5800" w:name="_Toc25289"/>
      <w:bookmarkStart w:id="5801" w:name="_Toc31399"/>
      <w:bookmarkStart w:id="5802" w:name="_Toc9549"/>
      <w:bookmarkStart w:id="5803" w:name="_Toc517532250"/>
      <w:bookmarkStart w:id="5804" w:name="_Toc25035"/>
      <w:bookmarkStart w:id="5805" w:name="_Toc351203634"/>
      <w:r>
        <w:rPr>
          <w:rFonts w:ascii="宋体" w:hAnsi="宋体" w:cs="宋体"/>
          <w:b/>
          <w:bCs/>
          <w:color w:val="auto"/>
          <w:sz w:val="30"/>
          <w:szCs w:val="30"/>
        </w:rPr>
        <w:t>2. 发包人</w:t>
      </w:r>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Start w:id="5806" w:name="_Toc296891197"/>
      <w:bookmarkEnd w:id="5806"/>
      <w:bookmarkStart w:id="5807" w:name="_Toc296347156"/>
      <w:bookmarkEnd w:id="5807"/>
      <w:bookmarkStart w:id="5808" w:name="_Toc297048343"/>
      <w:bookmarkEnd w:id="5808"/>
      <w:bookmarkStart w:id="5809" w:name="_Toc296944496"/>
      <w:bookmarkEnd w:id="5809"/>
      <w:bookmarkStart w:id="5810" w:name="_Toc292559867"/>
      <w:bookmarkEnd w:id="5810"/>
      <w:bookmarkStart w:id="5811" w:name="_Toc296503157"/>
      <w:bookmarkEnd w:id="5811"/>
      <w:bookmarkStart w:id="5812" w:name="_Toc296890985"/>
      <w:bookmarkEnd w:id="5812"/>
      <w:bookmarkStart w:id="5813" w:name="_Toc292559362"/>
      <w:bookmarkEnd w:id="5813"/>
      <w:bookmarkStart w:id="5814" w:name="_Toc297120457"/>
      <w:bookmarkEnd w:id="5814"/>
      <w:bookmarkStart w:id="5815" w:name="_Toc296346658"/>
      <w:bookmarkEnd w:id="5815"/>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816" w:name="_Toc7105"/>
      <w:bookmarkStart w:id="5817" w:name="_Toc29405"/>
      <w:bookmarkStart w:id="5818" w:name="_Toc25755"/>
      <w:bookmarkStart w:id="5819" w:name="_Toc27918"/>
      <w:bookmarkStart w:id="5820" w:name="_Toc25438"/>
      <w:bookmarkStart w:id="5821" w:name="_Toc29656"/>
      <w:bookmarkStart w:id="5822" w:name="_Toc17793"/>
      <w:bookmarkStart w:id="5823" w:name="_Toc465237244"/>
      <w:bookmarkStart w:id="5824" w:name="_Toc2574"/>
      <w:bookmarkStart w:id="5825" w:name="_Toc25199"/>
      <w:bookmarkStart w:id="5826" w:name="_Toc8721"/>
      <w:bookmarkStart w:id="5827" w:name="_Toc27138"/>
      <w:bookmarkStart w:id="5828" w:name="_Toc465237142"/>
      <w:bookmarkStart w:id="5829" w:name="_Toc517532251"/>
      <w:bookmarkStart w:id="5830" w:name="_Toc9086"/>
      <w:bookmarkStart w:id="5831" w:name="_Toc27019"/>
      <w:bookmarkStart w:id="5832" w:name="_Toc517528775"/>
      <w:bookmarkStart w:id="5833" w:name="_Toc517530975"/>
      <w:bookmarkStart w:id="5834" w:name="_Toc8269"/>
      <w:bookmarkStart w:id="5835" w:name="_Toc16610"/>
      <w:bookmarkStart w:id="5836" w:name="_Toc10274"/>
      <w:bookmarkStart w:id="5837" w:name="_Toc29156"/>
      <w:bookmarkStart w:id="5838" w:name="_Toc15159"/>
      <w:r>
        <w:rPr>
          <w:rFonts w:ascii="宋体" w:hAnsi="宋体" w:cs="宋体"/>
          <w:b/>
          <w:bCs/>
          <w:color w:val="auto"/>
          <w:sz w:val="28"/>
          <w:szCs w:val="28"/>
        </w:rPr>
        <w:t>2.2项目主任</w:t>
      </w:r>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p>
    <w:p>
      <w:pPr>
        <w:spacing w:line="360" w:lineRule="auto"/>
        <w:ind w:firstLine="420"/>
        <w:rPr>
          <w:rFonts w:ascii="宋体" w:hAnsi="宋体" w:cs="宋体"/>
          <w:color w:val="auto"/>
          <w:szCs w:val="21"/>
        </w:rPr>
      </w:pPr>
      <w:r>
        <w:rPr>
          <w:rFonts w:ascii="宋体" w:hAnsi="宋体" w:cs="宋体"/>
          <w:color w:val="auto"/>
          <w:szCs w:val="21"/>
        </w:rPr>
        <w:t>姓    名：</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身份证号：</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职    务：</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联系电话：</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通信地址：</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r>
        <w:rPr>
          <w:rFonts w:ascii="宋体" w:hAnsi="宋体" w:cs="宋体"/>
          <w:b/>
          <w:bCs/>
          <w:color w:val="auto"/>
          <w:sz w:val="28"/>
          <w:szCs w:val="28"/>
        </w:rPr>
        <w:t>2.3履约评价</w:t>
      </w:r>
    </w:p>
    <w:p>
      <w:pPr>
        <w:snapToGrid w:val="0"/>
        <w:spacing w:line="560" w:lineRule="exact"/>
        <w:ind w:firstLine="420"/>
        <w:jc w:val="left"/>
        <w:rPr>
          <w:rFonts w:ascii="仿宋" w:hAnsi="仿宋" w:eastAsia="仿宋"/>
          <w:color w:val="auto"/>
          <w:sz w:val="32"/>
          <w:szCs w:val="32"/>
        </w:rPr>
      </w:pPr>
      <w:r>
        <w:rPr>
          <w:rFonts w:ascii="宋体" w:hAnsi="宋体"/>
          <w:color w:val="auto"/>
        </w:rPr>
        <w:t>如中标单位为联合体，则对承包人按如下原则进行履约评价：</w:t>
      </w:r>
    </w:p>
    <w:p>
      <w:pPr>
        <w:snapToGrid w:val="0"/>
        <w:spacing w:before="468" w:after="0" w:line="480" w:lineRule="exact"/>
        <w:jc w:val="left"/>
        <w:rPr>
          <w:rFonts w:ascii="宋体" w:hAnsi="宋体"/>
          <w:color w:val="auto"/>
          <w:szCs w:val="23"/>
          <w:u w:val="single"/>
        </w:rPr>
      </w:pPr>
      <w:r>
        <w:rPr>
          <w:color w:val="auto"/>
        </w:rPr>
        <w:object>
          <v:shape id="_x0000_i1105" o:spt="201" type="#_x0000_t201" style="height:14.3pt;width:11.9pt;" o:ole="t" filled="f" o:preferrelative="t" stroked="f" coordsize="21600,21600">
            <v:path/>
            <v:fill on="f" focussize="0,0"/>
            <v:stroke on="f" joinstyle="miter"/>
            <v:imagedata o:title=""/>
            <o:lock v:ext="edit"/>
            <w10:wrap type="none"/>
            <w10:anchorlock/>
          </v:shape>
          <w:control r:id="rId172" w:name="CheckBox119629211" w:shapeid="_x0000_i1105"/>
        </w:object>
      </w:r>
      <w:r>
        <w:rPr>
          <w:rFonts w:ascii="宋体" w:hAnsi="宋体"/>
          <w:color w:val="auto"/>
          <w:szCs w:val="23"/>
        </w:rPr>
        <w:t>按联合体单位联合进行评价，</w:t>
      </w:r>
      <w:r>
        <w:rPr>
          <w:rFonts w:ascii="宋体" w:hAnsi="宋体"/>
          <w:color w:val="auto"/>
          <w:szCs w:val="23"/>
          <w:u w:val="single"/>
        </w:rPr>
        <w:t xml:space="preserve">                                                   </w:t>
      </w:r>
    </w:p>
    <w:p>
      <w:pPr>
        <w:snapToGrid w:val="0"/>
        <w:spacing w:before="468" w:after="0" w:line="480" w:lineRule="exact"/>
        <w:jc w:val="left"/>
        <w:rPr>
          <w:rFonts w:ascii="宋体" w:hAnsi="宋体"/>
          <w:color w:val="auto"/>
          <w:szCs w:val="23"/>
          <w:u w:val="single"/>
        </w:rPr>
      </w:pPr>
      <w:r>
        <w:rPr>
          <w:rFonts w:ascii="宋体" w:hAnsi="宋体"/>
          <w:color w:val="auto"/>
          <w:szCs w:val="23"/>
          <w:u w:val="single"/>
        </w:rPr>
        <w:t xml:space="preserve">                                                                              。 </w:t>
      </w:r>
    </w:p>
    <w:p>
      <w:pPr>
        <w:snapToGrid w:val="0"/>
        <w:spacing w:before="468" w:after="0" w:line="480" w:lineRule="exact"/>
        <w:jc w:val="left"/>
        <w:rPr>
          <w:rFonts w:ascii="宋体" w:hAnsi="宋体"/>
          <w:color w:val="auto"/>
          <w:szCs w:val="23"/>
          <w:u w:val="single"/>
        </w:rPr>
      </w:pPr>
      <w:r>
        <w:rPr>
          <w:color w:val="auto"/>
        </w:rPr>
        <w:object>
          <v:shape id="_x0000_i1106" o:spt="201" type="#_x0000_t201" style="height:14.3pt;width:11.9pt;" o:ole="t" filled="f" o:preferrelative="t" stroked="f" coordsize="21600,21600">
            <v:path/>
            <v:fill on="f" focussize="0,0"/>
            <v:stroke on="f" joinstyle="miter"/>
            <v:imagedata o:title=""/>
            <o:lock v:ext="edit"/>
            <w10:wrap type="none"/>
            <w10:anchorlock/>
          </v:shape>
          <w:control r:id="rId173" w:name="CheckBox11962911" w:shapeid="_x0000_i1106"/>
        </w:object>
      </w:r>
      <w:r>
        <w:rPr>
          <w:rFonts w:ascii="宋体" w:hAnsi="宋体"/>
          <w:color w:val="auto"/>
          <w:szCs w:val="23"/>
        </w:rPr>
        <w:t>按联合体单位分开进行评价，</w:t>
      </w:r>
      <w:r>
        <w:rPr>
          <w:rFonts w:ascii="宋体" w:hAnsi="宋体"/>
          <w:color w:val="auto"/>
          <w:szCs w:val="23"/>
          <w:u w:val="single"/>
        </w:rPr>
        <w:t xml:space="preserve">                                                   </w:t>
      </w:r>
    </w:p>
    <w:p>
      <w:pPr>
        <w:snapToGrid w:val="0"/>
        <w:spacing w:before="468" w:after="0" w:line="480" w:lineRule="exact"/>
        <w:jc w:val="left"/>
        <w:rPr>
          <w:rFonts w:ascii="宋体" w:hAnsi="宋体"/>
          <w:color w:val="auto"/>
          <w:szCs w:val="23"/>
          <w:u w:val="single"/>
        </w:rPr>
      </w:pPr>
      <w:r>
        <w:rPr>
          <w:rFonts w:ascii="宋体" w:hAnsi="宋体"/>
          <w:color w:val="auto"/>
          <w:szCs w:val="23"/>
          <w:u w:val="single"/>
        </w:rPr>
        <w:t xml:space="preserve">                                                                              。</w:t>
      </w:r>
    </w:p>
    <w:p>
      <w:pPr>
        <w:spacing w:line="360" w:lineRule="auto"/>
        <w:ind w:firstLine="420"/>
        <w:rPr>
          <w:rFonts w:ascii="宋体" w:hAnsi="宋体" w:cs="宋体"/>
          <w:color w:val="auto"/>
          <w:szCs w:val="21"/>
        </w:rPr>
      </w:pP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839" w:name="_Toc20835"/>
      <w:bookmarkStart w:id="5840" w:name="_Toc517528776"/>
      <w:bookmarkStart w:id="5841" w:name="_Toc17215"/>
      <w:bookmarkStart w:id="5842" w:name="_Toc517532252"/>
      <w:bookmarkStart w:id="5843" w:name="_Toc517530976"/>
      <w:bookmarkStart w:id="5844" w:name="_Toc3211"/>
      <w:bookmarkStart w:id="5845" w:name="_Toc14753"/>
      <w:bookmarkStart w:id="5846" w:name="_Toc11512"/>
      <w:bookmarkStart w:id="5847" w:name="_Toc15568"/>
      <w:bookmarkStart w:id="5848" w:name="_Toc1157"/>
      <w:r>
        <w:rPr>
          <w:rFonts w:ascii="宋体" w:hAnsi="宋体" w:cs="宋体"/>
          <w:b/>
          <w:bCs/>
          <w:color w:val="auto"/>
          <w:sz w:val="28"/>
          <w:szCs w:val="28"/>
        </w:rPr>
        <w:t>2.6支付担保的提交与退还</w:t>
      </w:r>
      <w:bookmarkEnd w:id="5839"/>
      <w:bookmarkEnd w:id="5840"/>
      <w:bookmarkEnd w:id="5841"/>
      <w:bookmarkEnd w:id="5842"/>
      <w:bookmarkEnd w:id="5843"/>
      <w:bookmarkEnd w:id="5844"/>
      <w:bookmarkEnd w:id="5845"/>
      <w:bookmarkEnd w:id="5846"/>
      <w:bookmarkEnd w:id="5847"/>
      <w:bookmarkEnd w:id="5848"/>
    </w:p>
    <w:p>
      <w:pPr>
        <w:spacing w:line="360" w:lineRule="auto"/>
        <w:ind w:firstLine="400"/>
        <w:jc w:val="left"/>
        <w:rPr>
          <w:rFonts w:ascii="宋体" w:hAnsi="宋体" w:cs="宋体"/>
          <w:color w:val="auto"/>
          <w:szCs w:val="21"/>
        </w:rPr>
      </w:pPr>
      <w:r>
        <w:rPr>
          <w:color w:val="auto"/>
        </w:rPr>
        <w:object>
          <v:shape id="_x0000_i1107" o:spt="201" type="#_x0000_t201" style="height:17.9pt;width:12.5pt;" o:ole="t" filled="f" o:preferrelative="t" stroked="f" coordsize="21600,21600">
            <v:path/>
            <v:fill on="f" focussize="0,0"/>
            <v:stroke on="f" joinstyle="miter"/>
            <v:imagedata o:title=""/>
            <o:lock v:ext="edit"/>
            <w10:wrap type="none"/>
            <w10:anchorlock/>
          </v:shape>
          <w:control r:id="rId174" w:name="CheckBox1283" w:shapeid="_x0000_i1107"/>
        </w:object>
      </w:r>
      <w:r>
        <w:rPr>
          <w:rFonts w:ascii="宋体" w:hAnsi="宋体" w:cs="宋体"/>
          <w:color w:val="auto"/>
          <w:szCs w:val="21"/>
        </w:rPr>
        <w:t>本工程不需要提交支付担保。</w:t>
      </w:r>
    </w:p>
    <w:p>
      <w:pPr>
        <w:spacing w:line="360" w:lineRule="auto"/>
        <w:ind w:firstLine="400"/>
        <w:jc w:val="left"/>
        <w:rPr>
          <w:rFonts w:ascii="宋体" w:hAnsi="宋体" w:cs="宋体"/>
          <w:color w:val="auto"/>
          <w:szCs w:val="21"/>
        </w:rPr>
      </w:pPr>
      <w:r>
        <w:rPr>
          <w:color w:val="auto"/>
        </w:rPr>
        <w:object>
          <v:shape id="_x0000_i1108" o:spt="201" type="#_x0000_t201" style="height:17.9pt;width:12.5pt;" o:ole="t" filled="f" o:preferrelative="t" stroked="f" coordsize="21600,21600">
            <v:path/>
            <v:fill on="f" focussize="0,0"/>
            <v:stroke on="f" joinstyle="miter"/>
            <v:imagedata o:title=""/>
            <o:lock v:ext="edit"/>
            <w10:wrap type="none"/>
            <w10:anchorlock/>
          </v:shape>
          <w:control r:id="rId175" w:name="CheckBox1284" w:shapeid="_x0000_i1108"/>
        </w:object>
      </w:r>
      <w:r>
        <w:rPr>
          <w:rFonts w:ascii="宋体" w:hAnsi="宋体" w:cs="宋体"/>
          <w:color w:val="auto"/>
          <w:szCs w:val="21"/>
        </w:rPr>
        <w:t>本工程需要提交支付担保。</w:t>
      </w:r>
      <w:r>
        <w:rPr>
          <w:rFonts w:ascii="宋体" w:hAnsi="宋体" w:cs="宋体"/>
          <w:b/>
          <w:bCs/>
          <w:i/>
          <w:iCs/>
          <w:color w:val="auto"/>
          <w:szCs w:val="21"/>
        </w:rPr>
        <w:t>（提示：根据项目需要勾选）</w:t>
      </w:r>
    </w:p>
    <w:p>
      <w:pPr>
        <w:spacing w:line="360" w:lineRule="auto"/>
        <w:ind w:firstLine="420"/>
        <w:jc w:val="left"/>
        <w:rPr>
          <w:rFonts w:ascii="宋体" w:hAnsi="宋体" w:cs="宋体"/>
          <w:color w:val="auto"/>
          <w:szCs w:val="21"/>
        </w:rPr>
      </w:pPr>
      <w:r>
        <w:rPr>
          <w:rFonts w:ascii="宋体" w:hAnsi="宋体" w:cs="宋体"/>
          <w:color w:val="auto"/>
          <w:szCs w:val="21"/>
        </w:rPr>
        <w:t>发包人在承包人提交履约担保的同时，向承包人提供本工程支付担保。支付担保的金额为合同价的10%。</w:t>
      </w:r>
    </w:p>
    <w:p>
      <w:pPr>
        <w:spacing w:line="360" w:lineRule="auto"/>
        <w:ind w:firstLine="420"/>
        <w:jc w:val="left"/>
        <w:rPr>
          <w:rFonts w:ascii="宋体" w:hAnsi="宋体" w:cs="宋体"/>
          <w:color w:val="auto"/>
          <w:szCs w:val="21"/>
        </w:rPr>
      </w:pPr>
      <w:r>
        <w:rPr>
          <w:rFonts w:ascii="宋体" w:hAnsi="宋体" w:cs="宋体"/>
          <w:color w:val="auto"/>
          <w:szCs w:val="21"/>
        </w:rPr>
        <w:t>支付担保在履约担保有效期满前14天保持有效并可执行。</w:t>
      </w:r>
    </w:p>
    <w:p>
      <w:pPr>
        <w:spacing w:line="360" w:lineRule="auto"/>
        <w:ind w:firstLine="420"/>
        <w:jc w:val="left"/>
        <w:rPr>
          <w:rFonts w:ascii="宋体" w:hAnsi="宋体" w:cs="宋体"/>
          <w:color w:val="auto"/>
          <w:szCs w:val="21"/>
        </w:rPr>
      </w:pPr>
      <w:r>
        <w:rPr>
          <w:rFonts w:ascii="宋体" w:hAnsi="宋体" w:cs="宋体"/>
          <w:color w:val="auto"/>
          <w:szCs w:val="21"/>
        </w:rPr>
        <w:t>支付担保到期后14天内，承包人应退还支付担保。支付担保退还后14天，发包人将按约定时间退还履约担保。支付担保延迟退还时将被视为严重违约，承包人应承担发包人由此引起的任何损失，并承担相应的责任。</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5849" w:name="_Toc517529758"/>
      <w:bookmarkStart w:id="5850" w:name="_Toc22152"/>
      <w:bookmarkStart w:id="5851" w:name="_Toc517528777"/>
      <w:bookmarkStart w:id="5852" w:name="_Toc351203635"/>
      <w:bookmarkStart w:id="5853" w:name="_Toc3112"/>
      <w:bookmarkStart w:id="5854" w:name="_Toc465237246"/>
      <w:bookmarkStart w:id="5855" w:name="_Toc12492"/>
      <w:bookmarkStart w:id="5856" w:name="_Toc9373"/>
      <w:bookmarkStart w:id="5857" w:name="_Toc1948"/>
      <w:bookmarkStart w:id="5858" w:name="_Toc4895"/>
      <w:bookmarkStart w:id="5859" w:name="_Toc2769"/>
      <w:bookmarkStart w:id="5860" w:name="_Toc21813"/>
      <w:bookmarkStart w:id="5861" w:name="_Toc16285"/>
      <w:bookmarkStart w:id="5862" w:name="_Toc465237144"/>
      <w:bookmarkStart w:id="5863" w:name="_Toc29054"/>
      <w:bookmarkStart w:id="5864" w:name="_Toc7767"/>
      <w:bookmarkStart w:id="5865" w:name="_Toc9281"/>
      <w:bookmarkStart w:id="5866" w:name="_Toc25967"/>
      <w:bookmarkStart w:id="5867" w:name="_Toc12598"/>
      <w:bookmarkStart w:id="5868" w:name="_Toc16835"/>
      <w:bookmarkStart w:id="5869" w:name="_Toc9386"/>
      <w:bookmarkStart w:id="5870" w:name="_Toc517530977"/>
      <w:bookmarkStart w:id="5871" w:name="_Toc517532253"/>
      <w:bookmarkStart w:id="5872" w:name="_Toc1361"/>
      <w:bookmarkStart w:id="5873" w:name="_Toc27126"/>
      <w:r>
        <w:rPr>
          <w:rFonts w:ascii="宋体" w:hAnsi="宋体" w:cs="宋体"/>
          <w:b/>
          <w:bCs/>
          <w:color w:val="auto"/>
          <w:sz w:val="30"/>
          <w:szCs w:val="30"/>
        </w:rPr>
        <w:t>3. 承包人</w:t>
      </w:r>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874" w:name="_Toc517528778"/>
      <w:bookmarkStart w:id="5875" w:name="_Toc11776"/>
      <w:bookmarkStart w:id="5876" w:name="_Toc1974"/>
      <w:bookmarkStart w:id="5877" w:name="_Toc18036"/>
      <w:bookmarkStart w:id="5878" w:name="_Toc27859"/>
      <w:bookmarkStart w:id="5879" w:name="_Toc517532254"/>
      <w:bookmarkStart w:id="5880" w:name="_Toc7306"/>
      <w:bookmarkStart w:id="5881" w:name="_Toc24402"/>
      <w:bookmarkStart w:id="5882" w:name="_Toc19692"/>
      <w:bookmarkStart w:id="5883" w:name="_Toc517530978"/>
      <w:bookmarkStart w:id="5884" w:name="_Toc24112"/>
      <w:bookmarkStart w:id="5885" w:name="_Toc31487"/>
      <w:bookmarkStart w:id="5886" w:name="_Toc32620"/>
      <w:bookmarkStart w:id="5887" w:name="_Toc1013"/>
      <w:bookmarkStart w:id="5888" w:name="_Toc24891"/>
      <w:bookmarkStart w:id="5889" w:name="_Toc8313"/>
      <w:bookmarkStart w:id="5890" w:name="_Toc2570"/>
      <w:bookmarkStart w:id="5891" w:name="_Toc388"/>
      <w:bookmarkStart w:id="5892" w:name="_Toc5610"/>
      <w:bookmarkStart w:id="5893" w:name="_Toc22046"/>
      <w:bookmarkStart w:id="5894" w:name="_Toc18113"/>
      <w:r>
        <w:rPr>
          <w:rFonts w:ascii="宋体" w:hAnsi="宋体" w:cs="宋体"/>
          <w:b/>
          <w:bCs/>
          <w:color w:val="auto"/>
          <w:sz w:val="28"/>
          <w:szCs w:val="28"/>
        </w:rPr>
        <w:t>3.1 承包人的一般义务</w:t>
      </w:r>
      <w:bookmarkEnd w:id="5874"/>
      <w:bookmarkEnd w:id="5875"/>
      <w:bookmarkEnd w:id="5876"/>
      <w:bookmarkEnd w:id="5877"/>
      <w:bookmarkEnd w:id="5878"/>
      <w:bookmarkEnd w:id="5879"/>
      <w:bookmarkEnd w:id="5880"/>
      <w:bookmarkEnd w:id="5881"/>
      <w:bookmarkEnd w:id="5882"/>
      <w:bookmarkEnd w:id="5883"/>
      <w:bookmarkEnd w:id="5884"/>
      <w:bookmarkEnd w:id="5885"/>
    </w:p>
    <w:p>
      <w:pPr>
        <w:keepNext/>
        <w:keepLines/>
        <w:numPr>
          <w:ilvl w:val="0"/>
          <w:numId w:val="0"/>
        </w:numPr>
        <w:spacing w:before="156" w:after="156" w:line="360" w:lineRule="auto"/>
        <w:ind w:left="728" w:firstLine="0"/>
        <w:outlineLvl w:val="3"/>
        <w:rPr>
          <w:rFonts w:ascii="宋体" w:hAnsi="宋体" w:cs="宋体"/>
          <w:b/>
          <w:bCs/>
          <w:color w:val="auto"/>
          <w:sz w:val="24"/>
          <w:szCs w:val="24"/>
        </w:rPr>
      </w:pPr>
      <w:bookmarkStart w:id="5895" w:name="_Toc13054"/>
      <w:bookmarkStart w:id="5896" w:name="_Toc7810"/>
      <w:bookmarkStart w:id="5897" w:name="_Toc27095"/>
      <w:bookmarkStart w:id="5898" w:name="_Toc25912"/>
      <w:bookmarkStart w:id="5899" w:name="_Toc15746"/>
      <w:bookmarkStart w:id="5900" w:name="_Toc24769"/>
      <w:bookmarkStart w:id="5901" w:name="_Toc517532255"/>
      <w:bookmarkStart w:id="5902" w:name="_Toc517530979"/>
      <w:bookmarkStart w:id="5903" w:name="_Toc23763"/>
      <w:bookmarkStart w:id="5904" w:name="_Toc1836"/>
      <w:bookmarkStart w:id="5905" w:name="_Toc26019"/>
      <w:r>
        <w:rPr>
          <w:rFonts w:ascii="宋体" w:hAnsi="宋体" w:cs="宋体"/>
          <w:b/>
          <w:bCs/>
          <w:color w:val="auto"/>
          <w:sz w:val="24"/>
          <w:szCs w:val="24"/>
        </w:rPr>
        <w:t>3.1.6职业健康</w:t>
      </w:r>
      <w:bookmarkEnd w:id="5886"/>
      <w:bookmarkEnd w:id="5887"/>
      <w:bookmarkEnd w:id="5888"/>
      <w:bookmarkEnd w:id="5889"/>
      <w:bookmarkEnd w:id="5890"/>
      <w:bookmarkEnd w:id="5891"/>
      <w:bookmarkEnd w:id="5892"/>
      <w:bookmarkEnd w:id="5895"/>
      <w:bookmarkEnd w:id="5896"/>
      <w:bookmarkEnd w:id="5897"/>
      <w:bookmarkEnd w:id="5898"/>
      <w:bookmarkEnd w:id="5899"/>
      <w:bookmarkEnd w:id="5900"/>
      <w:bookmarkEnd w:id="5901"/>
      <w:bookmarkEnd w:id="5902"/>
      <w:bookmarkEnd w:id="5903"/>
      <w:bookmarkEnd w:id="5904"/>
      <w:bookmarkEnd w:id="5905"/>
    </w:p>
    <w:p>
      <w:pPr>
        <w:spacing w:line="360" w:lineRule="auto"/>
        <w:ind w:firstLine="422"/>
        <w:rPr>
          <w:rFonts w:ascii="宋体" w:hAnsi="宋体" w:cs="宋体"/>
          <w:b/>
          <w:bCs/>
          <w:color w:val="auto"/>
          <w:szCs w:val="21"/>
        </w:rPr>
      </w:pPr>
      <w:bookmarkStart w:id="5906" w:name="_Toc24927"/>
      <w:bookmarkStart w:id="5907" w:name="_Toc29602"/>
      <w:bookmarkStart w:id="5908" w:name="_Toc7982"/>
      <w:bookmarkStart w:id="5909" w:name="_Toc28020"/>
      <w:bookmarkStart w:id="5910" w:name="_Toc19211"/>
      <w:bookmarkStart w:id="5911" w:name="_Toc24325"/>
      <w:bookmarkStart w:id="5912" w:name="_Toc3399"/>
      <w:r>
        <w:rPr>
          <w:rFonts w:ascii="宋体" w:hAnsi="宋体" w:cs="宋体"/>
          <w:b/>
          <w:bCs/>
          <w:color w:val="auto"/>
          <w:szCs w:val="21"/>
        </w:rPr>
        <w:t>（1） 生活条件</w:t>
      </w:r>
      <w:bookmarkEnd w:id="5893"/>
      <w:bookmarkEnd w:id="5894"/>
      <w:bookmarkEnd w:id="5906"/>
      <w:bookmarkEnd w:id="5907"/>
      <w:bookmarkEnd w:id="5908"/>
      <w:bookmarkEnd w:id="5909"/>
      <w:bookmarkEnd w:id="5910"/>
      <w:bookmarkEnd w:id="5911"/>
      <w:bookmarkEnd w:id="5912"/>
    </w:p>
    <w:p>
      <w:pPr>
        <w:spacing w:line="360" w:lineRule="auto"/>
        <w:ind w:firstLine="420"/>
        <w:jc w:val="left"/>
        <w:rPr>
          <w:rFonts w:ascii="宋体" w:hAnsi="宋体" w:cs="宋体"/>
          <w:color w:val="auto"/>
          <w:kern w:val="0"/>
          <w:szCs w:val="21"/>
        </w:rPr>
      </w:pPr>
      <w:r>
        <w:rPr>
          <w:rFonts w:ascii="宋体" w:hAnsi="宋体" w:cs="宋体"/>
          <w:color w:val="auto"/>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20"/>
        <w:jc w:val="left"/>
        <w:rPr>
          <w:rFonts w:ascii="宋体" w:hAnsi="宋体" w:cs="宋体"/>
          <w:color w:val="auto"/>
          <w:szCs w:val="21"/>
        </w:rPr>
      </w:pPr>
      <w:r>
        <w:rPr>
          <w:rFonts w:ascii="宋体" w:hAnsi="宋体" w:cs="宋体"/>
          <w:color w:val="auto"/>
          <w:szCs w:val="21"/>
        </w:rPr>
        <w:t>承包人应当保证工人宿舍区临建设施符合以下要求：</w:t>
      </w:r>
    </w:p>
    <w:p>
      <w:pPr>
        <w:spacing w:line="360" w:lineRule="auto"/>
        <w:ind w:firstLine="420"/>
        <w:jc w:val="left"/>
        <w:rPr>
          <w:rFonts w:ascii="宋体" w:hAnsi="宋体" w:cs="宋体"/>
          <w:color w:val="auto"/>
          <w:szCs w:val="21"/>
        </w:rPr>
      </w:pPr>
      <w:r>
        <w:rPr>
          <w:rFonts w:ascii="宋体" w:hAnsi="宋体" w:cs="宋体"/>
          <w:color w:val="auto"/>
          <w:szCs w:val="21"/>
        </w:rPr>
        <w:t>（a）承包人工人宿舍区生活用电须采用36V低压直流供电，宿舍设置USB手机等集中充电插座；</w:t>
      </w:r>
    </w:p>
    <w:p>
      <w:pPr>
        <w:spacing w:line="360" w:lineRule="auto"/>
        <w:ind w:firstLine="420"/>
        <w:jc w:val="left"/>
        <w:rPr>
          <w:rFonts w:ascii="宋体" w:hAnsi="宋体" w:cs="宋体"/>
          <w:color w:val="auto"/>
          <w:szCs w:val="21"/>
        </w:rPr>
      </w:pPr>
      <w:r>
        <w:rPr>
          <w:rFonts w:ascii="宋体" w:hAnsi="宋体" w:cs="宋体"/>
          <w:color w:val="auto"/>
          <w:szCs w:val="21"/>
        </w:rPr>
        <w:t>（b）配备空调，空调供电设专线，穿线使用薄壁钢管，插座设置于板房外面；</w:t>
      </w:r>
    </w:p>
    <w:p>
      <w:pPr>
        <w:spacing w:line="360" w:lineRule="auto"/>
        <w:ind w:firstLine="420"/>
        <w:jc w:val="left"/>
        <w:rPr>
          <w:rFonts w:ascii="宋体" w:hAnsi="宋体" w:cs="宋体"/>
          <w:color w:val="auto"/>
          <w:szCs w:val="21"/>
        </w:rPr>
      </w:pPr>
      <w:r>
        <w:rPr>
          <w:rFonts w:ascii="宋体" w:hAnsi="宋体" w:cs="宋体"/>
          <w:color w:val="auto"/>
          <w:szCs w:val="21"/>
        </w:rPr>
        <w:t>（c）生活区分区24小时集中供应热水。</w:t>
      </w:r>
      <w:bookmarkStart w:id="5913" w:name="_Toc296944497"/>
      <w:bookmarkEnd w:id="5913"/>
      <w:bookmarkStart w:id="5914" w:name="_Toc297120458"/>
      <w:bookmarkEnd w:id="5914"/>
      <w:bookmarkStart w:id="5915" w:name="_Toc296891198"/>
      <w:bookmarkEnd w:id="5915"/>
      <w:bookmarkStart w:id="5916" w:name="_Toc296347157"/>
      <w:bookmarkEnd w:id="5916"/>
      <w:bookmarkStart w:id="5917" w:name="_Toc296503158"/>
      <w:bookmarkEnd w:id="5917"/>
      <w:bookmarkStart w:id="5918" w:name="_Toc292559363"/>
      <w:bookmarkEnd w:id="5918"/>
      <w:bookmarkStart w:id="5919" w:name="_Toc296890986"/>
      <w:bookmarkEnd w:id="5919"/>
      <w:bookmarkStart w:id="5920" w:name="_Toc297048344"/>
      <w:bookmarkEnd w:id="5920"/>
      <w:bookmarkStart w:id="5921" w:name="_Toc296346659"/>
      <w:bookmarkEnd w:id="5921"/>
      <w:bookmarkStart w:id="5922" w:name="_Toc292559868"/>
      <w:bookmarkEnd w:id="5922"/>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923" w:name="_Toc31774"/>
      <w:bookmarkStart w:id="5924" w:name="_Toc9757"/>
      <w:bookmarkStart w:id="5925" w:name="_Toc465237145"/>
      <w:bookmarkStart w:id="5926" w:name="_Toc2790"/>
      <w:bookmarkStart w:id="5927" w:name="_Toc6668"/>
      <w:bookmarkStart w:id="5928" w:name="_Toc8075"/>
      <w:bookmarkStart w:id="5929" w:name="_Toc8413"/>
      <w:bookmarkStart w:id="5930" w:name="_Toc465237247"/>
      <w:bookmarkStart w:id="5931" w:name="_Toc24490"/>
      <w:bookmarkStart w:id="5932" w:name="_Toc722"/>
      <w:bookmarkStart w:id="5933" w:name="_Toc30200"/>
      <w:bookmarkStart w:id="5934" w:name="_Toc517532256"/>
      <w:bookmarkStart w:id="5935" w:name="_Toc22187"/>
      <w:bookmarkStart w:id="5936" w:name="_Toc517528779"/>
      <w:bookmarkStart w:id="5937" w:name="_Toc517530980"/>
      <w:bookmarkStart w:id="5938" w:name="_Toc7696"/>
      <w:bookmarkStart w:id="5939" w:name="_Toc5920"/>
      <w:bookmarkStart w:id="5940" w:name="_Toc5541"/>
      <w:bookmarkStart w:id="5941" w:name="_Toc19509"/>
      <w:bookmarkStart w:id="5942" w:name="_Toc20254"/>
      <w:bookmarkStart w:id="5943" w:name="_Toc8434"/>
      <w:bookmarkStart w:id="5944" w:name="_Toc3057"/>
      <w:bookmarkStart w:id="5945" w:name="_Toc11039"/>
      <w:r>
        <w:rPr>
          <w:rFonts w:ascii="宋体" w:hAnsi="宋体" w:cs="宋体"/>
          <w:b/>
          <w:bCs/>
          <w:color w:val="auto"/>
          <w:sz w:val="28"/>
          <w:szCs w:val="28"/>
        </w:rPr>
        <w:t xml:space="preserve">3.2 </w:t>
      </w:r>
      <w:bookmarkEnd w:id="5923"/>
      <w:bookmarkEnd w:id="5924"/>
      <w:bookmarkEnd w:id="5925"/>
      <w:bookmarkEnd w:id="5926"/>
      <w:bookmarkEnd w:id="5927"/>
      <w:bookmarkEnd w:id="5928"/>
      <w:bookmarkEnd w:id="5929"/>
      <w:bookmarkEnd w:id="5930"/>
      <w:bookmarkEnd w:id="5931"/>
      <w:bookmarkEnd w:id="5932"/>
      <w:bookmarkEnd w:id="5933"/>
      <w:r>
        <w:rPr>
          <w:rFonts w:ascii="宋体" w:hAnsi="宋体" w:cs="宋体"/>
          <w:b/>
          <w:bCs/>
          <w:color w:val="auto"/>
          <w:sz w:val="28"/>
          <w:szCs w:val="28"/>
        </w:rPr>
        <w:t>项目经理</w:t>
      </w:r>
      <w:bookmarkEnd w:id="5934"/>
      <w:bookmarkEnd w:id="5935"/>
      <w:bookmarkEnd w:id="5936"/>
      <w:bookmarkEnd w:id="5937"/>
      <w:bookmarkEnd w:id="5938"/>
      <w:bookmarkEnd w:id="5939"/>
      <w:bookmarkEnd w:id="5940"/>
      <w:bookmarkEnd w:id="5941"/>
      <w:bookmarkEnd w:id="5942"/>
      <w:bookmarkEnd w:id="5943"/>
      <w:bookmarkEnd w:id="5944"/>
      <w:bookmarkEnd w:id="5945"/>
    </w:p>
    <w:p>
      <w:pPr>
        <w:keepNext/>
        <w:keepLines/>
        <w:numPr>
          <w:ilvl w:val="0"/>
          <w:numId w:val="0"/>
        </w:numPr>
        <w:spacing w:before="156" w:after="156" w:line="360" w:lineRule="auto"/>
        <w:ind w:firstLine="241"/>
        <w:outlineLvl w:val="3"/>
        <w:rPr>
          <w:rFonts w:ascii="宋体" w:hAnsi="宋体" w:cs="宋体"/>
          <w:b/>
          <w:bCs/>
          <w:color w:val="auto"/>
          <w:sz w:val="24"/>
          <w:szCs w:val="24"/>
        </w:rPr>
      </w:pPr>
      <w:bookmarkStart w:id="5946" w:name="_Toc26039"/>
      <w:bookmarkStart w:id="5947" w:name="_Toc4420"/>
      <w:bookmarkStart w:id="5948" w:name="_Toc11679"/>
      <w:bookmarkStart w:id="5949" w:name="_Toc14835"/>
      <w:bookmarkStart w:id="5950" w:name="_Toc31192"/>
      <w:bookmarkStart w:id="5951" w:name="_Toc13095"/>
      <w:bookmarkStart w:id="5952" w:name="_Toc517530981"/>
      <w:bookmarkStart w:id="5953" w:name="_Toc9276"/>
      <w:bookmarkStart w:id="5954" w:name="_Toc12573"/>
      <w:bookmarkStart w:id="5955" w:name="_Toc4746"/>
      <w:bookmarkStart w:id="5956" w:name="_Toc7111"/>
      <w:bookmarkStart w:id="5957" w:name="_Toc8803"/>
      <w:bookmarkStart w:id="5958" w:name="_Toc27381"/>
      <w:bookmarkStart w:id="5959" w:name="_Toc4725"/>
      <w:bookmarkStart w:id="5960" w:name="_Toc517532257"/>
      <w:bookmarkStart w:id="5961" w:name="_Toc23244"/>
      <w:bookmarkStart w:id="5962" w:name="_Toc32085"/>
      <w:bookmarkStart w:id="5963" w:name="_Toc4967"/>
      <w:bookmarkStart w:id="5964" w:name="_Toc10483"/>
      <w:bookmarkStart w:id="5965" w:name="_Toc6016"/>
      <w:r>
        <w:rPr>
          <w:rFonts w:ascii="宋体" w:hAnsi="宋体" w:cs="宋体"/>
          <w:b/>
          <w:bCs/>
          <w:color w:val="auto"/>
          <w:sz w:val="24"/>
          <w:szCs w:val="24"/>
        </w:rPr>
        <w:t>3.2.1项目经理</w:t>
      </w:r>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p>
    <w:p>
      <w:pPr>
        <w:spacing w:line="360" w:lineRule="auto"/>
        <w:ind w:firstLine="420"/>
        <w:rPr>
          <w:rFonts w:ascii="宋体" w:hAnsi="宋体" w:cs="宋体"/>
          <w:color w:val="auto"/>
          <w:szCs w:val="21"/>
        </w:rPr>
      </w:pPr>
      <w:r>
        <w:rPr>
          <w:rFonts w:ascii="宋体" w:hAnsi="宋体" w:cs="宋体"/>
          <w:color w:val="auto"/>
          <w:szCs w:val="21"/>
        </w:rPr>
        <w:t>姓    名：</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身份证号：</w:t>
      </w:r>
      <w:r>
        <w:rPr>
          <w:rFonts w:ascii="宋体" w:hAnsi="宋体" w:cs="宋体"/>
          <w:color w:val="auto"/>
          <w:szCs w:val="21"/>
          <w:u w:val="single"/>
        </w:rPr>
        <w:t xml:space="preserve">                          </w:t>
      </w:r>
      <w:r>
        <w:rPr>
          <w:rFonts w:ascii="宋体" w:hAnsi="宋体" w:cs="宋体"/>
          <w:color w:val="auto"/>
          <w:szCs w:val="21"/>
        </w:rPr>
        <w:t xml:space="preserve"> ；</w:t>
      </w:r>
    </w:p>
    <w:p>
      <w:pPr>
        <w:spacing w:line="360" w:lineRule="auto"/>
        <w:ind w:firstLine="420"/>
        <w:rPr>
          <w:rFonts w:ascii="宋体" w:hAnsi="宋体" w:cs="宋体"/>
          <w:color w:val="auto"/>
          <w:szCs w:val="21"/>
        </w:rPr>
      </w:pPr>
      <w:r>
        <w:rPr>
          <w:rFonts w:ascii="宋体" w:hAnsi="宋体" w:cs="宋体"/>
          <w:color w:val="auto"/>
          <w:szCs w:val="21"/>
        </w:rPr>
        <w:t>建造师执业资格等级：</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建造师注册证书号：</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建造师执业印章号：</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安全生产考核合格证书号</w:t>
      </w:r>
      <w:r>
        <w:rPr>
          <w:rFonts w:ascii="宋体" w:hAnsi="宋体" w:cs="宋体"/>
          <w:color w:val="auto"/>
          <w:szCs w:val="21"/>
          <w:u w:val="single"/>
        </w:rPr>
        <w:t xml:space="preserve">：                          </w:t>
      </w:r>
      <w:r>
        <w:rPr>
          <w:rFonts w:ascii="宋体" w:hAnsi="宋体" w:cs="宋体"/>
          <w:color w:val="auto"/>
          <w:szCs w:val="21"/>
        </w:rPr>
        <w:t xml:space="preserve"> ；</w:t>
      </w:r>
    </w:p>
    <w:p>
      <w:pPr>
        <w:spacing w:line="360" w:lineRule="auto"/>
        <w:ind w:firstLine="420"/>
        <w:rPr>
          <w:rFonts w:ascii="宋体" w:hAnsi="宋体" w:cs="宋体"/>
          <w:color w:val="auto"/>
          <w:szCs w:val="21"/>
        </w:rPr>
      </w:pPr>
      <w:r>
        <w:rPr>
          <w:rFonts w:ascii="宋体" w:hAnsi="宋体" w:cs="宋体"/>
          <w:color w:val="auto"/>
          <w:szCs w:val="21"/>
        </w:rPr>
        <w:t>联系电话：</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通信地址：</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本项目中：</w:t>
      </w:r>
    </w:p>
    <w:p>
      <w:pPr>
        <w:spacing w:line="360" w:lineRule="auto"/>
        <w:ind w:firstLine="400"/>
        <w:rPr>
          <w:rFonts w:ascii="宋体" w:hAnsi="宋体" w:cs="宋体"/>
          <w:color w:val="auto"/>
          <w:szCs w:val="21"/>
        </w:rPr>
      </w:pPr>
      <w:r>
        <w:rPr>
          <w:color w:val="auto"/>
        </w:rPr>
        <w:object>
          <v:shape id="_x0000_i1109" o:spt="201" type="#_x0000_t201" style="height:17.9pt;width:12.5pt;" o:ole="t" filled="f" o:preferrelative="t" stroked="f" coordsize="21600,21600">
            <v:path/>
            <v:fill on="f" focussize="0,0"/>
            <v:stroke on="f" joinstyle="miter"/>
            <v:imagedata o:title=""/>
            <o:lock v:ext="edit"/>
            <w10:wrap type="none"/>
            <w10:anchorlock/>
          </v:shape>
          <w:control r:id="rId176" w:name="CheckBox1285" w:shapeid="_x0000_i1109"/>
        </w:object>
      </w:r>
      <w:r>
        <w:rPr>
          <w:rFonts w:ascii="宋体" w:hAnsi="宋体" w:cs="宋体"/>
          <w:color w:val="auto"/>
          <w:szCs w:val="21"/>
        </w:rPr>
        <w:t>项目经理不得同时担任其他项目的项目经理。</w:t>
      </w:r>
    </w:p>
    <w:p>
      <w:pPr>
        <w:spacing w:line="360" w:lineRule="auto"/>
        <w:ind w:firstLine="400"/>
        <w:rPr>
          <w:rFonts w:ascii="宋体" w:hAnsi="宋体" w:cs="宋体"/>
          <w:color w:val="auto"/>
          <w:szCs w:val="21"/>
        </w:rPr>
      </w:pPr>
      <w:r>
        <w:rPr>
          <w:color w:val="auto"/>
        </w:rPr>
        <w:object>
          <v:shape id="_x0000_i1110" o:spt="201" type="#_x0000_t201" style="height:17.9pt;width:12.5pt;" o:ole="t" filled="f" o:preferrelative="t" stroked="f" coordsize="21600,21600">
            <v:path/>
            <v:fill on="f" focussize="0,0"/>
            <v:stroke on="f" joinstyle="miter"/>
            <v:imagedata o:title=""/>
            <o:lock v:ext="edit"/>
            <w10:wrap type="none"/>
            <w10:anchorlock/>
          </v:shape>
          <w:control r:id="rId177" w:name="CheckBox1286" w:shapeid="_x0000_i1110"/>
        </w:object>
      </w:r>
      <w:r>
        <w:rPr>
          <w:rFonts w:ascii="宋体" w:hAnsi="宋体" w:cs="宋体"/>
          <w:color w:val="auto"/>
          <w:szCs w:val="21"/>
        </w:rPr>
        <w:t>项目经理可以同时担任其他项目的项目经理。</w:t>
      </w:r>
    </w:p>
    <w:p>
      <w:pPr>
        <w:snapToGrid w:val="0"/>
        <w:spacing w:before="156" w:after="0" w:line="360" w:lineRule="auto"/>
        <w:ind w:firstLine="420"/>
        <w:jc w:val="left"/>
        <w:rPr>
          <w:rFonts w:ascii="宋体" w:hAnsi="宋体" w:cs="宋体"/>
          <w:color w:val="auto"/>
          <w:szCs w:val="21"/>
        </w:rPr>
      </w:pPr>
      <w:r>
        <w:rPr>
          <w:rFonts w:ascii="宋体" w:hAnsi="宋体" w:cs="宋体"/>
          <w:color w:val="auto"/>
          <w:szCs w:val="21"/>
        </w:rPr>
        <w:t>项目经理、项目技术负责人在工程施工期间，需暂时离开工地现场 1 至 3 天，除应事先征得总监理工程师的同意外，还应征得项目主任的同意，并指定适合的项目经理代表、项目技术负责人代行其职责，书面通知总监理工程师。项目经理未经同意离开工地现场连续 3 天及以上时，对承包人处下述额度的违约金：累计所有此类情况的总天数（不计未经同意离开工地现场连续不足 3 天的时间），再以每天 1 万元的额度处违约金。当项目经理未经同意离开工地每年（起始月份为施工许可证颁发之月）累计达到 20 天的，视为承包人重大违约，发包人可予以记录不良行为，并提请行政主管部门对承包人是否存在转包挂靠情况进行调查。</w:t>
      </w:r>
    </w:p>
    <w:p>
      <w:pPr>
        <w:keepNext/>
        <w:keepLines/>
        <w:numPr>
          <w:ilvl w:val="0"/>
          <w:numId w:val="0"/>
        </w:numPr>
        <w:spacing w:before="156" w:after="156" w:line="360" w:lineRule="auto"/>
        <w:ind w:firstLine="482"/>
        <w:outlineLvl w:val="3"/>
        <w:rPr>
          <w:rFonts w:ascii="宋体" w:hAnsi="宋体" w:cs="宋体"/>
          <w:b/>
          <w:bCs/>
          <w:color w:val="auto"/>
          <w:sz w:val="24"/>
          <w:szCs w:val="24"/>
        </w:rPr>
      </w:pPr>
      <w:bookmarkStart w:id="5966" w:name="_Toc25960"/>
      <w:bookmarkStart w:id="5967" w:name="_Toc30891"/>
      <w:bookmarkStart w:id="5968" w:name="_Toc5348"/>
      <w:bookmarkStart w:id="5969" w:name="_Toc25717"/>
      <w:bookmarkStart w:id="5970" w:name="_Toc16107"/>
      <w:bookmarkStart w:id="5971" w:name="_Toc24431"/>
      <w:bookmarkStart w:id="5972" w:name="_Toc517532258"/>
      <w:bookmarkStart w:id="5973" w:name="_Toc118"/>
      <w:bookmarkStart w:id="5974" w:name="_Toc517530982"/>
      <w:bookmarkStart w:id="5975" w:name="_Toc18666"/>
      <w:bookmarkStart w:id="5976" w:name="_Toc20713"/>
      <w:bookmarkStart w:id="5977" w:name="_Toc28785"/>
      <w:bookmarkStart w:id="5978" w:name="_Toc13995"/>
      <w:bookmarkStart w:id="5979" w:name="_Toc31844"/>
      <w:bookmarkStart w:id="5980" w:name="_Toc126"/>
      <w:bookmarkStart w:id="5981" w:name="_Toc10170"/>
      <w:bookmarkStart w:id="5982" w:name="_Toc27323"/>
      <w:bookmarkStart w:id="5983" w:name="_Toc27133"/>
      <w:bookmarkStart w:id="5984" w:name="_Toc25927"/>
      <w:bookmarkStart w:id="5985" w:name="_Toc17986"/>
      <w:r>
        <w:rPr>
          <w:rFonts w:ascii="宋体" w:hAnsi="宋体" w:cs="宋体"/>
          <w:b/>
          <w:bCs/>
          <w:color w:val="auto"/>
          <w:sz w:val="24"/>
          <w:szCs w:val="24"/>
        </w:rPr>
        <w:t>3.2.3项目经理、技术负责人的更换</w:t>
      </w:r>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p>
    <w:p>
      <w:pPr>
        <w:spacing w:line="360" w:lineRule="auto"/>
        <w:jc w:val="left"/>
        <w:rPr>
          <w:rFonts w:ascii="宋体" w:hAnsi="宋体"/>
          <w:bCs/>
          <w:color w:val="auto"/>
          <w:szCs w:val="21"/>
          <w:u w:val="single"/>
        </w:rPr>
      </w:pPr>
      <w:r>
        <w:rPr>
          <w:color w:val="auto"/>
        </w:rPr>
        <w:object>
          <v:shape id="_x0000_i1111" o:spt="201" type="#_x0000_t201" style="height:17.9pt;width:12.5pt;" o:ole="t" filled="f" o:preferrelative="t" stroked="f" coordsize="21600,21600">
            <v:path/>
            <v:fill on="f" focussize="0,0"/>
            <v:stroke on="f" joinstyle="miter"/>
            <v:imagedata o:title=""/>
            <o:lock v:ext="edit"/>
            <w10:wrap type="none"/>
            <w10:anchorlock/>
          </v:shape>
          <w:control r:id="rId178" w:name="CheckBox1287" w:shapeid="_x0000_i1111"/>
        </w:object>
      </w:r>
      <w:r>
        <w:rPr>
          <w:rFonts w:ascii="宋体" w:hAnsi="宋体" w:cs="宋体"/>
          <w:b/>
          <w:bCs/>
          <w:color w:val="auto"/>
          <w:sz w:val="32"/>
          <w:szCs w:val="32"/>
        </w:rPr>
        <w:t xml:space="preserve"> </w:t>
      </w:r>
      <w:r>
        <w:rPr>
          <w:rFonts w:ascii="宋体" w:hAnsi="宋体" w:cs="宋体"/>
          <w:b/>
          <w:bCs/>
          <w:color w:val="auto"/>
          <w:szCs w:val="21"/>
        </w:rPr>
        <w:t>(1)本项目</w:t>
      </w:r>
      <w:r>
        <w:rPr>
          <w:rFonts w:ascii="宋体" w:hAnsi="宋体"/>
          <w:b/>
          <w:bCs/>
          <w:color w:val="auto"/>
          <w:szCs w:val="21"/>
        </w:rPr>
        <w:t>未将项目经理资历、能力、信誉等情况纳入定标因素，</w:t>
      </w:r>
      <w:r>
        <w:rPr>
          <w:rFonts w:ascii="宋体" w:hAnsi="宋体" w:cs="宋体"/>
          <w:b/>
          <w:bCs/>
          <w:color w:val="auto"/>
          <w:szCs w:val="21"/>
        </w:rPr>
        <w:t>项目经理允许更换。</w:t>
      </w:r>
    </w:p>
    <w:p>
      <w:pPr>
        <w:snapToGrid w:val="0"/>
        <w:spacing w:line="360" w:lineRule="auto"/>
        <w:ind w:firstLine="420"/>
        <w:jc w:val="left"/>
        <w:rPr>
          <w:rFonts w:ascii="宋体" w:hAnsi="宋体"/>
          <w:color w:val="auto"/>
          <w:szCs w:val="21"/>
        </w:rPr>
      </w:pPr>
      <w:r>
        <w:rPr>
          <w:rFonts w:ascii="宋体" w:hAnsi="宋体"/>
          <w:color w:val="auto"/>
          <w:szCs w:val="21"/>
        </w:rPr>
        <w:t>承包人应当按照投标承诺履行项目管理班子配备义务，承包人更换项目经理、项目技术负责人应取得发包人的书面同意，所更换的人员必须为承包人的职工，其从业资格不得低于中标承诺条件。经发包人书面同意（含发包人要求更换）后更换有关人员的，不予以处罚。未经发包人同意，承包人擅自更换项目经理，每人每次处合同价 0.2%的违约金且累计不超过 100 万元。</w:t>
      </w:r>
    </w:p>
    <w:p>
      <w:pPr>
        <w:snapToGrid w:val="0"/>
        <w:spacing w:line="360" w:lineRule="auto"/>
        <w:jc w:val="left"/>
        <w:rPr>
          <w:rFonts w:ascii="宋体" w:hAnsi="宋体" w:cs="宋体"/>
          <w:b/>
          <w:bCs/>
          <w:color w:val="auto"/>
          <w:szCs w:val="21"/>
        </w:rPr>
      </w:pPr>
      <w:bookmarkStart w:id="5986" w:name="_1630823722"/>
      <w:bookmarkEnd w:id="5986"/>
      <w:r>
        <w:rPr>
          <w:color w:val="auto"/>
        </w:rPr>
        <w:object>
          <v:shape id="_x0000_i1112" o:spt="201" type="#_x0000_t201" style="height:17.9pt;width:12.5pt;" o:ole="t" filled="f" o:preferrelative="t" stroked="f" coordsize="21600,21600">
            <v:path/>
            <v:fill on="f" focussize="0,0"/>
            <v:stroke on="f" joinstyle="miter"/>
            <v:imagedata o:title=""/>
            <o:lock v:ext="edit"/>
            <w10:wrap type="none"/>
            <w10:anchorlock/>
          </v:shape>
          <w:control r:id="rId179" w:name="CheckBox1288" w:shapeid="_x0000_i1112"/>
        </w:object>
      </w:r>
      <w:r>
        <w:rPr>
          <w:rFonts w:ascii="宋体" w:hAnsi="宋体" w:cs="宋体"/>
          <w:b/>
          <w:bCs/>
          <w:color w:val="auto"/>
          <w:szCs w:val="21"/>
        </w:rPr>
        <w:t xml:space="preserve"> (2) 本项目</w:t>
      </w:r>
      <w:r>
        <w:rPr>
          <w:rFonts w:ascii="宋体" w:hAnsi="宋体"/>
          <w:b/>
          <w:bCs/>
          <w:color w:val="auto"/>
          <w:szCs w:val="21"/>
        </w:rPr>
        <w:t>将项目经理资历、能力、信誉等情况纳入定标因素，</w:t>
      </w:r>
      <w:r>
        <w:rPr>
          <w:rFonts w:ascii="宋体" w:hAnsi="宋体" w:cs="宋体"/>
          <w:b/>
          <w:bCs/>
          <w:color w:val="auto"/>
          <w:szCs w:val="21"/>
        </w:rPr>
        <w:t>项目经理不允许更换。</w:t>
      </w:r>
    </w:p>
    <w:p>
      <w:pPr>
        <w:snapToGrid w:val="0"/>
        <w:spacing w:line="360" w:lineRule="auto"/>
        <w:ind w:firstLine="420"/>
        <w:jc w:val="left"/>
        <w:rPr>
          <w:rFonts w:ascii="宋体" w:hAnsi="宋体"/>
          <w:color w:val="auto"/>
          <w:szCs w:val="21"/>
        </w:rPr>
      </w:pPr>
      <w:r>
        <w:rPr>
          <w:rFonts w:ascii="宋体" w:hAnsi="宋体"/>
          <w:color w:val="auto"/>
          <w:szCs w:val="21"/>
        </w:rPr>
        <w:t>A.承包人更换项目经理的（含发包人要求更换），对被更换的项目经理记录不良行为，并处“2年内拒绝其承建我署（含直属单位）项目”的处理，且对承包人处每人每次合同价</w:t>
      </w:r>
      <w:r>
        <w:rPr>
          <w:rFonts w:ascii="宋体" w:hAnsi="宋体"/>
          <w:color w:val="auto"/>
          <w:szCs w:val="21"/>
          <w:u w:val="single"/>
        </w:rPr>
        <w:t xml:space="preserve">    </w:t>
      </w:r>
      <w:r>
        <w:rPr>
          <w:rFonts w:ascii="宋体" w:hAnsi="宋体"/>
          <w:color w:val="auto"/>
          <w:szCs w:val="21"/>
        </w:rPr>
        <w:t>% （</w:t>
      </w:r>
      <w:r>
        <w:rPr>
          <w:rFonts w:ascii="宋体" w:hAnsi="宋体"/>
          <w:color w:val="auto"/>
          <w:szCs w:val="21"/>
          <w:u w:val="single"/>
        </w:rPr>
        <w:t xml:space="preserve">      </w:t>
      </w:r>
      <w:r>
        <w:rPr>
          <w:rFonts w:ascii="宋体" w:hAnsi="宋体"/>
          <w:color w:val="auto"/>
          <w:szCs w:val="21"/>
        </w:rPr>
        <w:t>万元）的违约金且累计不超过</w:t>
      </w:r>
      <w:r>
        <w:rPr>
          <w:rFonts w:ascii="宋体" w:hAnsi="宋体"/>
          <w:color w:val="auto"/>
          <w:szCs w:val="21"/>
          <w:u w:val="single"/>
        </w:rPr>
        <w:t xml:space="preserve">    </w:t>
      </w:r>
      <w:r>
        <w:rPr>
          <w:rFonts w:ascii="宋体" w:hAnsi="宋体"/>
          <w:color w:val="auto"/>
          <w:szCs w:val="21"/>
        </w:rPr>
        <w:t>万元。同时发包人可单方解除承包合同。</w:t>
      </w:r>
    </w:p>
    <w:p>
      <w:pPr>
        <w:snapToGrid w:val="0"/>
        <w:spacing w:line="360" w:lineRule="auto"/>
        <w:ind w:firstLine="420"/>
        <w:jc w:val="left"/>
        <w:rPr>
          <w:rFonts w:ascii="宋体" w:hAnsi="宋体"/>
          <w:color w:val="auto"/>
          <w:szCs w:val="21"/>
        </w:rPr>
      </w:pPr>
      <w:r>
        <w:rPr>
          <w:rFonts w:ascii="宋体" w:hAnsi="宋体"/>
          <w:color w:val="auto"/>
          <w:szCs w:val="21"/>
        </w:rPr>
        <w:t>B.项目经理因重大疾病或者重伤（持有县、区以上医院证明）丧失劳动能力，导致3个月以上不能完全履行职责的，经发包人同意，项目经理允许更换，且发包人有权对承包人处每人每次合同价</w:t>
      </w:r>
      <w:r>
        <w:rPr>
          <w:rFonts w:ascii="宋体" w:hAnsi="宋体"/>
          <w:color w:val="auto"/>
          <w:szCs w:val="21"/>
          <w:u w:val="single"/>
        </w:rPr>
        <w:t xml:space="preserve">    </w:t>
      </w:r>
      <w:r>
        <w:rPr>
          <w:rFonts w:ascii="宋体" w:hAnsi="宋体"/>
          <w:color w:val="auto"/>
          <w:szCs w:val="21"/>
        </w:rPr>
        <w:t>% （</w:t>
      </w:r>
      <w:r>
        <w:rPr>
          <w:rFonts w:ascii="宋体" w:hAnsi="宋体"/>
          <w:color w:val="auto"/>
          <w:szCs w:val="21"/>
          <w:u w:val="single"/>
        </w:rPr>
        <w:t xml:space="preserve">      </w:t>
      </w:r>
      <w:r>
        <w:rPr>
          <w:rFonts w:ascii="宋体" w:hAnsi="宋体"/>
          <w:color w:val="auto"/>
          <w:szCs w:val="21"/>
        </w:rPr>
        <w:t>万元）的违约金且累计不超过</w:t>
      </w:r>
      <w:r>
        <w:rPr>
          <w:rFonts w:ascii="宋体" w:hAnsi="宋体"/>
          <w:color w:val="auto"/>
          <w:szCs w:val="21"/>
          <w:u w:val="single"/>
        </w:rPr>
        <w:t xml:space="preserve">    </w:t>
      </w:r>
      <w:r>
        <w:rPr>
          <w:rFonts w:ascii="宋体" w:hAnsi="宋体"/>
          <w:color w:val="auto"/>
          <w:szCs w:val="21"/>
        </w:rPr>
        <w:t>万元。同时发包人可单方解除承包合同。</w:t>
      </w:r>
      <w:bookmarkStart w:id="5987" w:name="_Hlk20217586"/>
      <w:bookmarkEnd w:id="5987"/>
    </w:p>
    <w:p>
      <w:pPr>
        <w:snapToGrid w:val="0"/>
        <w:spacing w:line="360" w:lineRule="auto"/>
        <w:ind w:firstLine="420"/>
        <w:jc w:val="left"/>
        <w:rPr>
          <w:rFonts w:ascii="宋体" w:hAnsi="宋体" w:cs="宋体"/>
          <w:color w:val="auto"/>
          <w:szCs w:val="21"/>
        </w:rPr>
      </w:pPr>
      <w:r>
        <w:rPr>
          <w:rFonts w:ascii="宋体" w:hAnsi="宋体" w:cs="宋体"/>
          <w:bCs/>
          <w:color w:val="auto"/>
          <w:szCs w:val="21"/>
        </w:rPr>
        <w:t>C.</w:t>
      </w:r>
      <w:r>
        <w:rPr>
          <w:rFonts w:ascii="宋体" w:hAnsi="宋体" w:cs="宋体"/>
          <w:b/>
          <w:bCs/>
          <w:color w:val="auto"/>
          <w:szCs w:val="21"/>
        </w:rPr>
        <w:t>项目经理有下列情形之一不能继续履行职责确需更换的，经发包人同意，项目经理允许更换，不予以处罚。</w:t>
      </w:r>
      <w:r>
        <w:rPr>
          <w:rFonts w:ascii="宋体" w:hAnsi="宋体" w:cs="宋体"/>
          <w:bCs/>
          <w:color w:val="auto"/>
          <w:szCs w:val="21"/>
        </w:rPr>
        <w:t>所更换的人员必须为承包人的职工，其从业资格不得低于中标承诺条件：</w:t>
      </w:r>
    </w:p>
    <w:p>
      <w:pPr>
        <w:snapToGrid w:val="0"/>
        <w:spacing w:line="360" w:lineRule="auto"/>
        <w:ind w:firstLine="420"/>
        <w:jc w:val="left"/>
        <w:rPr>
          <w:rFonts w:ascii="宋体" w:hAnsi="宋体"/>
          <w:color w:val="auto"/>
          <w:szCs w:val="21"/>
        </w:rPr>
      </w:pPr>
      <w:r>
        <w:rPr>
          <w:rFonts w:ascii="宋体" w:hAnsi="宋体"/>
          <w:color w:val="auto"/>
          <w:szCs w:val="21"/>
        </w:rPr>
        <w:t>（a）因涉嫌犯罪被羁押或者被判处刑罚的。</w:t>
      </w:r>
    </w:p>
    <w:p>
      <w:pPr>
        <w:snapToGrid w:val="0"/>
        <w:spacing w:line="360" w:lineRule="auto"/>
        <w:ind w:firstLine="420"/>
        <w:jc w:val="left"/>
        <w:rPr>
          <w:rFonts w:ascii="宋体" w:hAnsi="宋体"/>
          <w:color w:val="auto"/>
          <w:szCs w:val="21"/>
        </w:rPr>
      </w:pPr>
      <w:r>
        <w:rPr>
          <w:rFonts w:ascii="宋体" w:hAnsi="宋体"/>
          <w:color w:val="auto"/>
          <w:szCs w:val="21"/>
        </w:rPr>
        <w:t>（b）死亡的。</w:t>
      </w:r>
    </w:p>
    <w:p>
      <w:pPr>
        <w:snapToGrid w:val="0"/>
        <w:spacing w:line="360" w:lineRule="auto"/>
        <w:jc w:val="left"/>
        <w:rPr>
          <w:rFonts w:ascii="宋体" w:hAnsi="宋体" w:cs="宋体"/>
          <w:b/>
          <w:bCs/>
          <w:color w:val="auto"/>
          <w:szCs w:val="21"/>
        </w:rPr>
      </w:pPr>
      <w:r>
        <w:rPr>
          <w:color w:val="auto"/>
        </w:rPr>
        <w:object>
          <v:shape id="_x0000_i1113" o:spt="201" type="#_x0000_t201" style="height:17.9pt;width:12.5pt;" o:ole="t" filled="f" o:preferrelative="t" stroked="f" coordsize="21600,21600">
            <v:path/>
            <v:fill on="f" focussize="0,0"/>
            <v:stroke on="f" joinstyle="miter"/>
            <v:imagedata o:title=""/>
            <o:lock v:ext="edit"/>
            <w10:wrap type="none"/>
            <w10:anchorlock/>
          </v:shape>
          <w:control r:id="rId180" w:name="CheckBox12881" w:shapeid="_x0000_i1113"/>
        </w:object>
      </w:r>
      <w:r>
        <w:rPr>
          <w:rFonts w:ascii="宋体" w:hAnsi="宋体" w:cs="宋体"/>
          <w:b/>
          <w:bCs/>
          <w:color w:val="auto"/>
          <w:szCs w:val="21"/>
        </w:rPr>
        <w:t xml:space="preserve"> (3) 本项目</w:t>
      </w:r>
      <w:r>
        <w:rPr>
          <w:rFonts w:ascii="宋体" w:hAnsi="宋体"/>
          <w:b/>
          <w:bCs/>
          <w:color w:val="auto"/>
          <w:szCs w:val="21"/>
        </w:rPr>
        <w:t>将项目经理和技术负责人资历、能力、信誉等情况纳入定标因素，</w:t>
      </w:r>
      <w:r>
        <w:rPr>
          <w:rFonts w:ascii="宋体" w:hAnsi="宋体" w:cs="宋体"/>
          <w:b/>
          <w:bCs/>
          <w:color w:val="auto"/>
          <w:szCs w:val="21"/>
        </w:rPr>
        <w:t>项目经理和技术负责人均不允许更换。</w:t>
      </w:r>
    </w:p>
    <w:p>
      <w:pPr>
        <w:snapToGrid w:val="0"/>
        <w:spacing w:line="360" w:lineRule="auto"/>
        <w:ind w:firstLine="420"/>
        <w:jc w:val="left"/>
        <w:rPr>
          <w:rFonts w:ascii="宋体" w:hAnsi="宋体"/>
          <w:color w:val="auto"/>
          <w:szCs w:val="21"/>
        </w:rPr>
      </w:pPr>
      <w:r>
        <w:rPr>
          <w:rFonts w:ascii="宋体" w:hAnsi="宋体"/>
          <w:color w:val="auto"/>
          <w:szCs w:val="21"/>
        </w:rPr>
        <w:t>A.承包人更换项目经理或技术负责人的（含发包人要求更换），对被更换的项目经理、技术负责人记录不良行为，并处“2年内拒绝其承建我署（含直属单位）项目”的处理，且对承包人处每人每次合同价</w:t>
      </w:r>
      <w:r>
        <w:rPr>
          <w:rFonts w:ascii="宋体" w:hAnsi="宋体"/>
          <w:color w:val="auto"/>
          <w:szCs w:val="21"/>
          <w:u w:val="single"/>
        </w:rPr>
        <w:t xml:space="preserve">    </w:t>
      </w:r>
      <w:r>
        <w:rPr>
          <w:rFonts w:ascii="宋体" w:hAnsi="宋体"/>
          <w:color w:val="auto"/>
          <w:szCs w:val="21"/>
        </w:rPr>
        <w:t>% （</w:t>
      </w:r>
      <w:r>
        <w:rPr>
          <w:rFonts w:ascii="宋体" w:hAnsi="宋体"/>
          <w:color w:val="auto"/>
          <w:szCs w:val="21"/>
          <w:u w:val="single"/>
        </w:rPr>
        <w:t xml:space="preserve">      </w:t>
      </w:r>
      <w:r>
        <w:rPr>
          <w:rFonts w:ascii="宋体" w:hAnsi="宋体"/>
          <w:color w:val="auto"/>
          <w:szCs w:val="21"/>
        </w:rPr>
        <w:t>万元）的违约金且累计不超过</w:t>
      </w:r>
      <w:r>
        <w:rPr>
          <w:rFonts w:ascii="宋体" w:hAnsi="宋体"/>
          <w:color w:val="auto"/>
          <w:szCs w:val="21"/>
          <w:u w:val="single"/>
        </w:rPr>
        <w:t xml:space="preserve">    </w:t>
      </w:r>
      <w:r>
        <w:rPr>
          <w:rFonts w:ascii="宋体" w:hAnsi="宋体"/>
          <w:color w:val="auto"/>
          <w:szCs w:val="21"/>
        </w:rPr>
        <w:t>万元。同时发包人可单方解除承包合同。</w:t>
      </w:r>
    </w:p>
    <w:p>
      <w:pPr>
        <w:snapToGrid w:val="0"/>
        <w:spacing w:line="360" w:lineRule="auto"/>
        <w:ind w:firstLine="420"/>
        <w:jc w:val="left"/>
        <w:rPr>
          <w:rFonts w:ascii="宋体" w:hAnsi="宋体"/>
          <w:color w:val="auto"/>
          <w:szCs w:val="21"/>
        </w:rPr>
      </w:pPr>
      <w:r>
        <w:rPr>
          <w:rFonts w:ascii="宋体" w:hAnsi="宋体"/>
          <w:color w:val="auto"/>
          <w:szCs w:val="21"/>
        </w:rPr>
        <w:t>B. 项目经理或技术负责人因重大疾病或者重伤（持有县、区以上医院证明）丧失劳动能力，导致3个月以上不能完全履行职责的，经发包人同意，项目经理或技术负责人允许更换，且发包人有权对承包人处每人每次合同价</w:t>
      </w:r>
      <w:r>
        <w:rPr>
          <w:rFonts w:ascii="宋体" w:hAnsi="宋体"/>
          <w:color w:val="auto"/>
          <w:szCs w:val="21"/>
          <w:u w:val="single"/>
        </w:rPr>
        <w:t xml:space="preserve">    </w:t>
      </w:r>
      <w:r>
        <w:rPr>
          <w:rFonts w:ascii="宋体" w:hAnsi="宋体"/>
          <w:color w:val="auto"/>
          <w:szCs w:val="21"/>
        </w:rPr>
        <w:t>% （</w:t>
      </w:r>
      <w:r>
        <w:rPr>
          <w:rFonts w:ascii="宋体" w:hAnsi="宋体"/>
          <w:color w:val="auto"/>
          <w:szCs w:val="21"/>
          <w:u w:val="single"/>
        </w:rPr>
        <w:t xml:space="preserve">      </w:t>
      </w:r>
      <w:r>
        <w:rPr>
          <w:rFonts w:ascii="宋体" w:hAnsi="宋体"/>
          <w:color w:val="auto"/>
          <w:szCs w:val="21"/>
        </w:rPr>
        <w:t>万元）的违约金且累计不超过</w:t>
      </w:r>
      <w:r>
        <w:rPr>
          <w:rFonts w:ascii="宋体" w:hAnsi="宋体"/>
          <w:color w:val="auto"/>
          <w:szCs w:val="21"/>
          <w:u w:val="single"/>
        </w:rPr>
        <w:t xml:space="preserve">    </w:t>
      </w:r>
      <w:r>
        <w:rPr>
          <w:rFonts w:ascii="宋体" w:hAnsi="宋体"/>
          <w:color w:val="auto"/>
          <w:szCs w:val="21"/>
        </w:rPr>
        <w:t>万元。同时发包人可单方解除承包合同。</w:t>
      </w:r>
    </w:p>
    <w:p>
      <w:pPr>
        <w:snapToGrid w:val="0"/>
        <w:spacing w:line="360" w:lineRule="auto"/>
        <w:ind w:firstLine="420"/>
        <w:jc w:val="left"/>
        <w:rPr>
          <w:rFonts w:ascii="宋体" w:hAnsi="宋体" w:cs="宋体"/>
          <w:color w:val="auto"/>
          <w:szCs w:val="21"/>
        </w:rPr>
      </w:pPr>
      <w:r>
        <w:rPr>
          <w:rFonts w:ascii="宋体" w:hAnsi="宋体" w:cs="宋体"/>
          <w:bCs/>
          <w:color w:val="auto"/>
          <w:szCs w:val="21"/>
        </w:rPr>
        <w:t>C.</w:t>
      </w:r>
      <w:r>
        <w:rPr>
          <w:color w:val="auto"/>
        </w:rPr>
        <w:t xml:space="preserve"> </w:t>
      </w:r>
      <w:r>
        <w:rPr>
          <w:rFonts w:ascii="宋体" w:hAnsi="宋体" w:cs="宋体"/>
          <w:b/>
          <w:bCs/>
          <w:color w:val="auto"/>
          <w:szCs w:val="21"/>
        </w:rPr>
        <w:t>项目经理或技术负责人有下列情形之一不能继续履行职责确需更换的，经发包人同意，项目经理或技术负责人允许更换，不予以处罚。</w:t>
      </w:r>
      <w:r>
        <w:rPr>
          <w:rFonts w:ascii="宋体" w:hAnsi="宋体" w:cs="宋体"/>
          <w:bCs/>
          <w:color w:val="auto"/>
          <w:szCs w:val="21"/>
        </w:rPr>
        <w:t>所更换的人员必须为承包人的职工，其从业资格不得低于中标承诺条件：</w:t>
      </w:r>
    </w:p>
    <w:p>
      <w:pPr>
        <w:snapToGrid w:val="0"/>
        <w:spacing w:line="360" w:lineRule="auto"/>
        <w:ind w:firstLine="420"/>
        <w:jc w:val="left"/>
        <w:rPr>
          <w:rFonts w:ascii="宋体" w:hAnsi="宋体"/>
          <w:color w:val="auto"/>
          <w:szCs w:val="21"/>
        </w:rPr>
      </w:pPr>
      <w:r>
        <w:rPr>
          <w:rFonts w:ascii="宋体" w:hAnsi="宋体"/>
          <w:color w:val="auto"/>
          <w:szCs w:val="21"/>
        </w:rPr>
        <w:t>（a）因涉嫌犯罪被羁押或者被判处刑罚的。</w:t>
      </w:r>
    </w:p>
    <w:p>
      <w:pPr>
        <w:snapToGrid w:val="0"/>
        <w:spacing w:line="360" w:lineRule="auto"/>
        <w:ind w:firstLine="420"/>
        <w:jc w:val="left"/>
        <w:rPr>
          <w:rFonts w:ascii="宋体" w:hAnsi="宋体"/>
          <w:color w:val="auto"/>
          <w:szCs w:val="21"/>
        </w:rPr>
      </w:pPr>
      <w:r>
        <w:rPr>
          <w:rFonts w:ascii="宋体" w:hAnsi="宋体"/>
          <w:color w:val="auto"/>
          <w:szCs w:val="21"/>
        </w:rPr>
        <w:t>（b）死亡的。</w:t>
      </w:r>
    </w:p>
    <w:p>
      <w:pPr>
        <w:snapToGrid w:val="0"/>
        <w:spacing w:line="360" w:lineRule="auto"/>
        <w:ind w:firstLine="420"/>
        <w:jc w:val="left"/>
        <w:rPr>
          <w:rFonts w:ascii="宋体" w:hAnsi="宋体"/>
          <w:color w:val="auto"/>
          <w:szCs w:val="21"/>
        </w:rPr>
      </w:pP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5988" w:name="_Toc20215"/>
      <w:bookmarkStart w:id="5989" w:name="_Toc517530983"/>
      <w:bookmarkStart w:id="5990" w:name="_Toc24547"/>
      <w:bookmarkStart w:id="5991" w:name="_Toc2001"/>
      <w:bookmarkStart w:id="5992" w:name="_Toc517532259"/>
      <w:bookmarkStart w:id="5993" w:name="_Toc24720"/>
      <w:bookmarkStart w:id="5994" w:name="_Toc517528780"/>
      <w:bookmarkStart w:id="5995" w:name="_Toc6036"/>
      <w:bookmarkStart w:id="5996" w:name="_Toc28463"/>
      <w:bookmarkStart w:id="5997" w:name="_Toc5715"/>
      <w:bookmarkStart w:id="5998" w:name="_Toc28844"/>
      <w:bookmarkStart w:id="5999" w:name="_Toc2069"/>
      <w:r>
        <w:rPr>
          <w:rFonts w:ascii="宋体" w:hAnsi="宋体" w:cs="宋体"/>
          <w:b/>
          <w:bCs/>
          <w:color w:val="auto"/>
          <w:sz w:val="28"/>
          <w:szCs w:val="28"/>
        </w:rPr>
        <w:t>3.3 承包人人员</w:t>
      </w:r>
      <w:bookmarkEnd w:id="5988"/>
      <w:bookmarkEnd w:id="5989"/>
      <w:bookmarkEnd w:id="5990"/>
      <w:bookmarkEnd w:id="5991"/>
      <w:bookmarkEnd w:id="5992"/>
      <w:bookmarkEnd w:id="5993"/>
      <w:bookmarkEnd w:id="5994"/>
      <w:bookmarkEnd w:id="5995"/>
      <w:bookmarkEnd w:id="5996"/>
      <w:bookmarkEnd w:id="5997"/>
      <w:bookmarkEnd w:id="5998"/>
      <w:bookmarkEnd w:id="5999"/>
    </w:p>
    <w:p>
      <w:pPr>
        <w:keepNext/>
        <w:keepLines/>
        <w:numPr>
          <w:ilvl w:val="0"/>
          <w:numId w:val="0"/>
        </w:numPr>
        <w:spacing w:before="156" w:after="156" w:line="360" w:lineRule="auto"/>
        <w:ind w:left="634" w:firstLine="0"/>
        <w:outlineLvl w:val="3"/>
        <w:rPr>
          <w:rFonts w:ascii="宋体" w:hAnsi="宋体" w:cs="宋体"/>
          <w:b/>
          <w:bCs/>
          <w:color w:val="auto"/>
          <w:sz w:val="24"/>
          <w:szCs w:val="24"/>
        </w:rPr>
      </w:pPr>
      <w:bookmarkStart w:id="6000" w:name="_Toc15601"/>
      <w:bookmarkStart w:id="6001" w:name="_Toc6112"/>
      <w:bookmarkStart w:id="6002" w:name="_Toc10664"/>
      <w:bookmarkStart w:id="6003" w:name="_Toc1470"/>
      <w:bookmarkStart w:id="6004" w:name="_Toc517532260"/>
      <w:bookmarkStart w:id="6005" w:name="_Toc31484"/>
      <w:bookmarkStart w:id="6006" w:name="_Toc12571"/>
      <w:bookmarkStart w:id="6007" w:name="_Toc10323"/>
      <w:bookmarkStart w:id="6008" w:name="_Toc4125"/>
      <w:bookmarkStart w:id="6009" w:name="_Toc19603"/>
      <w:bookmarkStart w:id="6010" w:name="_Toc31442"/>
      <w:bookmarkStart w:id="6011" w:name="_Toc5462"/>
      <w:bookmarkStart w:id="6012" w:name="_Toc517530984"/>
      <w:bookmarkStart w:id="6013" w:name="_Toc14143"/>
      <w:bookmarkStart w:id="6014" w:name="_Toc16709"/>
      <w:bookmarkStart w:id="6015" w:name="_Toc24843"/>
      <w:bookmarkStart w:id="6016" w:name="_Toc10405"/>
      <w:bookmarkStart w:id="6017" w:name="_Toc15259"/>
      <w:bookmarkStart w:id="6018" w:name="_Toc16246"/>
      <w:r>
        <w:rPr>
          <w:rFonts w:ascii="宋体" w:hAnsi="宋体" w:cs="宋体"/>
          <w:b/>
          <w:bCs/>
          <w:color w:val="auto"/>
          <w:sz w:val="24"/>
          <w:szCs w:val="24"/>
        </w:rPr>
        <w:t>3.3.5劳务工工资</w:t>
      </w:r>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p>
    <w:p>
      <w:pPr>
        <w:snapToGrid w:val="0"/>
        <w:spacing w:line="360" w:lineRule="auto"/>
        <w:ind w:firstLine="562"/>
        <w:jc w:val="left"/>
        <w:rPr>
          <w:rFonts w:ascii="宋体" w:hAnsi="宋体" w:cs="宋体"/>
          <w:b/>
          <w:bCs/>
          <w:color w:val="auto"/>
          <w:szCs w:val="21"/>
        </w:rPr>
      </w:pPr>
      <w:r>
        <w:rPr>
          <w:rFonts w:ascii="宋体" w:hAnsi="宋体" w:cs="宋体"/>
          <w:b/>
          <w:bCs/>
          <w:color w:val="auto"/>
          <w:szCs w:val="21"/>
        </w:rPr>
        <w:t>（a）劳务工工资的支付</w:t>
      </w:r>
    </w:p>
    <w:p>
      <w:pPr>
        <w:spacing w:line="360" w:lineRule="auto"/>
        <w:ind w:firstLine="420"/>
        <w:rPr>
          <w:rFonts w:ascii="宋体" w:hAnsi="宋体" w:cs="宋体"/>
          <w:color w:val="auto"/>
          <w:szCs w:val="21"/>
        </w:rPr>
      </w:pPr>
      <w:r>
        <w:rPr>
          <w:rFonts w:ascii="宋体" w:hAnsi="宋体" w:cs="宋体"/>
          <w:color w:val="auto"/>
          <w:szCs w:val="21"/>
        </w:rPr>
        <w:t>承包人必须严格按照《保障农民工工资支付条例》以及国家、省、市等有关规定支付劳务工工资，不得拖欠或克扣。</w:t>
      </w:r>
    </w:p>
    <w:p>
      <w:pPr>
        <w:spacing w:line="360" w:lineRule="auto"/>
        <w:ind w:firstLine="420"/>
        <w:rPr>
          <w:rFonts w:ascii="宋体" w:hAnsi="宋体" w:cs="宋体"/>
          <w:color w:val="auto"/>
          <w:szCs w:val="21"/>
        </w:rPr>
      </w:pPr>
      <w:r>
        <w:rPr>
          <w:rFonts w:ascii="宋体" w:hAnsi="宋体" w:cs="宋体"/>
          <w:color w:val="auto"/>
          <w:szCs w:val="21"/>
        </w:rPr>
        <w:t>承包人应按照《国务院办公厅关于全面治理拖欠农民工工资问题的意见》（国办发〔2016〕1号）、《广东省建设工程领域用工实名管理暂行办法》《广东省人力资源和社会保障厅 广东省住房和城乡建设厅 广东省交通运输厅 广东省水利厅关于建设工程领域农民工工资支付保证金管理办法》《深圳市住房和建设局关于进一步全面规范工程建设领域开展劳务工实名制和分账制管理工作的通知》（深建设〔2018〕18号）等文件的要求实行劳务用工实名制、工资分账管理制度及工资保证金制度等。</w:t>
      </w:r>
    </w:p>
    <w:p>
      <w:pPr>
        <w:spacing w:line="360" w:lineRule="auto"/>
        <w:ind w:firstLine="420"/>
        <w:rPr>
          <w:rFonts w:ascii="宋体" w:hAnsi="宋体" w:cs="宋体"/>
          <w:color w:val="auto"/>
          <w:szCs w:val="21"/>
        </w:rPr>
      </w:pPr>
      <w:r>
        <w:rPr>
          <w:rFonts w:ascii="宋体" w:hAnsi="宋体" w:cs="宋体"/>
          <w:color w:val="auto"/>
          <w:szCs w:val="21"/>
        </w:rPr>
        <w:t>具体要求：</w:t>
      </w:r>
    </w:p>
    <w:p>
      <w:pPr>
        <w:spacing w:line="360" w:lineRule="auto"/>
        <w:ind w:firstLine="420"/>
        <w:rPr>
          <w:rFonts w:ascii="宋体" w:hAnsi="宋体" w:cs="宋体"/>
          <w:color w:val="auto"/>
          <w:szCs w:val="21"/>
        </w:rPr>
      </w:pPr>
      <w:r>
        <w:rPr>
          <w:rFonts w:ascii="宋体" w:hAnsi="宋体" w:cs="宋体"/>
          <w:color w:val="auto"/>
          <w:szCs w:val="21"/>
        </w:rPr>
        <w:t>（一）承包人应当以项目为单位及时在“两制”管理系统（即“深圳市建筑业实名制与分账制管理平台”）上传数据。</w:t>
      </w:r>
    </w:p>
    <w:p>
      <w:pPr>
        <w:spacing w:line="360" w:lineRule="auto"/>
        <w:ind w:firstLine="420"/>
        <w:rPr>
          <w:rFonts w:ascii="宋体" w:hAnsi="宋体" w:cs="宋体"/>
          <w:color w:val="auto"/>
          <w:szCs w:val="21"/>
        </w:rPr>
      </w:pPr>
      <w:r>
        <w:rPr>
          <w:rFonts w:ascii="宋体" w:hAnsi="宋体" w:cs="宋体"/>
          <w:color w:val="auto"/>
          <w:szCs w:val="21"/>
        </w:rPr>
        <w:t>（二）承包人应当按照有关规定开设农民工工资专用账户，专项用于支付该工程建设项目农民工工资。</w:t>
      </w:r>
    </w:p>
    <w:p>
      <w:pPr>
        <w:spacing w:line="360" w:lineRule="auto"/>
        <w:ind w:firstLine="420"/>
        <w:rPr>
          <w:rFonts w:ascii="宋体" w:hAnsi="宋体" w:cs="宋体"/>
          <w:color w:val="auto"/>
          <w:szCs w:val="21"/>
        </w:rPr>
      </w:pPr>
      <w:r>
        <w:rPr>
          <w:rFonts w:ascii="宋体" w:hAnsi="宋体" w:cs="宋体"/>
          <w:color w:val="auto"/>
          <w:szCs w:val="21"/>
        </w:rPr>
        <w:t>（三）承包人应当按照有关规定存储工资保证金，专项用于支付为所承包工程提供劳动的农民工被拖欠的工资。</w:t>
      </w:r>
    </w:p>
    <w:p>
      <w:pPr>
        <w:spacing w:line="360" w:lineRule="auto"/>
        <w:ind w:firstLine="420"/>
        <w:rPr>
          <w:rFonts w:ascii="宋体" w:hAnsi="宋体" w:cs="宋体"/>
          <w:color w:val="auto"/>
          <w:szCs w:val="21"/>
        </w:rPr>
      </w:pPr>
      <w:r>
        <w:rPr>
          <w:rFonts w:ascii="宋体" w:hAnsi="宋体" w:cs="宋体"/>
          <w:color w:val="auto"/>
          <w:szCs w:val="21"/>
        </w:rPr>
        <w:t>（四）承包人应当在工程项目部配备劳资专管员，对分包单位劳动用工实施监督管理</w:t>
      </w:r>
    </w:p>
    <w:p>
      <w:pPr>
        <w:spacing w:line="360" w:lineRule="auto"/>
        <w:ind w:firstLine="420"/>
        <w:jc w:val="left"/>
        <w:rPr>
          <w:rFonts w:ascii="宋体" w:hAnsi="宋体" w:cs="宋体"/>
          <w:color w:val="auto"/>
          <w:szCs w:val="21"/>
        </w:rPr>
      </w:pPr>
      <w:r>
        <w:rPr>
          <w:rFonts w:ascii="宋体" w:hAnsi="宋体" w:cs="宋体"/>
          <w:color w:val="auto"/>
          <w:szCs w:val="21"/>
        </w:rPr>
        <w:t>（五）承包人应当在施工现场醒目位置设立维权信息告示牌。</w:t>
      </w:r>
    </w:p>
    <w:p>
      <w:pPr>
        <w:spacing w:line="360" w:lineRule="auto"/>
        <w:ind w:firstLine="420"/>
        <w:jc w:val="left"/>
        <w:rPr>
          <w:rFonts w:ascii="宋体" w:hAnsi="宋体" w:cs="宋体"/>
          <w:color w:val="auto"/>
          <w:szCs w:val="21"/>
        </w:rPr>
      </w:pPr>
      <w:r>
        <w:rPr>
          <w:rFonts w:ascii="宋体" w:hAnsi="宋体" w:cs="宋体"/>
          <w:color w:val="auto"/>
          <w:szCs w:val="21"/>
        </w:rPr>
        <w:t>（六）承包人应当建立用工管理台账，并保存至工程完工且工资全部结清后至少3年。</w:t>
      </w:r>
    </w:p>
    <w:p>
      <w:pPr>
        <w:spacing w:line="360" w:lineRule="auto"/>
        <w:ind w:firstLine="420"/>
        <w:jc w:val="left"/>
        <w:rPr>
          <w:rFonts w:ascii="宋体" w:hAnsi="宋体" w:cs="宋体"/>
          <w:color w:val="auto"/>
          <w:szCs w:val="21"/>
        </w:rPr>
      </w:pPr>
      <w:r>
        <w:rPr>
          <w:rFonts w:ascii="宋体" w:hAnsi="宋体" w:cs="宋体"/>
          <w:color w:val="auto"/>
          <w:szCs w:val="21"/>
        </w:rPr>
        <w:t>（七）承包人对分包单位劳动用工和工资发放等情况进行监督。分包单位拖欠农民工工资的，由承包人先行清偿，再依法进行追偿。</w:t>
      </w:r>
    </w:p>
    <w:p>
      <w:pPr>
        <w:spacing w:line="360" w:lineRule="auto"/>
        <w:ind w:firstLine="420"/>
        <w:rPr>
          <w:rFonts w:ascii="宋体" w:hAnsi="宋体" w:cs="宋体"/>
          <w:color w:val="auto"/>
          <w:szCs w:val="21"/>
        </w:rPr>
      </w:pPr>
      <w:r>
        <w:rPr>
          <w:rFonts w:ascii="宋体" w:hAnsi="宋体" w:cs="宋体"/>
          <w:color w:val="auto"/>
          <w:szCs w:val="21"/>
        </w:rPr>
        <w:t>如上述援引的法规、政策等发生变化，应以最新公布的为准。</w:t>
      </w:r>
    </w:p>
    <w:p>
      <w:pPr>
        <w:spacing w:line="360" w:lineRule="auto"/>
        <w:ind w:firstLine="422"/>
        <w:rPr>
          <w:rFonts w:ascii="宋体" w:hAnsi="宋体" w:cs="宋体"/>
          <w:b/>
          <w:bCs/>
          <w:color w:val="auto"/>
          <w:szCs w:val="21"/>
        </w:rPr>
      </w:pPr>
      <w:r>
        <w:rPr>
          <w:rFonts w:ascii="宋体" w:hAnsi="宋体" w:cs="宋体"/>
          <w:b/>
          <w:bCs/>
          <w:color w:val="auto"/>
          <w:szCs w:val="21"/>
        </w:rPr>
        <w:t>（b）劳务分包工作</w:t>
      </w:r>
    </w:p>
    <w:p>
      <w:pPr>
        <w:spacing w:line="360" w:lineRule="auto"/>
        <w:ind w:firstLine="420"/>
        <w:rPr>
          <w:rFonts w:ascii="宋体" w:hAnsi="宋体" w:cs="宋体"/>
          <w:color w:val="auto"/>
          <w:szCs w:val="21"/>
        </w:rPr>
      </w:pPr>
      <w:r>
        <w:rPr>
          <w:rFonts w:ascii="宋体" w:hAnsi="宋体" w:cs="宋体"/>
          <w:color w:val="auto"/>
          <w:szCs w:val="21"/>
        </w:rPr>
        <w:t>建筑劳务分包工作按建设行政主管部门有关规定执行。</w:t>
      </w:r>
    </w:p>
    <w:p>
      <w:pPr>
        <w:keepNext/>
        <w:keepLines/>
        <w:numPr>
          <w:ilvl w:val="0"/>
          <w:numId w:val="0"/>
        </w:numPr>
        <w:spacing w:before="156" w:after="156" w:line="360" w:lineRule="auto"/>
        <w:ind w:left="634" w:firstLine="0"/>
        <w:outlineLvl w:val="3"/>
        <w:rPr>
          <w:rFonts w:ascii="宋体" w:hAnsi="宋体" w:cs="宋体"/>
          <w:b/>
          <w:bCs/>
          <w:color w:val="auto"/>
          <w:sz w:val="24"/>
          <w:szCs w:val="24"/>
        </w:rPr>
      </w:pPr>
      <w:r>
        <w:rPr>
          <w:rFonts w:ascii="宋体" w:hAnsi="宋体" w:cs="宋体"/>
          <w:b/>
          <w:bCs/>
          <w:color w:val="auto"/>
          <w:sz w:val="24"/>
          <w:szCs w:val="24"/>
        </w:rPr>
        <w:t>3.3.7实名制管理</w:t>
      </w:r>
    </w:p>
    <w:p>
      <w:pPr>
        <w:spacing w:line="360" w:lineRule="auto"/>
        <w:ind w:firstLine="420"/>
        <w:rPr>
          <w:rFonts w:ascii="宋体" w:hAnsi="宋体" w:cs="宋体"/>
          <w:color w:val="auto"/>
          <w:szCs w:val="21"/>
        </w:rPr>
      </w:pPr>
      <w:r>
        <w:rPr>
          <w:rFonts w:ascii="宋体" w:hAnsi="宋体" w:cs="宋体"/>
          <w:color w:val="auto"/>
          <w:szCs w:val="21"/>
        </w:rPr>
        <w:t>根据发包人《项目参建单位管理人员实名制管理暂行办法》的有关规定，在本工程履约过程中，发包人将对承包人管理人员实行实名制管理，承包人管理人员实名登记、实名认证、电子签到与考勤情况将作为项目履约评价的重要指标。</w:t>
      </w:r>
    </w:p>
    <w:p>
      <w:pPr>
        <w:keepNext/>
        <w:keepLines/>
        <w:numPr>
          <w:ilvl w:val="1"/>
          <w:numId w:val="14"/>
        </w:numPr>
        <w:spacing w:before="156" w:after="156" w:line="360" w:lineRule="auto"/>
        <w:outlineLvl w:val="2"/>
        <w:rPr>
          <w:rFonts w:ascii="宋体" w:hAnsi="宋体" w:cs="宋体"/>
          <w:b/>
          <w:bCs/>
          <w:color w:val="auto"/>
          <w:sz w:val="28"/>
          <w:szCs w:val="28"/>
        </w:rPr>
      </w:pPr>
      <w:bookmarkStart w:id="6019" w:name="_Toc13737"/>
      <w:bookmarkStart w:id="6020" w:name="_Toc14840"/>
      <w:bookmarkStart w:id="6021" w:name="_Toc517528781"/>
      <w:bookmarkStart w:id="6022" w:name="_Toc27856"/>
      <w:bookmarkStart w:id="6023" w:name="_Toc26456"/>
      <w:bookmarkStart w:id="6024" w:name="_Toc21396"/>
      <w:bookmarkStart w:id="6025" w:name="_Toc13179"/>
      <w:bookmarkStart w:id="6026" w:name="_Toc230"/>
      <w:bookmarkStart w:id="6027" w:name="_Toc25102"/>
      <w:bookmarkStart w:id="6028" w:name="_Toc14238"/>
      <w:bookmarkStart w:id="6029" w:name="_Toc15044"/>
      <w:bookmarkStart w:id="6030" w:name="_Toc27846"/>
      <w:bookmarkStart w:id="6031" w:name="_Toc465237248"/>
      <w:bookmarkStart w:id="6032" w:name="_Toc8213"/>
      <w:bookmarkStart w:id="6033" w:name="_Toc30704"/>
      <w:bookmarkStart w:id="6034" w:name="_Toc23017"/>
      <w:bookmarkStart w:id="6035" w:name="_Toc517530985"/>
      <w:bookmarkStart w:id="6036" w:name="_Toc15886"/>
      <w:bookmarkStart w:id="6037" w:name="_Toc26388"/>
      <w:bookmarkStart w:id="6038" w:name="_Toc1164"/>
      <w:bookmarkStart w:id="6039" w:name="_Toc11209"/>
      <w:bookmarkStart w:id="6040" w:name="_Toc465237146"/>
      <w:bookmarkStart w:id="6041" w:name="_Toc517532261"/>
      <w:r>
        <w:rPr>
          <w:rFonts w:ascii="宋体" w:hAnsi="宋体" w:cs="宋体"/>
          <w:b/>
          <w:bCs/>
          <w:color w:val="auto"/>
          <w:sz w:val="28"/>
          <w:szCs w:val="28"/>
        </w:rPr>
        <w:t>分包</w:t>
      </w:r>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Start w:id="6042" w:name="_Toc300934945"/>
      <w:bookmarkEnd w:id="6042"/>
      <w:bookmarkStart w:id="6043" w:name="_Toc304295523"/>
      <w:bookmarkEnd w:id="6043"/>
      <w:bookmarkStart w:id="6044" w:name="_Toc292559869"/>
      <w:bookmarkEnd w:id="6044"/>
      <w:bookmarkStart w:id="6045" w:name="_Toc297216151"/>
      <w:bookmarkEnd w:id="6045"/>
      <w:bookmarkStart w:id="6046" w:name="_Toc297120459"/>
      <w:bookmarkEnd w:id="6046"/>
      <w:bookmarkStart w:id="6047" w:name="_Toc296890987"/>
      <w:bookmarkEnd w:id="6047"/>
      <w:bookmarkStart w:id="6048" w:name="_Toc296891199"/>
      <w:bookmarkEnd w:id="6048"/>
      <w:bookmarkStart w:id="6049" w:name="_Toc297048345"/>
      <w:bookmarkEnd w:id="6049"/>
      <w:bookmarkStart w:id="6050" w:name="_Toc312677988"/>
      <w:bookmarkEnd w:id="6050"/>
      <w:bookmarkStart w:id="6051" w:name="_Toc296503159"/>
      <w:bookmarkEnd w:id="6051"/>
      <w:bookmarkStart w:id="6052" w:name="_Toc296347158"/>
      <w:bookmarkEnd w:id="6052"/>
      <w:bookmarkStart w:id="6053" w:name="_Toc296346660"/>
      <w:bookmarkEnd w:id="6053"/>
      <w:bookmarkStart w:id="6054" w:name="_Toc297123492"/>
      <w:bookmarkEnd w:id="6054"/>
      <w:bookmarkStart w:id="6055" w:name="_Toc292559364"/>
      <w:bookmarkEnd w:id="6055"/>
      <w:bookmarkStart w:id="6056" w:name="_Toc296944498"/>
      <w:bookmarkEnd w:id="6056"/>
      <w:bookmarkStart w:id="6057" w:name="_Toc303539102"/>
      <w:bookmarkEnd w:id="6057"/>
    </w:p>
    <w:p>
      <w:pPr>
        <w:keepNext/>
        <w:keepLines/>
        <w:numPr>
          <w:ilvl w:val="0"/>
          <w:numId w:val="0"/>
        </w:numPr>
        <w:spacing w:before="156" w:after="156" w:line="360" w:lineRule="auto"/>
        <w:ind w:firstLine="482"/>
        <w:outlineLvl w:val="3"/>
        <w:rPr>
          <w:rFonts w:ascii="宋体" w:hAnsi="宋体" w:cs="宋体"/>
          <w:b/>
          <w:bCs/>
          <w:color w:val="auto"/>
          <w:sz w:val="24"/>
          <w:szCs w:val="24"/>
        </w:rPr>
      </w:pPr>
      <w:bookmarkStart w:id="6058" w:name="_Toc17292"/>
      <w:bookmarkStart w:id="6059" w:name="_Toc12747"/>
      <w:bookmarkStart w:id="6060" w:name="_Toc26688"/>
      <w:bookmarkStart w:id="6061" w:name="_Toc26421"/>
      <w:bookmarkStart w:id="6062" w:name="_Toc14319"/>
      <w:bookmarkStart w:id="6063" w:name="_Toc31289"/>
      <w:bookmarkStart w:id="6064" w:name="_Toc3124"/>
      <w:bookmarkStart w:id="6065" w:name="_Toc517532262"/>
      <w:bookmarkStart w:id="6066" w:name="_Toc517530986"/>
      <w:bookmarkStart w:id="6067" w:name="_Toc25236"/>
      <w:bookmarkStart w:id="6068" w:name="_Toc13577"/>
      <w:bookmarkStart w:id="6069" w:name="_Toc13044"/>
      <w:bookmarkStart w:id="6070" w:name="_Toc26218"/>
      <w:bookmarkStart w:id="6071" w:name="_Toc17631"/>
      <w:bookmarkStart w:id="6072" w:name="_Toc7528"/>
      <w:bookmarkStart w:id="6073" w:name="_Toc5203"/>
      <w:bookmarkStart w:id="6074" w:name="_Toc29777"/>
      <w:bookmarkStart w:id="6075" w:name="_Toc25648"/>
      <w:bookmarkStart w:id="6076" w:name="_Toc6448"/>
      <w:r>
        <w:rPr>
          <w:rFonts w:ascii="宋体" w:hAnsi="宋体" w:cs="宋体"/>
          <w:b/>
          <w:bCs/>
          <w:color w:val="auto"/>
          <w:sz w:val="24"/>
          <w:szCs w:val="24"/>
        </w:rPr>
        <w:t>3.5.1禁止挂靠、转包或违法分包</w:t>
      </w:r>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p>
    <w:p>
      <w:pPr>
        <w:spacing w:line="360" w:lineRule="auto"/>
        <w:ind w:firstLine="420"/>
        <w:rPr>
          <w:rFonts w:ascii="宋体" w:hAnsi="宋体" w:cs="宋体"/>
          <w:color w:val="auto"/>
          <w:szCs w:val="21"/>
          <w:u w:val="single"/>
        </w:rPr>
      </w:pPr>
      <w:r>
        <w:rPr>
          <w:rFonts w:ascii="宋体" w:hAnsi="宋体" w:cs="宋体"/>
          <w:color w:val="auto"/>
          <w:szCs w:val="21"/>
        </w:rPr>
        <w:t>允许分包的专业工程包括：</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 xml:space="preserve">其他关于分包的约定： </w:t>
      </w:r>
      <w:r>
        <w:rPr>
          <w:rFonts w:ascii="宋体" w:hAnsi="宋体" w:cs="宋体"/>
          <w:color w:val="auto"/>
          <w:szCs w:val="21"/>
          <w:u w:val="single"/>
        </w:rPr>
        <w:t xml:space="preserve">                                     </w:t>
      </w:r>
      <w:r>
        <w:rPr>
          <w:rFonts w:ascii="宋体" w:hAnsi="宋体" w:cs="宋体"/>
          <w:color w:val="auto"/>
          <w:szCs w:val="21"/>
        </w:rPr>
        <w:t xml:space="preserve"> 。</w:t>
      </w:r>
    </w:p>
    <w:p>
      <w:pPr>
        <w:keepNext/>
        <w:keepLines/>
        <w:numPr>
          <w:ilvl w:val="1"/>
          <w:numId w:val="15"/>
        </w:numPr>
        <w:spacing w:before="156" w:after="156" w:line="360" w:lineRule="auto"/>
        <w:outlineLvl w:val="2"/>
        <w:rPr>
          <w:rFonts w:ascii="宋体" w:hAnsi="宋体" w:cs="宋体"/>
          <w:b/>
          <w:bCs/>
          <w:color w:val="auto"/>
          <w:sz w:val="28"/>
          <w:szCs w:val="28"/>
        </w:rPr>
      </w:pPr>
      <w:bookmarkStart w:id="6077" w:name="_Toc22166"/>
      <w:bookmarkStart w:id="6078" w:name="_Toc517532263"/>
      <w:bookmarkStart w:id="6079" w:name="_Toc23725"/>
      <w:bookmarkStart w:id="6080" w:name="_Toc517528782"/>
      <w:bookmarkStart w:id="6081" w:name="_Toc30680"/>
      <w:bookmarkStart w:id="6082" w:name="_Toc5444"/>
      <w:bookmarkStart w:id="6083" w:name="_Toc11135"/>
      <w:bookmarkStart w:id="6084" w:name="_Toc13894"/>
      <w:bookmarkStart w:id="6085" w:name="_Toc517530987"/>
      <w:bookmarkStart w:id="6086" w:name="_Toc12501"/>
      <w:bookmarkStart w:id="6087" w:name="_Toc9912"/>
      <w:r>
        <w:rPr>
          <w:rFonts w:ascii="宋体" w:hAnsi="宋体" w:cs="宋体"/>
          <w:b/>
          <w:bCs/>
          <w:color w:val="auto"/>
          <w:sz w:val="28"/>
          <w:szCs w:val="28"/>
        </w:rPr>
        <w:t>履约担保</w:t>
      </w:r>
      <w:bookmarkEnd w:id="6077"/>
      <w:bookmarkEnd w:id="6078"/>
      <w:bookmarkEnd w:id="6079"/>
      <w:bookmarkEnd w:id="6080"/>
      <w:bookmarkEnd w:id="6081"/>
      <w:bookmarkEnd w:id="6082"/>
      <w:bookmarkEnd w:id="6083"/>
      <w:bookmarkEnd w:id="6084"/>
      <w:bookmarkEnd w:id="6085"/>
      <w:bookmarkEnd w:id="6086"/>
      <w:bookmarkEnd w:id="6087"/>
      <w:bookmarkStart w:id="6088" w:name="_Toc4400"/>
      <w:bookmarkStart w:id="6089" w:name="_Toc517530988"/>
      <w:bookmarkStart w:id="6090" w:name="_Toc24858"/>
      <w:bookmarkStart w:id="6091" w:name="_Toc8171"/>
      <w:bookmarkStart w:id="6092" w:name="_Toc28444"/>
      <w:bookmarkStart w:id="6093" w:name="_Toc28775"/>
      <w:bookmarkStart w:id="6094" w:name="_Toc517532264"/>
      <w:bookmarkStart w:id="6095" w:name="_Toc11459"/>
      <w:bookmarkStart w:id="6096" w:name="_Toc14883"/>
    </w:p>
    <w:p>
      <w:pPr>
        <w:keepNext/>
        <w:keepLines/>
        <w:numPr>
          <w:ilvl w:val="0"/>
          <w:numId w:val="0"/>
        </w:numPr>
        <w:spacing w:before="156" w:after="156" w:line="360" w:lineRule="auto"/>
        <w:ind w:left="562" w:firstLine="0"/>
        <w:outlineLvl w:val="2"/>
        <w:rPr>
          <w:rFonts w:ascii="宋体" w:hAnsi="宋体" w:cs="宋体"/>
          <w:b/>
          <w:bCs/>
          <w:color w:val="auto"/>
          <w:sz w:val="28"/>
          <w:szCs w:val="28"/>
        </w:rPr>
      </w:pPr>
      <w:r>
        <w:rPr>
          <w:rFonts w:ascii="宋体" w:hAnsi="宋体" w:cs="宋体"/>
          <w:b/>
          <w:bCs/>
          <w:color w:val="auto"/>
          <w:sz w:val="24"/>
          <w:szCs w:val="24"/>
        </w:rPr>
        <w:t>3.7.1履约担保金额</w:t>
      </w:r>
      <w:bookmarkEnd w:id="6088"/>
      <w:bookmarkEnd w:id="6089"/>
      <w:bookmarkEnd w:id="6090"/>
      <w:bookmarkEnd w:id="6091"/>
      <w:bookmarkEnd w:id="6092"/>
      <w:bookmarkEnd w:id="6093"/>
      <w:bookmarkEnd w:id="6094"/>
      <w:bookmarkEnd w:id="6095"/>
      <w:bookmarkEnd w:id="6096"/>
    </w:p>
    <w:p>
      <w:pPr>
        <w:spacing w:line="360" w:lineRule="auto"/>
        <w:ind w:firstLine="420"/>
        <w:rPr>
          <w:rFonts w:ascii="宋体" w:hAnsi="宋体" w:cs="宋体"/>
          <w:color w:val="auto"/>
          <w:szCs w:val="21"/>
        </w:rPr>
      </w:pPr>
      <w:r>
        <w:rPr>
          <w:rFonts w:ascii="宋体" w:hAnsi="宋体" w:cs="宋体"/>
          <w:color w:val="auto"/>
          <w:szCs w:val="21"/>
        </w:rPr>
        <w:t>本合同项下的履约担保金额为中标合同金额的10%。</w:t>
      </w:r>
    </w:p>
    <w:p>
      <w:pPr>
        <w:spacing w:line="360" w:lineRule="auto"/>
        <w:ind w:firstLine="422"/>
        <w:rPr>
          <w:rFonts w:ascii="宋体" w:hAnsi="宋体" w:cs="宋体"/>
          <w:b/>
          <w:bCs/>
          <w:i/>
          <w:iCs/>
          <w:color w:val="auto"/>
          <w:szCs w:val="21"/>
        </w:rPr>
      </w:pPr>
      <w:r>
        <w:rPr>
          <w:rFonts w:ascii="宋体" w:hAnsi="宋体" w:cs="宋体"/>
          <w:b/>
          <w:bCs/>
          <w:i/>
          <w:iCs/>
          <w:color w:val="auto"/>
          <w:szCs w:val="21"/>
        </w:rPr>
        <w:t>（提示：履约担保的金额一般不超过中标价的10%）</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r>
        <w:rPr>
          <w:rFonts w:ascii="宋体" w:hAnsi="宋体" w:cs="宋体"/>
          <w:b/>
          <w:bCs/>
          <w:color w:val="auto"/>
          <w:sz w:val="24"/>
          <w:szCs w:val="24"/>
        </w:rPr>
        <w:t>3.7.2履约担保金额</w:t>
      </w:r>
    </w:p>
    <w:p>
      <w:pPr>
        <w:spacing w:line="360" w:lineRule="auto"/>
        <w:ind w:firstLine="420"/>
        <w:rPr>
          <w:rFonts w:ascii="宋体" w:hAnsi="宋体" w:cs="宋体"/>
          <w:color w:val="auto"/>
          <w:szCs w:val="21"/>
        </w:rPr>
      </w:pPr>
      <w:r>
        <w:rPr>
          <w:rFonts w:ascii="宋体" w:hAnsi="宋体" w:cs="宋体"/>
          <w:color w:val="auto"/>
          <w:szCs w:val="21"/>
        </w:rPr>
        <w:t>关于履约担保的有效期的特别约定：</w:t>
      </w:r>
      <w:r>
        <w:rPr>
          <w:rFonts w:ascii="宋体" w:hAnsi="宋体" w:cs="宋体"/>
          <w:color w:val="auto"/>
          <w:szCs w:val="21"/>
          <w:u w:val="single"/>
        </w:rPr>
        <w:t xml:space="preserve">                        </w:t>
      </w:r>
      <w:r>
        <w:rPr>
          <w:rFonts w:ascii="宋体" w:hAnsi="宋体" w:cs="宋体"/>
          <w:color w:val="auto"/>
          <w:szCs w:val="21"/>
        </w:rPr>
        <w:t>。</w:t>
      </w:r>
      <w:bookmarkStart w:id="6097" w:name="_Toc27013"/>
      <w:bookmarkEnd w:id="6097"/>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098" w:name="_Toc5937"/>
      <w:bookmarkStart w:id="6099" w:name="_Toc517530989"/>
      <w:bookmarkStart w:id="6100" w:name="_Toc517532265"/>
      <w:bookmarkStart w:id="6101" w:name="_Toc20592"/>
      <w:bookmarkStart w:id="6102" w:name="_Toc11789"/>
      <w:bookmarkStart w:id="6103" w:name="_Toc517528783"/>
      <w:bookmarkStart w:id="6104" w:name="_Toc18486"/>
      <w:bookmarkStart w:id="6105" w:name="_Toc18372"/>
      <w:bookmarkStart w:id="6106" w:name="_Toc29504"/>
      <w:bookmarkStart w:id="6107" w:name="_Toc17329"/>
      <w:bookmarkStart w:id="6108" w:name="_Toc21172"/>
      <w:r>
        <w:rPr>
          <w:rFonts w:ascii="宋体" w:hAnsi="宋体" w:cs="宋体"/>
          <w:b/>
          <w:bCs/>
          <w:color w:val="auto"/>
          <w:sz w:val="28"/>
          <w:szCs w:val="28"/>
        </w:rPr>
        <w:t>3.8 联合体</w:t>
      </w:r>
      <w:bookmarkEnd w:id="6098"/>
      <w:bookmarkEnd w:id="6099"/>
      <w:bookmarkEnd w:id="6100"/>
      <w:bookmarkEnd w:id="6101"/>
      <w:bookmarkEnd w:id="6102"/>
      <w:bookmarkEnd w:id="6103"/>
      <w:bookmarkEnd w:id="6104"/>
      <w:bookmarkEnd w:id="6105"/>
      <w:bookmarkEnd w:id="6106"/>
      <w:bookmarkEnd w:id="6107"/>
      <w:bookmarkEnd w:id="6108"/>
    </w:p>
    <w:p>
      <w:pPr>
        <w:keepNext/>
        <w:keepLines/>
        <w:numPr>
          <w:ilvl w:val="0"/>
          <w:numId w:val="0"/>
        </w:numPr>
        <w:spacing w:before="156" w:after="156" w:line="360" w:lineRule="auto"/>
        <w:ind w:left="634" w:firstLine="0"/>
        <w:outlineLvl w:val="3"/>
        <w:rPr>
          <w:rFonts w:ascii="宋体" w:hAnsi="宋体" w:cs="宋体"/>
          <w:b/>
          <w:bCs/>
          <w:color w:val="auto"/>
          <w:sz w:val="24"/>
          <w:szCs w:val="24"/>
        </w:rPr>
      </w:pPr>
      <w:bookmarkStart w:id="6109" w:name="_Toc11234"/>
      <w:bookmarkStart w:id="6110" w:name="_Toc24351"/>
      <w:bookmarkStart w:id="6111" w:name="_Toc27418"/>
      <w:bookmarkStart w:id="6112" w:name="_Toc3927"/>
      <w:bookmarkStart w:id="6113" w:name="_Toc13316"/>
      <w:bookmarkStart w:id="6114" w:name="_Toc517532266"/>
      <w:bookmarkStart w:id="6115" w:name="_Toc21674"/>
      <w:bookmarkStart w:id="6116" w:name="_Toc517530990"/>
      <w:bookmarkStart w:id="6117" w:name="_Toc24263"/>
      <w:bookmarkStart w:id="6118" w:name="_Toc17984"/>
      <w:r>
        <w:rPr>
          <w:rFonts w:ascii="宋体" w:hAnsi="宋体" w:cs="宋体"/>
          <w:b/>
          <w:bCs/>
          <w:color w:val="auto"/>
          <w:sz w:val="24"/>
          <w:szCs w:val="24"/>
        </w:rPr>
        <w:t>3.8.3 联合体的支付</w:t>
      </w:r>
      <w:bookmarkEnd w:id="6109"/>
      <w:bookmarkEnd w:id="6110"/>
      <w:bookmarkEnd w:id="6111"/>
      <w:bookmarkEnd w:id="6112"/>
      <w:bookmarkEnd w:id="6113"/>
      <w:bookmarkEnd w:id="6114"/>
      <w:bookmarkEnd w:id="6115"/>
      <w:bookmarkEnd w:id="6116"/>
      <w:bookmarkEnd w:id="6117"/>
      <w:bookmarkEnd w:id="6118"/>
    </w:p>
    <w:p>
      <w:pPr>
        <w:spacing w:line="360" w:lineRule="auto"/>
        <w:ind w:firstLine="420"/>
        <w:jc w:val="left"/>
        <w:rPr>
          <w:rFonts w:ascii="宋体" w:hAnsi="宋体" w:cs="宋体"/>
          <w:color w:val="auto"/>
          <w:szCs w:val="21"/>
        </w:rPr>
      </w:pPr>
      <w:r>
        <w:rPr>
          <w:rFonts w:ascii="宋体" w:hAnsi="宋体" w:cs="宋体"/>
          <w:color w:val="auto"/>
          <w:szCs w:val="21"/>
        </w:rPr>
        <w:t>关于联合体付款的特别约定：</w:t>
      </w:r>
      <w:r>
        <w:rPr>
          <w:rFonts w:ascii="宋体" w:hAnsi="宋体" w:cs="宋体"/>
          <w:color w:val="auto"/>
          <w:szCs w:val="21"/>
          <w:u w:val="single"/>
        </w:rPr>
        <w:t xml:space="preserve">                                                。</w:t>
      </w:r>
      <w:bookmarkStart w:id="6119" w:name="_Toc312677990"/>
      <w:bookmarkEnd w:id="6119"/>
      <w:bookmarkStart w:id="6120" w:name="_Toc318581159"/>
      <w:bookmarkEnd w:id="6120"/>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121" w:name="_Toc517530991"/>
      <w:bookmarkStart w:id="6122" w:name="_Toc465237249"/>
      <w:bookmarkStart w:id="6123" w:name="_Toc17692"/>
      <w:bookmarkStart w:id="6124" w:name="_Toc15486"/>
      <w:bookmarkStart w:id="6125" w:name="_Toc12140"/>
      <w:bookmarkStart w:id="6126" w:name="_Toc8757"/>
      <w:bookmarkStart w:id="6127" w:name="_Toc7800"/>
      <w:bookmarkStart w:id="6128" w:name="_Toc14169"/>
      <w:bookmarkStart w:id="6129" w:name="_Toc20329"/>
      <w:bookmarkStart w:id="6130" w:name="_Toc15243"/>
      <w:bookmarkStart w:id="6131" w:name="_Toc3878"/>
      <w:bookmarkStart w:id="6132" w:name="_Toc517529759"/>
      <w:bookmarkStart w:id="6133" w:name="_Toc4956"/>
      <w:bookmarkStart w:id="6134" w:name="_Toc31576"/>
      <w:bookmarkStart w:id="6135" w:name="_Toc351203636"/>
      <w:bookmarkStart w:id="6136" w:name="_Toc6027"/>
      <w:bookmarkStart w:id="6137" w:name="_Toc11153"/>
      <w:bookmarkStart w:id="6138" w:name="_Toc29974"/>
      <w:bookmarkStart w:id="6139" w:name="_Toc14839"/>
      <w:bookmarkStart w:id="6140" w:name="_Toc24995"/>
      <w:bookmarkStart w:id="6141" w:name="_Toc465237147"/>
      <w:bookmarkStart w:id="6142" w:name="_Toc517532267"/>
      <w:bookmarkStart w:id="6143" w:name="_Toc4539"/>
      <w:bookmarkStart w:id="6144" w:name="_Toc29498"/>
      <w:bookmarkStart w:id="6145" w:name="_Toc517528784"/>
      <w:r>
        <w:rPr>
          <w:rFonts w:ascii="宋体" w:hAnsi="宋体" w:cs="宋体"/>
          <w:b/>
          <w:bCs/>
          <w:color w:val="auto"/>
          <w:sz w:val="30"/>
          <w:szCs w:val="30"/>
        </w:rPr>
        <w:t>4</w:t>
      </w:r>
      <w:bookmarkStart w:id="6146" w:name="_Toc297048348"/>
      <w:bookmarkStart w:id="6147" w:name="_Toc267251413"/>
      <w:bookmarkStart w:id="6148" w:name="_Toc296503162"/>
      <w:bookmarkStart w:id="6149" w:name="_Toc296347161"/>
      <w:bookmarkStart w:id="6150" w:name="_Toc296890990"/>
      <w:bookmarkStart w:id="6151" w:name="_Toc296346663"/>
      <w:bookmarkStart w:id="6152" w:name="_Toc292559871"/>
      <w:bookmarkStart w:id="6153" w:name="_Toc296891202"/>
      <w:bookmarkStart w:id="6154" w:name="_Toc292559366"/>
      <w:bookmarkStart w:id="6155" w:name="_Toc297120462"/>
      <w:bookmarkStart w:id="6156" w:name="_Toc296944501"/>
      <w:r>
        <w:rPr>
          <w:rFonts w:ascii="宋体" w:hAnsi="宋体" w:cs="宋体"/>
          <w:b/>
          <w:bCs/>
          <w:color w:val="auto"/>
          <w:sz w:val="30"/>
          <w:szCs w:val="30"/>
        </w:rPr>
        <w:t>. 监</w:t>
      </w:r>
      <w:bookmarkEnd w:id="6146"/>
      <w:bookmarkEnd w:id="6147"/>
      <w:bookmarkEnd w:id="6148"/>
      <w:bookmarkEnd w:id="6149"/>
      <w:bookmarkEnd w:id="6150"/>
      <w:bookmarkEnd w:id="6151"/>
      <w:bookmarkEnd w:id="6152"/>
      <w:bookmarkEnd w:id="6153"/>
      <w:bookmarkEnd w:id="6154"/>
      <w:bookmarkEnd w:id="6155"/>
      <w:bookmarkEnd w:id="6156"/>
      <w:r>
        <w:rPr>
          <w:rFonts w:ascii="宋体" w:hAnsi="宋体" w:cs="宋体"/>
          <w:b/>
          <w:bCs/>
          <w:color w:val="auto"/>
          <w:sz w:val="30"/>
          <w:szCs w:val="30"/>
        </w:rPr>
        <w:t>理人</w:t>
      </w:r>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157" w:name="_Toc31303"/>
      <w:bookmarkStart w:id="6158" w:name="_Toc517530992"/>
      <w:bookmarkStart w:id="6159" w:name="_Toc517528785"/>
      <w:bookmarkStart w:id="6160" w:name="_Toc16103"/>
      <w:bookmarkStart w:id="6161" w:name="_Toc30733"/>
      <w:bookmarkStart w:id="6162" w:name="_Toc32762"/>
      <w:bookmarkStart w:id="6163" w:name="_Toc30552"/>
      <w:bookmarkStart w:id="6164" w:name="_Toc31789"/>
      <w:bookmarkStart w:id="6165" w:name="_Toc17947"/>
      <w:bookmarkStart w:id="6166" w:name="_Toc29578"/>
      <w:bookmarkStart w:id="6167" w:name="_Toc32499"/>
      <w:bookmarkStart w:id="6168" w:name="_Toc7964"/>
      <w:bookmarkStart w:id="6169" w:name="_Toc4097"/>
      <w:bookmarkStart w:id="6170" w:name="_Toc23943"/>
      <w:bookmarkStart w:id="6171" w:name="_Toc17368"/>
      <w:bookmarkStart w:id="6172" w:name="_Toc517532268"/>
      <w:bookmarkStart w:id="6173" w:name="_Toc26035"/>
      <w:bookmarkStart w:id="6174" w:name="_Toc24863"/>
      <w:r>
        <w:rPr>
          <w:rFonts w:ascii="宋体" w:hAnsi="宋体" w:cs="宋体"/>
          <w:b/>
          <w:bCs/>
          <w:color w:val="auto"/>
          <w:sz w:val="28"/>
          <w:szCs w:val="28"/>
        </w:rPr>
        <w:t>4.1 监理人的一般规定</w:t>
      </w:r>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p>
    <w:p>
      <w:pPr>
        <w:spacing w:line="360" w:lineRule="auto"/>
        <w:ind w:firstLine="420"/>
        <w:rPr>
          <w:rFonts w:ascii="宋体" w:hAnsi="宋体" w:cs="宋体"/>
          <w:color w:val="auto"/>
          <w:szCs w:val="21"/>
        </w:rPr>
      </w:pPr>
      <w:r>
        <w:rPr>
          <w:rFonts w:ascii="宋体" w:hAnsi="宋体" w:cs="宋体"/>
          <w:color w:val="auto"/>
          <w:szCs w:val="21"/>
        </w:rPr>
        <w:t>监理人：</w:t>
      </w:r>
    </w:p>
    <w:p>
      <w:pPr>
        <w:spacing w:line="360" w:lineRule="auto"/>
        <w:ind w:firstLine="420"/>
        <w:rPr>
          <w:rFonts w:ascii="宋体" w:hAnsi="宋体" w:cs="宋体"/>
          <w:color w:val="auto"/>
          <w:szCs w:val="21"/>
        </w:rPr>
      </w:pPr>
      <w:r>
        <w:rPr>
          <w:rFonts w:ascii="宋体" w:hAnsi="宋体" w:cs="宋体"/>
          <w:color w:val="auto"/>
          <w:szCs w:val="21"/>
        </w:rPr>
        <w:t>名    称：</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资质类别和等级：</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联系电话：</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通信地址：</w:t>
      </w:r>
      <w:r>
        <w:rPr>
          <w:rFonts w:ascii="宋体" w:hAnsi="宋体" w:cs="宋体"/>
          <w:color w:val="auto"/>
          <w:szCs w:val="21"/>
          <w:u w:val="single"/>
        </w:rPr>
        <w:t xml:space="preserve">                         </w:t>
      </w:r>
      <w:r>
        <w:rPr>
          <w:rFonts w:ascii="宋体" w:hAnsi="宋体" w:cs="宋体"/>
          <w:color w:val="auto"/>
          <w:szCs w:val="21"/>
        </w:rPr>
        <w:t xml:space="preserve"> 。</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175" w:name="_Toc311"/>
      <w:bookmarkStart w:id="6176" w:name="_Toc21084"/>
      <w:bookmarkStart w:id="6177" w:name="_Toc517528786"/>
      <w:bookmarkStart w:id="6178" w:name="_Toc29815"/>
      <w:bookmarkStart w:id="6179" w:name="_Toc13122"/>
      <w:bookmarkStart w:id="6180" w:name="_Toc12882"/>
      <w:bookmarkStart w:id="6181" w:name="_Toc12008"/>
      <w:bookmarkStart w:id="6182" w:name="_Toc517532269"/>
      <w:bookmarkStart w:id="6183" w:name="_Toc15873"/>
      <w:bookmarkStart w:id="6184" w:name="_Toc3812"/>
      <w:bookmarkStart w:id="6185" w:name="_Toc10014"/>
      <w:bookmarkStart w:id="6186" w:name="_Toc24516"/>
      <w:bookmarkStart w:id="6187" w:name="_Toc7589"/>
      <w:bookmarkStart w:id="6188" w:name="_Toc10572"/>
      <w:bookmarkStart w:id="6189" w:name="_Toc11199"/>
      <w:bookmarkStart w:id="6190" w:name="_Toc23897"/>
      <w:bookmarkStart w:id="6191" w:name="_Toc517530993"/>
      <w:bookmarkStart w:id="6192" w:name="_Toc2047"/>
      <w:r>
        <w:rPr>
          <w:rFonts w:ascii="宋体" w:hAnsi="宋体" w:cs="宋体"/>
          <w:b/>
          <w:bCs/>
          <w:color w:val="auto"/>
          <w:sz w:val="28"/>
          <w:szCs w:val="28"/>
        </w:rPr>
        <w:t>4.2 监理人员</w:t>
      </w:r>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p>
    <w:p>
      <w:pPr>
        <w:spacing w:line="360" w:lineRule="auto"/>
        <w:ind w:firstLine="420"/>
        <w:rPr>
          <w:rFonts w:ascii="宋体" w:hAnsi="宋体" w:cs="宋体"/>
          <w:color w:val="auto"/>
          <w:szCs w:val="21"/>
        </w:rPr>
      </w:pPr>
      <w:r>
        <w:rPr>
          <w:rFonts w:ascii="宋体" w:hAnsi="宋体" w:cs="宋体"/>
          <w:color w:val="auto"/>
          <w:szCs w:val="21"/>
        </w:rPr>
        <w:t>总监理工程师：</w:t>
      </w:r>
    </w:p>
    <w:p>
      <w:pPr>
        <w:spacing w:line="360" w:lineRule="auto"/>
        <w:ind w:firstLine="420"/>
        <w:rPr>
          <w:rFonts w:ascii="宋体" w:hAnsi="宋体" w:cs="宋体"/>
          <w:color w:val="auto"/>
          <w:szCs w:val="21"/>
        </w:rPr>
      </w:pPr>
      <w:r>
        <w:rPr>
          <w:rFonts w:ascii="宋体" w:hAnsi="宋体" w:cs="宋体"/>
          <w:color w:val="auto"/>
          <w:szCs w:val="21"/>
        </w:rPr>
        <w:t>姓    名：</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职    务：</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监理人执业资格证书号：</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联系电话：</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电子邮箱：</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rPr>
          <w:rFonts w:ascii="宋体" w:hAnsi="宋体" w:cs="宋体"/>
          <w:color w:val="auto"/>
          <w:szCs w:val="21"/>
        </w:rPr>
      </w:pPr>
      <w:r>
        <w:rPr>
          <w:rFonts w:ascii="宋体" w:hAnsi="宋体" w:cs="宋体"/>
          <w:color w:val="auto"/>
          <w:szCs w:val="21"/>
        </w:rPr>
        <w:t>通信地址：</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193" w:name="_Toc14740"/>
      <w:bookmarkStart w:id="6194" w:name="_Toc17306"/>
      <w:bookmarkStart w:id="6195" w:name="_Toc25311"/>
      <w:bookmarkStart w:id="6196" w:name="_Toc32205"/>
      <w:bookmarkStart w:id="6197" w:name="_Toc31971"/>
      <w:bookmarkStart w:id="6198" w:name="_Toc2295"/>
      <w:bookmarkStart w:id="6199" w:name="_Toc9620"/>
      <w:bookmarkStart w:id="6200" w:name="_Toc517529760"/>
      <w:bookmarkStart w:id="6201" w:name="_Toc12301"/>
      <w:bookmarkStart w:id="6202" w:name="_Toc4455"/>
      <w:bookmarkStart w:id="6203" w:name="_Toc31868"/>
      <w:bookmarkStart w:id="6204" w:name="_Toc8448"/>
      <w:bookmarkStart w:id="6205" w:name="_Toc10349"/>
      <w:bookmarkStart w:id="6206" w:name="_Toc29922"/>
      <w:bookmarkStart w:id="6207" w:name="_Toc27076"/>
      <w:bookmarkStart w:id="6208" w:name="_Toc517530994"/>
      <w:bookmarkStart w:id="6209" w:name="_Toc517532270"/>
      <w:bookmarkStart w:id="6210" w:name="_Toc17849"/>
      <w:bookmarkStart w:id="6211" w:name="_Toc517528787"/>
      <w:bookmarkStart w:id="6212" w:name="_Toc2918"/>
      <w:bookmarkStart w:id="6213" w:name="_Toc517529761"/>
      <w:bookmarkStart w:id="6214" w:name="_Toc6311"/>
      <w:bookmarkStart w:id="6215" w:name="_Toc22913"/>
      <w:bookmarkStart w:id="6216" w:name="_Toc17470"/>
      <w:bookmarkStart w:id="6217" w:name="_Toc517530996"/>
      <w:bookmarkStart w:id="6218" w:name="_Toc517528789"/>
      <w:bookmarkStart w:id="6219" w:name="_Toc8659"/>
      <w:bookmarkStart w:id="6220" w:name="_Toc25642"/>
      <w:bookmarkStart w:id="6221" w:name="_Toc22682"/>
      <w:bookmarkStart w:id="6222" w:name="_Toc31618"/>
      <w:bookmarkStart w:id="6223" w:name="_Toc29874"/>
      <w:bookmarkStart w:id="6224" w:name="_Toc17271"/>
      <w:bookmarkStart w:id="6225" w:name="_Toc22023"/>
      <w:bookmarkStart w:id="6226" w:name="_Toc10983"/>
      <w:bookmarkStart w:id="6227" w:name="_Toc16445"/>
      <w:bookmarkStart w:id="6228" w:name="_Toc21799"/>
      <w:bookmarkStart w:id="6229" w:name="_Toc30465"/>
      <w:bookmarkStart w:id="6230" w:name="_Toc517532272"/>
      <w:r>
        <w:rPr>
          <w:rFonts w:ascii="宋体" w:hAnsi="宋体" w:cs="宋体"/>
          <w:b/>
          <w:bCs/>
          <w:color w:val="auto"/>
          <w:sz w:val="30"/>
          <w:szCs w:val="30"/>
        </w:rPr>
        <w:t>5. 工程质量</w:t>
      </w:r>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231" w:name="_Toc26085"/>
      <w:bookmarkStart w:id="6232" w:name="_Toc517528788"/>
      <w:bookmarkStart w:id="6233" w:name="_Toc25955"/>
      <w:bookmarkStart w:id="6234" w:name="_Toc29709"/>
      <w:bookmarkStart w:id="6235" w:name="_Toc28632"/>
      <w:bookmarkStart w:id="6236" w:name="_Toc13616"/>
      <w:bookmarkStart w:id="6237" w:name="_Toc22862"/>
      <w:bookmarkStart w:id="6238" w:name="_Toc13440"/>
      <w:bookmarkStart w:id="6239" w:name="_Toc11696"/>
      <w:bookmarkStart w:id="6240" w:name="_Toc9449"/>
      <w:bookmarkStart w:id="6241" w:name="_Toc21834"/>
      <w:bookmarkStart w:id="6242" w:name="_Toc12800"/>
      <w:bookmarkStart w:id="6243" w:name="_Toc517532271"/>
      <w:bookmarkStart w:id="6244" w:name="_Toc29774"/>
      <w:bookmarkStart w:id="6245" w:name="_Toc9920"/>
      <w:bookmarkStart w:id="6246" w:name="_Toc30581"/>
      <w:bookmarkStart w:id="6247" w:name="_Toc32586"/>
      <w:bookmarkStart w:id="6248" w:name="_Toc517530995"/>
      <w:r>
        <w:rPr>
          <w:color w:val="auto"/>
        </w:rPr>
        <w:object>
          <v:shape id="_x0000_i1114" o:spt="201" type="#_x0000_t201" style="height:17.9pt;width:12.5pt;" o:ole="t" filled="f" o:preferrelative="t" stroked="f" coordsize="21600,21600">
            <v:path/>
            <v:fill on="f" focussize="0,0"/>
            <v:stroke on="f" joinstyle="miter"/>
            <v:imagedata o:title=""/>
            <o:lock v:ext="edit"/>
            <w10:wrap type="none"/>
            <w10:anchorlock/>
          </v:shape>
          <w:control r:id="rId181" w:name="CheckBox1289" w:shapeid="_x0000_i1114"/>
        </w:object>
      </w:r>
      <w:r>
        <w:rPr>
          <w:rFonts w:ascii="宋体" w:hAnsi="宋体" w:cs="宋体"/>
          <w:b/>
          <w:bCs/>
          <w:color w:val="auto"/>
          <w:sz w:val="28"/>
          <w:szCs w:val="28"/>
        </w:rPr>
        <w:t>5.4质量、安全检查</w:t>
      </w:r>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r>
        <w:rPr>
          <w:rFonts w:ascii="宋体" w:hAnsi="宋体" w:cs="宋体"/>
          <w:b/>
          <w:bCs/>
          <w:color w:val="auto"/>
          <w:sz w:val="28"/>
          <w:szCs w:val="28"/>
        </w:rPr>
        <w:t xml:space="preserve"> </w:t>
      </w:r>
    </w:p>
    <w:p>
      <w:pPr>
        <w:spacing w:line="360" w:lineRule="auto"/>
        <w:ind w:firstLine="420"/>
        <w:rPr>
          <w:rFonts w:ascii="宋体" w:hAnsi="宋体" w:cs="宋体"/>
          <w:color w:val="auto"/>
          <w:szCs w:val="21"/>
        </w:rPr>
      </w:pPr>
      <w:r>
        <w:rPr>
          <w:rFonts w:ascii="宋体" w:hAnsi="宋体" w:cs="宋体"/>
          <w:color w:val="auto"/>
          <w:szCs w:val="21"/>
        </w:rPr>
        <w:t>工务署对年度质量安全排名靠前的承包人给予奖励，对年度质量安全排名靠后的承包人给予处罚。年度质量安全排名靠前是指工务署汇总的年度排行榜中，年度质量安全排名在前15%且得分大于90分的（按参与排名承包人数量计算，四舍五入，且不超过3名）；年度质量安全排名靠后是指工务署汇总的年度排行榜中，排名在后15%且得分低于80分的（按参与排名承包人数量计算，四舍五入，且不超过3名）。奖罚标准如下：</w:t>
      </w:r>
    </w:p>
    <w:p>
      <w:pPr>
        <w:spacing w:line="360" w:lineRule="auto"/>
        <w:rPr>
          <w:rFonts w:ascii="宋体" w:hAnsi="宋体" w:cs="宋体"/>
          <w:color w:val="auto"/>
          <w:szCs w:val="21"/>
        </w:rPr>
      </w:pPr>
    </w:p>
    <w:tbl>
      <w:tblPr>
        <w:tblStyle w:val="40"/>
        <w:tblW w:w="8414" w:type="dxa"/>
        <w:jc w:val="center"/>
        <w:tblLayout w:type="autofit"/>
        <w:tblCellMar>
          <w:top w:w="0" w:type="dxa"/>
          <w:left w:w="108" w:type="dxa"/>
          <w:bottom w:w="0" w:type="dxa"/>
          <w:right w:w="108" w:type="dxa"/>
        </w:tblCellMar>
      </w:tblPr>
      <w:tblGrid>
        <w:gridCol w:w="1618"/>
        <w:gridCol w:w="6796"/>
      </w:tblGrid>
      <w:tr>
        <w:tblPrEx>
          <w:tblCellMar>
            <w:top w:w="0" w:type="dxa"/>
            <w:left w:w="108" w:type="dxa"/>
            <w:bottom w:w="0" w:type="dxa"/>
            <w:right w:w="108" w:type="dxa"/>
          </w:tblCellMar>
        </w:tblPrEx>
        <w:trPr>
          <w:trHeight w:val="499" w:hRule="atLeast"/>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宋体" w:hAnsi="宋体" w:cs="宋体"/>
                <w:color w:val="auto"/>
                <w:szCs w:val="21"/>
              </w:rPr>
            </w:pPr>
            <w:r>
              <w:rPr>
                <w:rFonts w:ascii="宋体" w:hAnsi="宋体" w:cs="宋体"/>
                <w:color w:val="auto"/>
                <w:szCs w:val="21"/>
              </w:rPr>
              <w:t>排行榜类别</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ascii="宋体" w:hAnsi="宋体" w:cs="宋体"/>
                <w:color w:val="auto"/>
                <w:szCs w:val="21"/>
              </w:rPr>
            </w:pPr>
            <w:r>
              <w:rPr>
                <w:rFonts w:ascii="宋体" w:hAnsi="宋体" w:cs="宋体"/>
                <w:color w:val="auto"/>
                <w:szCs w:val="21"/>
              </w:rPr>
              <w:t>奖励或处罚标准</w:t>
            </w:r>
          </w:p>
        </w:tc>
      </w:tr>
      <w:tr>
        <w:tblPrEx>
          <w:tblCellMar>
            <w:top w:w="0" w:type="dxa"/>
            <w:left w:w="108" w:type="dxa"/>
            <w:bottom w:w="0" w:type="dxa"/>
            <w:right w:w="108" w:type="dxa"/>
          </w:tblCellMar>
        </w:tblPrEx>
        <w:trPr>
          <w:trHeight w:val="1387" w:hRule="atLeast"/>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ascii="宋体" w:hAnsi="宋体" w:cs="宋体"/>
                <w:color w:val="auto"/>
                <w:szCs w:val="21"/>
              </w:rPr>
            </w:pPr>
            <w:r>
              <w:rPr>
                <w:rFonts w:ascii="宋体" w:hAnsi="宋体" w:cs="宋体"/>
                <w:color w:val="auto"/>
                <w:szCs w:val="21"/>
              </w:rPr>
              <w:t>质量</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ascii="宋体" w:hAnsi="宋体" w:cs="宋体"/>
                <w:color w:val="auto"/>
                <w:szCs w:val="21"/>
              </w:rPr>
            </w:pPr>
            <w:r>
              <w:rPr>
                <w:rFonts w:ascii="宋体" w:hAnsi="宋体" w:cs="宋体"/>
                <w:color w:val="auto"/>
                <w:szCs w:val="21"/>
              </w:rPr>
              <w:t>签约合同金额≤5000万元，奖励或处罚10万元；</w:t>
            </w:r>
          </w:p>
          <w:p>
            <w:pPr>
              <w:spacing w:line="360" w:lineRule="auto"/>
              <w:ind w:firstLine="420"/>
              <w:rPr>
                <w:rFonts w:ascii="宋体" w:hAnsi="宋体" w:cs="宋体"/>
                <w:color w:val="auto"/>
                <w:szCs w:val="21"/>
              </w:rPr>
            </w:pPr>
            <w:r>
              <w:rPr>
                <w:rFonts w:ascii="宋体" w:hAnsi="宋体" w:cs="宋体"/>
                <w:color w:val="auto"/>
                <w:szCs w:val="21"/>
              </w:rPr>
              <w:t>5000万元＜签约合同金额≤20000万元，奖励或处罚20万元；</w:t>
            </w:r>
          </w:p>
          <w:p>
            <w:pPr>
              <w:spacing w:line="360" w:lineRule="auto"/>
              <w:ind w:firstLine="420"/>
              <w:rPr>
                <w:rFonts w:ascii="宋体" w:hAnsi="宋体" w:cs="宋体"/>
                <w:color w:val="auto"/>
                <w:szCs w:val="21"/>
              </w:rPr>
            </w:pPr>
            <w:r>
              <w:rPr>
                <w:rFonts w:ascii="宋体" w:hAnsi="宋体" w:cs="宋体"/>
                <w:color w:val="auto"/>
                <w:szCs w:val="21"/>
              </w:rPr>
              <w:t>20000万元＜签约合同金额≤50000万元，奖励或处罚30万元；</w:t>
            </w:r>
          </w:p>
          <w:p>
            <w:pPr>
              <w:spacing w:line="360" w:lineRule="auto"/>
              <w:ind w:firstLine="420"/>
              <w:rPr>
                <w:rFonts w:ascii="宋体" w:hAnsi="宋体" w:cs="宋体"/>
                <w:color w:val="auto"/>
                <w:szCs w:val="21"/>
              </w:rPr>
            </w:pPr>
            <w:r>
              <w:rPr>
                <w:rFonts w:ascii="宋体" w:hAnsi="宋体" w:cs="宋体"/>
                <w:color w:val="auto"/>
                <w:szCs w:val="21"/>
              </w:rPr>
              <w:t>50000万元＜签约合同金额，奖励或处罚50万元。</w:t>
            </w:r>
          </w:p>
        </w:tc>
      </w:tr>
      <w:tr>
        <w:tblPrEx>
          <w:tblCellMar>
            <w:top w:w="0" w:type="dxa"/>
            <w:left w:w="108" w:type="dxa"/>
            <w:bottom w:w="0" w:type="dxa"/>
            <w:right w:w="108" w:type="dxa"/>
          </w:tblCellMar>
        </w:tblPrEx>
        <w:trPr>
          <w:trHeight w:val="1144" w:hRule="atLeast"/>
          <w:jc w:val="center"/>
        </w:trPr>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ascii="宋体" w:hAnsi="宋体" w:cs="宋体"/>
                <w:color w:val="auto"/>
                <w:szCs w:val="21"/>
              </w:rPr>
            </w:pPr>
            <w:r>
              <w:rPr>
                <w:rFonts w:ascii="宋体" w:hAnsi="宋体" w:cs="宋体"/>
                <w:color w:val="auto"/>
                <w:szCs w:val="21"/>
              </w:rPr>
              <w:t>安全文明</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20"/>
              <w:rPr>
                <w:rFonts w:ascii="宋体" w:hAnsi="宋体" w:cs="宋体"/>
                <w:color w:val="auto"/>
                <w:szCs w:val="21"/>
              </w:rPr>
            </w:pPr>
            <w:r>
              <w:rPr>
                <w:rFonts w:ascii="宋体" w:hAnsi="宋体" w:cs="宋体"/>
                <w:color w:val="auto"/>
                <w:szCs w:val="21"/>
              </w:rPr>
              <w:t>签约合同金额≤5000万元，奖励或处罚10万元；</w:t>
            </w:r>
          </w:p>
          <w:p>
            <w:pPr>
              <w:spacing w:line="360" w:lineRule="auto"/>
              <w:ind w:firstLine="420"/>
              <w:rPr>
                <w:rFonts w:ascii="宋体" w:hAnsi="宋体" w:cs="宋体"/>
                <w:color w:val="auto"/>
                <w:szCs w:val="21"/>
              </w:rPr>
            </w:pPr>
            <w:r>
              <w:rPr>
                <w:rFonts w:ascii="宋体" w:hAnsi="宋体" w:cs="宋体"/>
                <w:color w:val="auto"/>
                <w:szCs w:val="21"/>
              </w:rPr>
              <w:t>5000万元＜签约合同金额≤20000万元，奖励或处罚20万元；</w:t>
            </w:r>
          </w:p>
          <w:p>
            <w:pPr>
              <w:spacing w:line="360" w:lineRule="auto"/>
              <w:ind w:firstLine="420"/>
              <w:rPr>
                <w:rFonts w:ascii="宋体" w:hAnsi="宋体" w:cs="宋体"/>
                <w:color w:val="auto"/>
                <w:szCs w:val="21"/>
              </w:rPr>
            </w:pPr>
            <w:r>
              <w:rPr>
                <w:rFonts w:ascii="宋体" w:hAnsi="宋体" w:cs="宋体"/>
                <w:color w:val="auto"/>
                <w:szCs w:val="21"/>
              </w:rPr>
              <w:t>20000万元＜签约合同金额≤50000万元，奖励或处罚30万元；</w:t>
            </w:r>
          </w:p>
          <w:p>
            <w:pPr>
              <w:spacing w:line="360" w:lineRule="auto"/>
              <w:ind w:firstLine="420"/>
              <w:rPr>
                <w:rFonts w:ascii="宋体" w:hAnsi="宋体" w:cs="宋体"/>
                <w:color w:val="auto"/>
                <w:szCs w:val="21"/>
              </w:rPr>
            </w:pPr>
            <w:r>
              <w:rPr>
                <w:rFonts w:ascii="宋体" w:hAnsi="宋体" w:cs="宋体"/>
                <w:color w:val="auto"/>
                <w:szCs w:val="21"/>
              </w:rPr>
              <w:t>50000万元＜签约合同金额，奖励或处罚50万元。</w:t>
            </w:r>
          </w:p>
        </w:tc>
      </w:tr>
    </w:tbl>
    <w:p>
      <w:pPr>
        <w:keepNext/>
        <w:keepLines/>
        <w:numPr>
          <w:ilvl w:val="0"/>
          <w:numId w:val="0"/>
        </w:numPr>
        <w:spacing w:before="156" w:after="156" w:line="360" w:lineRule="auto"/>
        <w:ind w:firstLine="602"/>
        <w:outlineLvl w:val="1"/>
        <w:rPr>
          <w:rFonts w:ascii="宋体" w:hAnsi="宋体" w:cs="宋体"/>
          <w:b/>
          <w:bCs/>
          <w:color w:val="auto"/>
          <w:sz w:val="30"/>
          <w:szCs w:val="30"/>
        </w:rPr>
      </w:pPr>
      <w:r>
        <w:rPr>
          <w:rFonts w:ascii="宋体" w:hAnsi="宋体" w:cs="宋体"/>
          <w:b/>
          <w:bCs/>
          <w:color w:val="auto"/>
          <w:sz w:val="30"/>
          <w:szCs w:val="30"/>
        </w:rPr>
        <w:t>6.安全文明施工与环境保护</w:t>
      </w:r>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Start w:id="6249" w:name="_Toc12746"/>
      <w:bookmarkEnd w:id="6249"/>
      <w:bookmarkStart w:id="6250" w:name="_Toc351203638"/>
      <w:bookmarkEnd w:id="6250"/>
      <w:bookmarkStart w:id="6251" w:name="_Toc9570"/>
      <w:bookmarkEnd w:id="6251"/>
      <w:bookmarkStart w:id="6252" w:name="_Toc465237250"/>
      <w:bookmarkEnd w:id="6252"/>
      <w:bookmarkStart w:id="6253" w:name="_Toc26099"/>
      <w:bookmarkEnd w:id="6253"/>
      <w:bookmarkStart w:id="6254" w:name="_Toc465237148"/>
      <w:bookmarkEnd w:id="6254"/>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255" w:name="_Toc517528790"/>
      <w:bookmarkStart w:id="6256" w:name="_Toc13405"/>
      <w:bookmarkStart w:id="6257" w:name="_Toc16742"/>
      <w:bookmarkStart w:id="6258" w:name="_Toc7243"/>
      <w:bookmarkStart w:id="6259" w:name="_Toc21225"/>
      <w:bookmarkStart w:id="6260" w:name="_Toc517532273"/>
      <w:bookmarkStart w:id="6261" w:name="_Toc5496"/>
      <w:bookmarkStart w:id="6262" w:name="_Toc30491"/>
      <w:bookmarkStart w:id="6263" w:name="_Toc32705"/>
      <w:bookmarkStart w:id="6264" w:name="_Toc517530997"/>
      <w:bookmarkStart w:id="6265" w:name="_Toc25366"/>
      <w:bookmarkStart w:id="6266" w:name="_Toc13299"/>
      <w:bookmarkStart w:id="6267" w:name="_Toc9752"/>
      <w:bookmarkStart w:id="6268" w:name="_Toc12243"/>
      <w:bookmarkStart w:id="6269" w:name="_Toc21045"/>
      <w:bookmarkStart w:id="6270" w:name="_Toc1214"/>
      <w:bookmarkStart w:id="6271" w:name="_Toc29625"/>
      <w:bookmarkStart w:id="6272" w:name="_Toc9235"/>
      <w:bookmarkStart w:id="6273" w:name="_Toc27056"/>
      <w:bookmarkStart w:id="6274" w:name="_Toc12369"/>
      <w:bookmarkStart w:id="6275" w:name="_Toc15670"/>
      <w:bookmarkStart w:id="6276" w:name="_Toc10448"/>
      <w:r>
        <w:rPr>
          <w:rFonts w:ascii="宋体" w:hAnsi="宋体" w:cs="宋体"/>
          <w:b/>
          <w:bCs/>
          <w:color w:val="auto"/>
          <w:sz w:val="28"/>
          <w:szCs w:val="28"/>
        </w:rPr>
        <w:t>6.1安全文明施工</w:t>
      </w:r>
      <w:bookmarkEnd w:id="6255"/>
      <w:bookmarkEnd w:id="6256"/>
      <w:bookmarkEnd w:id="6257"/>
      <w:bookmarkEnd w:id="6258"/>
      <w:bookmarkEnd w:id="6259"/>
      <w:bookmarkEnd w:id="6260"/>
      <w:bookmarkEnd w:id="6261"/>
      <w:bookmarkEnd w:id="6262"/>
      <w:bookmarkEnd w:id="6263"/>
      <w:bookmarkEnd w:id="6264"/>
      <w:bookmarkEnd w:id="6265"/>
      <w:bookmarkEnd w:id="6266"/>
    </w:p>
    <w:p>
      <w:pPr>
        <w:numPr>
          <w:ilvl w:val="0"/>
          <w:numId w:val="0"/>
        </w:numPr>
        <w:spacing w:line="360" w:lineRule="auto"/>
        <w:ind w:firstLine="482"/>
        <w:jc w:val="left"/>
        <w:outlineLvl w:val="3"/>
        <w:rPr>
          <w:rFonts w:ascii="宋体" w:hAnsi="宋体" w:cs="宋体"/>
          <w:b/>
          <w:bCs/>
          <w:color w:val="auto"/>
          <w:sz w:val="24"/>
          <w:szCs w:val="24"/>
        </w:rPr>
      </w:pPr>
      <w:bookmarkStart w:id="6277" w:name="_Toc517530998"/>
      <w:bookmarkStart w:id="6278" w:name="_Toc30659"/>
      <w:bookmarkStart w:id="6279" w:name="_Toc517532274"/>
      <w:bookmarkStart w:id="6280" w:name="_Toc17896"/>
      <w:bookmarkStart w:id="6281" w:name="_Toc3263"/>
      <w:bookmarkStart w:id="6282" w:name="_Toc24101"/>
      <w:r>
        <w:rPr>
          <w:rFonts w:ascii="宋体" w:hAnsi="宋体" w:cs="宋体"/>
          <w:b/>
          <w:bCs/>
          <w:color w:val="auto"/>
          <w:sz w:val="24"/>
          <w:szCs w:val="24"/>
        </w:rPr>
        <w:t>6.1.1一般要求</w:t>
      </w:r>
      <w:bookmarkEnd w:id="6277"/>
      <w:bookmarkEnd w:id="6278"/>
      <w:bookmarkEnd w:id="6279"/>
      <w:bookmarkEnd w:id="6280"/>
    </w:p>
    <w:p>
      <w:pPr>
        <w:spacing w:line="360" w:lineRule="auto"/>
        <w:ind w:firstLine="482"/>
        <w:jc w:val="left"/>
        <w:rPr>
          <w:rFonts w:ascii="宋体" w:hAnsi="宋体" w:cs="宋体"/>
          <w:b/>
          <w:bCs/>
          <w:color w:val="auto"/>
          <w:sz w:val="24"/>
          <w:szCs w:val="24"/>
        </w:rPr>
      </w:pPr>
      <w:r>
        <w:rPr>
          <w:rFonts w:ascii="宋体" w:hAnsi="宋体" w:cs="宋体"/>
          <w:b/>
          <w:bCs/>
          <w:color w:val="auto"/>
          <w:sz w:val="24"/>
          <w:szCs w:val="24"/>
        </w:rPr>
        <w:t>增加：</w:t>
      </w:r>
    </w:p>
    <w:p>
      <w:pPr>
        <w:spacing w:line="360" w:lineRule="auto"/>
        <w:ind w:firstLine="420"/>
        <w:jc w:val="left"/>
        <w:rPr>
          <w:rFonts w:ascii="宋体" w:hAnsi="宋体" w:cs="宋体"/>
          <w:color w:val="auto"/>
          <w:szCs w:val="21"/>
        </w:rPr>
      </w:pPr>
      <w:r>
        <w:rPr>
          <w:rFonts w:ascii="宋体" w:hAnsi="宋体" w:cs="宋体"/>
          <w:color w:val="auto"/>
          <w:szCs w:val="21"/>
        </w:rPr>
        <w:t>在实施和完成本合同工程及其缺陷修复的整个过程中，承包人应该遵守深圳市相关法律法规和标准规定：</w:t>
      </w:r>
    </w:p>
    <w:p>
      <w:pPr>
        <w:spacing w:line="360" w:lineRule="auto"/>
        <w:ind w:firstLine="420"/>
        <w:jc w:val="left"/>
        <w:rPr>
          <w:rFonts w:ascii="宋体" w:hAnsi="宋体" w:cs="宋体"/>
          <w:color w:val="auto"/>
          <w:szCs w:val="21"/>
        </w:rPr>
      </w:pPr>
      <w:r>
        <w:rPr>
          <w:rFonts w:ascii="宋体" w:hAnsi="宋体" w:cs="宋体"/>
          <w:color w:val="auto"/>
          <w:szCs w:val="21"/>
        </w:rPr>
        <w:t>《深圳市建设工程安全文明施工十项标准（试行）》</w:t>
      </w:r>
    </w:p>
    <w:p>
      <w:pPr>
        <w:spacing w:line="360" w:lineRule="auto"/>
        <w:ind w:firstLine="420"/>
        <w:jc w:val="left"/>
        <w:rPr>
          <w:rFonts w:ascii="宋体" w:hAnsi="宋体" w:cs="宋体"/>
          <w:color w:val="auto"/>
          <w:szCs w:val="21"/>
        </w:rPr>
      </w:pPr>
      <w:r>
        <w:rPr>
          <w:rFonts w:ascii="宋体" w:hAnsi="宋体" w:cs="宋体"/>
          <w:color w:val="auto"/>
          <w:szCs w:val="21"/>
        </w:rPr>
        <w:t>《深圳市建设工程安全文明施工十项禁令》</w:t>
      </w:r>
    </w:p>
    <w:p>
      <w:pPr>
        <w:spacing w:line="360" w:lineRule="auto"/>
        <w:ind w:firstLine="420"/>
        <w:jc w:val="left"/>
        <w:rPr>
          <w:rFonts w:ascii="宋体" w:hAnsi="宋体" w:cs="宋体"/>
          <w:color w:val="auto"/>
          <w:szCs w:val="21"/>
        </w:rPr>
      </w:pPr>
      <w:r>
        <w:rPr>
          <w:rFonts w:ascii="宋体" w:hAnsi="宋体" w:cs="宋体"/>
          <w:color w:val="auto"/>
          <w:szCs w:val="21"/>
        </w:rPr>
        <w:t>《深圳市建设工程安全文明施工标准》</w:t>
      </w:r>
    </w:p>
    <w:p>
      <w:pPr>
        <w:spacing w:line="360" w:lineRule="auto"/>
        <w:ind w:firstLine="420"/>
        <w:jc w:val="left"/>
        <w:rPr>
          <w:rFonts w:ascii="宋体" w:hAnsi="宋体" w:cs="宋体"/>
          <w:color w:val="auto"/>
          <w:szCs w:val="21"/>
        </w:rPr>
      </w:pPr>
      <w:r>
        <w:rPr>
          <w:rFonts w:ascii="宋体" w:hAnsi="宋体" w:cs="宋体"/>
          <w:color w:val="auto"/>
          <w:szCs w:val="21"/>
        </w:rPr>
        <w:t>《深圳市建筑工务署安全文明标准化手册3.0》</w:t>
      </w:r>
    </w:p>
    <w:p>
      <w:pPr>
        <w:spacing w:line="360" w:lineRule="auto"/>
        <w:ind w:firstLine="420"/>
        <w:jc w:val="left"/>
        <w:rPr>
          <w:rFonts w:ascii="宋体" w:hAnsi="宋体" w:cs="宋体"/>
          <w:color w:val="auto"/>
          <w:szCs w:val="21"/>
          <w:u w:val="single"/>
        </w:rPr>
      </w:pPr>
      <w:r>
        <w:rPr>
          <w:rFonts w:ascii="宋体" w:hAnsi="宋体" w:cs="宋体"/>
          <w:color w:val="auto"/>
          <w:szCs w:val="21"/>
          <w:u w:val="single"/>
        </w:rPr>
        <w:t xml:space="preserve">                                                  </w:t>
      </w:r>
    </w:p>
    <w:p>
      <w:pPr>
        <w:spacing w:line="360" w:lineRule="auto"/>
        <w:ind w:firstLine="420"/>
        <w:jc w:val="left"/>
        <w:rPr>
          <w:rFonts w:ascii="宋体" w:hAnsi="宋体" w:cs="宋体"/>
          <w:color w:val="auto"/>
          <w:szCs w:val="21"/>
          <w:u w:val="single"/>
        </w:rPr>
      </w:pPr>
      <w:r>
        <w:rPr>
          <w:rFonts w:ascii="宋体" w:hAnsi="宋体" w:cs="宋体"/>
          <w:color w:val="auto"/>
          <w:szCs w:val="21"/>
          <w:u w:val="single"/>
        </w:rPr>
        <w:t xml:space="preserve">                                                  </w:t>
      </w:r>
    </w:p>
    <w:p>
      <w:pPr>
        <w:spacing w:line="360" w:lineRule="auto"/>
        <w:ind w:firstLine="420"/>
        <w:jc w:val="left"/>
        <w:rPr>
          <w:rFonts w:ascii="宋体" w:hAnsi="宋体" w:cs="宋体"/>
          <w:color w:val="auto"/>
          <w:szCs w:val="21"/>
          <w:u w:val="single"/>
        </w:rPr>
      </w:pPr>
      <w:r>
        <w:rPr>
          <w:rFonts w:ascii="宋体" w:hAnsi="宋体" w:cs="宋体"/>
          <w:color w:val="auto"/>
          <w:szCs w:val="21"/>
          <w:u w:val="single"/>
        </w:rPr>
        <w:t xml:space="preserve"> 承包人应按照深圳市相关要求和根据工程性质规模，建立现场视频采集系统，开展实时监控。承包人应当按照建筑从业人员实名制管理的相关要求，利用人脸、虹膜等生物活体信息技术，在工地出入口设立实名闸机通道，实行联网运行。                         </w:t>
      </w:r>
      <w:r>
        <w:rPr>
          <w:rFonts w:ascii="宋体" w:hAnsi="宋体" w:cs="宋体"/>
          <w:color w:val="auto"/>
          <w:szCs w:val="21"/>
        </w:rPr>
        <w:t xml:space="preserve"> </w:t>
      </w:r>
      <w:bookmarkStart w:id="6283" w:name="_Toc16477"/>
      <w:bookmarkStart w:id="6284" w:name="_Toc8107"/>
      <w:bookmarkStart w:id="6285" w:name="_Toc6884"/>
      <w:bookmarkStart w:id="6286" w:name="_Toc2019"/>
      <w:bookmarkStart w:id="6287" w:name="_Toc517530999"/>
      <w:bookmarkStart w:id="6288" w:name="_Toc21991"/>
      <w:bookmarkStart w:id="6289" w:name="_Toc517532275"/>
      <w:bookmarkStart w:id="6290" w:name="_Toc12392"/>
      <w:bookmarkStart w:id="6291" w:name="_Toc23838"/>
    </w:p>
    <w:p>
      <w:pPr>
        <w:spacing w:line="360" w:lineRule="auto"/>
        <w:jc w:val="left"/>
        <w:rPr>
          <w:rFonts w:ascii="宋体" w:hAnsi="宋体" w:cs="宋体"/>
          <w:b/>
          <w:bCs/>
          <w:color w:val="auto"/>
          <w:sz w:val="24"/>
          <w:szCs w:val="24"/>
        </w:rPr>
      </w:pPr>
      <w:r>
        <w:rPr>
          <w:color w:val="auto"/>
        </w:rPr>
        <w:object>
          <v:shape id="_x0000_i1115" o:spt="201" type="#_x0000_t201" style="height:17.9pt;width:12.5pt;" o:ole="t" filled="f" o:preferrelative="t" stroked="f" coordsize="21600,21600">
            <v:path/>
            <v:fill on="f" focussize="0,0"/>
            <v:stroke on="f" joinstyle="miter"/>
            <v:imagedata o:title=""/>
            <o:lock v:ext="edit"/>
            <w10:wrap type="none"/>
            <w10:anchorlock/>
          </v:shape>
          <w:control r:id="rId182" w:name="CheckBox1290" w:shapeid="_x0000_i1115"/>
        </w:object>
      </w:r>
      <w:r>
        <w:rPr>
          <w:rFonts w:ascii="宋体" w:hAnsi="宋体" w:cs="宋体"/>
          <w:b/>
          <w:bCs/>
          <w:color w:val="auto"/>
          <w:sz w:val="24"/>
          <w:szCs w:val="24"/>
        </w:rPr>
        <w:t>6.1.8安全体验馆建设</w:t>
      </w:r>
      <w:bookmarkEnd w:id="6267"/>
      <w:bookmarkEnd w:id="6268"/>
      <w:bookmarkEnd w:id="6269"/>
      <w:bookmarkEnd w:id="6270"/>
      <w:bookmarkEnd w:id="6271"/>
      <w:bookmarkEnd w:id="6272"/>
      <w:bookmarkEnd w:id="6273"/>
      <w:bookmarkEnd w:id="6274"/>
      <w:bookmarkEnd w:id="6275"/>
      <w:bookmarkEnd w:id="6281"/>
      <w:bookmarkEnd w:id="6282"/>
      <w:bookmarkEnd w:id="6283"/>
      <w:bookmarkEnd w:id="6284"/>
      <w:bookmarkEnd w:id="6285"/>
      <w:bookmarkEnd w:id="6286"/>
      <w:bookmarkEnd w:id="6287"/>
      <w:bookmarkEnd w:id="6288"/>
      <w:bookmarkEnd w:id="6289"/>
      <w:bookmarkEnd w:id="6290"/>
      <w:bookmarkEnd w:id="6291"/>
    </w:p>
    <w:p>
      <w:pPr>
        <w:spacing w:line="360" w:lineRule="auto"/>
        <w:ind w:firstLine="420"/>
        <w:rPr>
          <w:rFonts w:ascii="宋体" w:hAnsi="宋体" w:cs="宋体"/>
          <w:color w:val="auto"/>
          <w:szCs w:val="21"/>
        </w:rPr>
      </w:pPr>
      <w:r>
        <w:rPr>
          <w:rFonts w:ascii="宋体" w:hAnsi="宋体" w:cs="宋体"/>
          <w:color w:val="auto"/>
          <w:szCs w:val="21"/>
        </w:rPr>
        <w:t>总承包单位应建设安全体验馆，安全体验馆的建设应满足相关质量安全标准，且必须包括以下内容（但不限于以下内容）:</w:t>
      </w:r>
    </w:p>
    <w:p>
      <w:pPr>
        <w:spacing w:line="360" w:lineRule="auto"/>
        <w:ind w:firstLine="420"/>
        <w:rPr>
          <w:rFonts w:ascii="宋体" w:hAnsi="宋体" w:cs="宋体"/>
          <w:color w:val="auto"/>
          <w:szCs w:val="21"/>
        </w:rPr>
      </w:pPr>
      <w:r>
        <w:rPr>
          <w:rFonts w:ascii="宋体" w:hAnsi="宋体" w:cs="宋体"/>
          <w:color w:val="auto"/>
          <w:szCs w:val="21"/>
        </w:rPr>
        <w:t>安全体验培训区、平衡木体验、移动式操作平台体验、灭火器演示体验、安全带使用体验、梯子体验、钢丝绳作业体验、安全栏杆推倒实验、综合用电体验区、开口部坠落体验、搬运重物体验、防护服培训、安全帽的撞击体验、安全提示标志等。</w:t>
      </w:r>
    </w:p>
    <w:p>
      <w:pPr>
        <w:spacing w:line="360" w:lineRule="auto"/>
        <w:ind w:firstLine="420"/>
        <w:jc w:val="left"/>
        <w:rPr>
          <w:rFonts w:ascii="宋体" w:hAnsi="宋体" w:cs="宋体"/>
          <w:color w:val="auto"/>
          <w:szCs w:val="21"/>
        </w:rPr>
      </w:pPr>
      <w:r>
        <w:rPr>
          <w:rFonts w:ascii="宋体" w:hAnsi="宋体" w:cs="宋体"/>
          <w:color w:val="auto"/>
          <w:szCs w:val="21"/>
        </w:rPr>
        <w:t xml:space="preserve">（注：招标部分的金额为人民币5亿元及以上的总承包工程可勾选；如项目分标段委托的，由发包人指定标段建设。) </w:t>
      </w:r>
    </w:p>
    <w:p>
      <w:pPr>
        <w:keepNext/>
        <w:keepLines/>
        <w:numPr>
          <w:ilvl w:val="0"/>
          <w:numId w:val="0"/>
        </w:numPr>
        <w:spacing w:before="156" w:after="156" w:line="360" w:lineRule="auto"/>
        <w:outlineLvl w:val="3"/>
        <w:rPr>
          <w:rFonts w:ascii="宋体" w:hAnsi="宋体" w:cs="宋体"/>
          <w:b/>
          <w:bCs/>
          <w:color w:val="auto"/>
          <w:sz w:val="24"/>
          <w:szCs w:val="24"/>
        </w:rPr>
      </w:pPr>
      <w:bookmarkStart w:id="6292" w:name="_Toc27394"/>
      <w:bookmarkStart w:id="6293" w:name="_Toc517531001"/>
      <w:bookmarkStart w:id="6294" w:name="_Toc16235"/>
      <w:bookmarkStart w:id="6295" w:name="_Toc12391"/>
      <w:bookmarkStart w:id="6296" w:name="_Toc24266"/>
      <w:bookmarkStart w:id="6297" w:name="_Toc5797"/>
      <w:bookmarkStart w:id="6298" w:name="_Toc15822"/>
      <w:bookmarkStart w:id="6299" w:name="_Toc6218"/>
      <w:bookmarkStart w:id="6300" w:name="_Toc22219"/>
      <w:bookmarkStart w:id="6301" w:name="_Toc465237149"/>
      <w:bookmarkStart w:id="6302" w:name="_Toc465237251"/>
      <w:bookmarkStart w:id="6303" w:name="_Toc8492"/>
      <w:bookmarkStart w:id="6304" w:name="_Toc27563"/>
      <w:bookmarkStart w:id="6305" w:name="_Toc31954"/>
      <w:bookmarkStart w:id="6306" w:name="_Toc517532277"/>
      <w:bookmarkStart w:id="6307" w:name="_Toc1655"/>
      <w:bookmarkStart w:id="6308" w:name="_Toc18014"/>
      <w:bookmarkStart w:id="6309" w:name="_Toc3748"/>
      <w:bookmarkStart w:id="6310" w:name="_Toc1014"/>
      <w:bookmarkStart w:id="6311" w:name="_Toc4763"/>
      <w:bookmarkStart w:id="6312" w:name="_Toc23887"/>
      <w:bookmarkStart w:id="6313" w:name="_Toc27618"/>
      <w:r>
        <w:rPr>
          <w:color w:val="auto"/>
        </w:rPr>
        <w:object>
          <v:shape id="_x0000_i1116" o:spt="201" type="#_x0000_t201" style="height:17.9pt;width:12.5pt;" o:ole="t" filled="f" o:preferrelative="t" stroked="f" coordsize="21600,21600">
            <v:path/>
            <v:fill on="f" focussize="0,0"/>
            <v:stroke on="f" joinstyle="miter"/>
            <v:imagedata o:title=""/>
            <o:lock v:ext="edit"/>
            <w10:wrap type="none"/>
            <w10:anchorlock/>
          </v:shape>
          <w:control r:id="rId183" w:name="CheckBox1292" w:shapeid="_x0000_i1116"/>
        </w:object>
      </w:r>
      <w:r>
        <w:rPr>
          <w:rFonts w:ascii="宋体" w:hAnsi="宋体" w:cs="宋体"/>
          <w:b/>
          <w:bCs/>
          <w:color w:val="auto"/>
          <w:sz w:val="24"/>
          <w:szCs w:val="24"/>
        </w:rPr>
        <w:t>6.1.9安全事故应急预案</w:t>
      </w:r>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p>
    <w:p>
      <w:pPr>
        <w:spacing w:line="360" w:lineRule="auto"/>
        <w:ind w:firstLine="420"/>
        <w:rPr>
          <w:rFonts w:ascii="宋体" w:hAnsi="宋体" w:cs="宋体"/>
          <w:bCs/>
          <w:color w:val="auto"/>
          <w:szCs w:val="21"/>
        </w:rPr>
      </w:pPr>
      <w:r>
        <w:rPr>
          <w:rFonts w:ascii="宋体" w:hAnsi="宋体" w:cs="宋体"/>
          <w:bCs/>
          <w:color w:val="auto"/>
          <w:szCs w:val="21"/>
        </w:rPr>
        <w:t>承包人应在合同签订后在发包人给定的时间内编制安全生产安全事故应急预案。</w:t>
      </w:r>
    </w:p>
    <w:p>
      <w:pPr>
        <w:keepNext/>
        <w:keepLines/>
        <w:numPr>
          <w:ilvl w:val="0"/>
          <w:numId w:val="0"/>
        </w:numPr>
        <w:spacing w:before="156" w:after="156" w:line="360" w:lineRule="auto"/>
        <w:outlineLvl w:val="3"/>
        <w:rPr>
          <w:rFonts w:ascii="宋体" w:hAnsi="宋体" w:cs="宋体"/>
          <w:b/>
          <w:bCs/>
          <w:color w:val="auto"/>
          <w:sz w:val="24"/>
          <w:szCs w:val="24"/>
        </w:rPr>
      </w:pPr>
      <w:bookmarkStart w:id="6314" w:name="_Toc29492"/>
      <w:bookmarkStart w:id="6315" w:name="_Toc517532278"/>
      <w:bookmarkStart w:id="6316" w:name="_Toc12920"/>
      <w:bookmarkStart w:id="6317" w:name="_Toc22094"/>
      <w:bookmarkStart w:id="6318" w:name="_Toc25309"/>
      <w:bookmarkStart w:id="6319" w:name="_Toc5700"/>
      <w:bookmarkStart w:id="6320" w:name="_Toc9590"/>
      <w:bookmarkStart w:id="6321" w:name="_Toc18045"/>
      <w:bookmarkStart w:id="6322" w:name="_Toc28963"/>
      <w:bookmarkStart w:id="6323" w:name="_Toc15633"/>
      <w:bookmarkStart w:id="6324" w:name="_Toc517531002"/>
      <w:bookmarkStart w:id="6325" w:name="_Toc26270"/>
      <w:bookmarkStart w:id="6326" w:name="_Toc25893"/>
      <w:bookmarkStart w:id="6327" w:name="_Toc23829"/>
      <w:bookmarkStart w:id="6328" w:name="_Toc18503"/>
      <w:bookmarkStart w:id="6329" w:name="_Toc10907"/>
      <w:bookmarkStart w:id="6330" w:name="_Toc15518"/>
      <w:bookmarkStart w:id="6331" w:name="_Toc19469"/>
      <w:bookmarkStart w:id="6332" w:name="_Toc1403"/>
      <w:bookmarkStart w:id="6333" w:name="_Toc1868"/>
      <w:r>
        <w:rPr>
          <w:color w:val="auto"/>
        </w:rPr>
        <w:object>
          <v:shape id="_x0000_i1117" o:spt="201" type="#_x0000_t201" style="height:17.9pt;width:12.5pt;" o:ole="t" filled="f" o:preferrelative="t" stroked="f" coordsize="21600,21600">
            <v:path/>
            <v:fill on="f" focussize="0,0"/>
            <v:stroke on="f" joinstyle="miter"/>
            <v:imagedata o:title=""/>
            <o:lock v:ext="edit"/>
            <w10:wrap type="none"/>
            <w10:anchorlock/>
          </v:shape>
          <w:control r:id="rId184" w:name="CheckBox1293" w:shapeid="_x0000_i1117"/>
        </w:object>
      </w:r>
      <w:r>
        <w:rPr>
          <w:rFonts w:ascii="宋体" w:hAnsi="宋体" w:cs="宋体"/>
          <w:b/>
          <w:bCs/>
          <w:color w:val="auto"/>
          <w:sz w:val="24"/>
          <w:szCs w:val="24"/>
        </w:rPr>
        <w:t>6.1.10建设单位办公临建要求</w:t>
      </w:r>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p>
    <w:p>
      <w:pPr>
        <w:spacing w:line="360" w:lineRule="auto"/>
        <w:ind w:firstLine="420"/>
        <w:rPr>
          <w:rFonts w:ascii="宋体" w:hAnsi="宋体" w:cs="宋体"/>
          <w:color w:val="auto"/>
          <w:szCs w:val="21"/>
        </w:rPr>
      </w:pPr>
      <w:r>
        <w:rPr>
          <w:rFonts w:ascii="宋体" w:hAnsi="宋体" w:cs="宋体"/>
          <w:color w:val="auto"/>
          <w:szCs w:val="21"/>
        </w:rPr>
        <w:t>承包人应为发包</w:t>
      </w:r>
      <w:r>
        <w:rPr>
          <w:rFonts w:ascii="宋体" w:hAnsi="宋体" w:cs="宋体"/>
          <w:bCs/>
          <w:color w:val="auto"/>
          <w:szCs w:val="21"/>
        </w:rPr>
        <w:t>人</w:t>
      </w:r>
      <w:r>
        <w:rPr>
          <w:rFonts w:ascii="宋体" w:hAnsi="宋体" w:cs="宋体"/>
          <w:color w:val="auto"/>
          <w:szCs w:val="21"/>
        </w:rPr>
        <w:t>提供临时办公用房，要求为（由发包人二选一）：</w:t>
      </w:r>
    </w:p>
    <w:p>
      <w:pPr>
        <w:spacing w:line="360" w:lineRule="auto"/>
        <w:ind w:firstLine="420"/>
        <w:rPr>
          <w:rFonts w:ascii="宋体" w:hAnsi="宋体" w:cs="宋体"/>
          <w:color w:val="auto"/>
          <w:szCs w:val="21"/>
        </w:rPr>
      </w:pPr>
      <w:r>
        <w:rPr>
          <w:rFonts w:ascii="Wingdings 2" w:hAnsi="Wingdings 2" w:eastAsia="Wingdings 2" w:cs="Wingdings 2"/>
          <w:color w:val="auto"/>
          <w:szCs w:val="21"/>
        </w:rPr>
        <w:t>£</w:t>
      </w:r>
      <w:r>
        <w:rPr>
          <w:color w:val="auto"/>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148590" cy="180975"/>
            <wp:effectExtent l="0" t="0" r="0" b="0"/>
            <wp:wrapNone/>
            <wp:docPr id="44" name="图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像1"/>
                    <pic:cNvPicPr>
                      <a:picLocks noChangeAspect="1" noChangeArrowheads="1"/>
                    </pic:cNvPicPr>
                  </pic:nvPicPr>
                  <pic:blipFill>
                    <a:blip r:embed="rId185"/>
                    <a:stretch>
                      <a:fillRect/>
                    </a:stretch>
                  </pic:blipFill>
                  <pic:spPr>
                    <a:xfrm>
                      <a:off x="0" y="0"/>
                      <a:ext cx="148590" cy="180975"/>
                    </a:xfrm>
                    <a:prstGeom prst="rect">
                      <a:avLst/>
                    </a:prstGeom>
                  </pic:spPr>
                </pic:pic>
              </a:graphicData>
            </a:graphic>
          </wp:anchor>
        </w:drawing>
      </w:r>
      <w:r>
        <w:rPr>
          <w:rFonts w:ascii="宋体" w:hAnsi="宋体" w:cs="宋体"/>
          <w:color w:val="auto"/>
          <w:szCs w:val="21"/>
        </w:rPr>
        <w:t>箱式房模块化设计，以集装箱体为基本单元，组合搭设办公及会议用房（参考图例1、2、3）。具体配备数量、</w:t>
      </w:r>
      <w:r>
        <w:rPr>
          <w:rFonts w:ascii="宋体" w:hAnsi="宋体" w:cs="宋体"/>
          <w:bCs/>
          <w:color w:val="auto"/>
          <w:szCs w:val="21"/>
        </w:rPr>
        <w:t>面积</w:t>
      </w:r>
      <w:r>
        <w:rPr>
          <w:rFonts w:ascii="宋体" w:hAnsi="宋体" w:cs="宋体"/>
          <w:color w:val="auto"/>
          <w:szCs w:val="21"/>
        </w:rPr>
        <w:t>等详见招标文件；</w:t>
      </w:r>
    </w:p>
    <w:p>
      <w:pPr>
        <w:spacing w:line="360" w:lineRule="auto"/>
        <w:ind w:firstLine="420"/>
        <w:rPr>
          <w:rFonts w:ascii="宋体" w:hAnsi="宋体" w:cs="宋体"/>
          <w:color w:val="auto"/>
          <w:szCs w:val="21"/>
        </w:rPr>
      </w:pPr>
      <w:r>
        <w:rPr>
          <w:color w:val="auto"/>
        </w:rPr>
        <w:drawing>
          <wp:anchor distT="0" distB="0" distL="0" distR="0" simplePos="0" relativeHeight="251659264" behindDoc="0" locked="0" layoutInCell="1" allowOverlap="1">
            <wp:simplePos x="0" y="0"/>
            <wp:positionH relativeFrom="page">
              <wp:posOffset>0</wp:posOffset>
            </wp:positionH>
            <wp:positionV relativeFrom="page">
              <wp:posOffset>0</wp:posOffset>
            </wp:positionV>
            <wp:extent cx="148590" cy="180975"/>
            <wp:effectExtent l="0" t="0" r="0" b="0"/>
            <wp:wrapNone/>
            <wp:docPr id="45" name="图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像2"/>
                    <pic:cNvPicPr>
                      <a:picLocks noChangeAspect="1" noChangeArrowheads="1"/>
                    </pic:cNvPicPr>
                  </pic:nvPicPr>
                  <pic:blipFill>
                    <a:blip r:embed="rId185"/>
                    <a:stretch>
                      <a:fillRect/>
                    </a:stretch>
                  </pic:blipFill>
                  <pic:spPr>
                    <a:xfrm>
                      <a:off x="0" y="0"/>
                      <a:ext cx="148590" cy="180975"/>
                    </a:xfrm>
                    <a:prstGeom prst="rect">
                      <a:avLst/>
                    </a:prstGeom>
                  </pic:spPr>
                </pic:pic>
              </a:graphicData>
            </a:graphic>
          </wp:anchor>
        </w:drawing>
      </w:r>
      <w:r>
        <w:rPr>
          <w:rFonts w:ascii="Wingdings 2" w:hAnsi="Wingdings 2" w:eastAsia="Wingdings 2" w:cs="Wingdings 2"/>
          <w:color w:val="auto"/>
        </w:rPr>
        <w:t>£</w:t>
      </w:r>
      <w:r>
        <w:rPr>
          <w:rFonts w:ascii="宋体" w:hAnsi="宋体" w:cs="宋体"/>
          <w:color w:val="auto"/>
          <w:szCs w:val="21"/>
        </w:rPr>
        <w:t>其他形式</w:t>
      </w:r>
      <w:r>
        <w:rPr>
          <w:rFonts w:ascii="宋体" w:hAnsi="宋体" w:cs="宋体"/>
          <w:bCs/>
          <w:color w:val="auto"/>
          <w:szCs w:val="21"/>
        </w:rPr>
        <w:t>的</w:t>
      </w:r>
      <w:r>
        <w:rPr>
          <w:rFonts w:ascii="宋体" w:hAnsi="宋体" w:cs="宋体"/>
          <w:color w:val="auto"/>
          <w:szCs w:val="21"/>
        </w:rPr>
        <w:t>临时办公用房。具体要求详见招标文件。</w:t>
      </w:r>
    </w:p>
    <w:p>
      <w:pPr>
        <w:snapToGrid w:val="0"/>
        <w:spacing w:line="360" w:lineRule="auto"/>
        <w:rPr>
          <w:rFonts w:ascii="宋体" w:hAnsi="宋体" w:cs="宋体"/>
          <w:color w:val="auto"/>
          <w:szCs w:val="21"/>
        </w:rPr>
      </w:pPr>
      <w:r>
        <w:rPr>
          <w:rFonts w:ascii="宋体" w:hAnsi="宋体" w:cs="宋体"/>
          <w:color w:val="auto"/>
          <w:szCs w:val="21"/>
        </w:rPr>
        <w:t>图例1：</w:t>
      </w:r>
    </w:p>
    <w:p>
      <w:pPr>
        <w:snapToGrid w:val="0"/>
        <w:spacing w:line="360" w:lineRule="auto"/>
        <w:rPr>
          <w:rFonts w:ascii="宋体" w:hAnsi="宋体" w:cs="宋体"/>
          <w:color w:val="auto"/>
          <w:szCs w:val="21"/>
        </w:rPr>
      </w:pPr>
      <w:r>
        <w:rPr>
          <w:color w:val="auto"/>
        </w:rPr>
        <w:drawing>
          <wp:inline distT="0" distB="0" distL="0" distR="0">
            <wp:extent cx="5279390" cy="3507740"/>
            <wp:effectExtent l="0" t="0" r="0" b="0"/>
            <wp:docPr id="46" name="图片 111" descr="说明: 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1" descr="说明: IMG_0292"/>
                    <pic:cNvPicPr>
                      <a:picLocks noChangeAspect="1" noChangeArrowheads="1"/>
                    </pic:cNvPicPr>
                  </pic:nvPicPr>
                  <pic:blipFill>
                    <a:blip r:embed="rId186"/>
                    <a:stretch>
                      <a:fillRect/>
                    </a:stretch>
                  </pic:blipFill>
                  <pic:spPr>
                    <a:xfrm>
                      <a:off x="0" y="0"/>
                      <a:ext cx="5279390" cy="3507740"/>
                    </a:xfrm>
                    <a:prstGeom prst="rect">
                      <a:avLst/>
                    </a:prstGeom>
                  </pic:spPr>
                </pic:pic>
              </a:graphicData>
            </a:graphic>
          </wp:inline>
        </w:drawing>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ascii="宋体" w:hAnsi="宋体" w:cs="宋体"/>
          <w:color w:val="auto"/>
          <w:szCs w:val="21"/>
        </w:rPr>
        <w:t>图例2：</w:t>
      </w:r>
    </w:p>
    <w:p>
      <w:pPr>
        <w:spacing w:line="360" w:lineRule="auto"/>
        <w:rPr>
          <w:rFonts w:ascii="宋体" w:hAnsi="宋体" w:cs="宋体"/>
          <w:color w:val="auto"/>
          <w:szCs w:val="21"/>
        </w:rPr>
      </w:pPr>
      <w:r>
        <w:rPr>
          <w:color w:val="auto"/>
        </w:rPr>
        <w:drawing>
          <wp:inline distT="0" distB="0" distL="0" distR="0">
            <wp:extent cx="5266690" cy="2967355"/>
            <wp:effectExtent l="0" t="0" r="0" b="0"/>
            <wp:docPr id="47" name="图片 112" descr="说明: 73ED2EC93B55EA51D0FC090B1FFC7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12" descr="说明: 73ED2EC93B55EA51D0FC090B1FFC7F27"/>
                    <pic:cNvPicPr>
                      <a:picLocks noChangeAspect="1" noChangeArrowheads="1"/>
                    </pic:cNvPicPr>
                  </pic:nvPicPr>
                  <pic:blipFill>
                    <a:blip r:embed="rId187"/>
                    <a:stretch>
                      <a:fillRect/>
                    </a:stretch>
                  </pic:blipFill>
                  <pic:spPr>
                    <a:xfrm>
                      <a:off x="0" y="0"/>
                      <a:ext cx="5266690" cy="2967355"/>
                    </a:xfrm>
                    <a:prstGeom prst="rect">
                      <a:avLst/>
                    </a:prstGeom>
                  </pic:spPr>
                </pic:pic>
              </a:graphicData>
            </a:graphic>
          </wp:inline>
        </w:drawing>
      </w:r>
    </w:p>
    <w:p>
      <w:pPr>
        <w:spacing w:line="360" w:lineRule="auto"/>
        <w:rPr>
          <w:rFonts w:ascii="宋体" w:hAnsi="宋体" w:cs="宋体"/>
          <w:color w:val="auto"/>
          <w:szCs w:val="21"/>
        </w:rPr>
      </w:pPr>
      <w:r>
        <w:rPr>
          <w:color w:val="auto"/>
        </w:rPr>
        <w:br w:type="page"/>
      </w:r>
    </w:p>
    <w:p>
      <w:pPr>
        <w:spacing w:line="360" w:lineRule="auto"/>
        <w:rPr>
          <w:rFonts w:ascii="宋体" w:hAnsi="宋体" w:cs="宋体"/>
          <w:color w:val="auto"/>
          <w:szCs w:val="21"/>
        </w:rPr>
      </w:pPr>
      <w:r>
        <w:rPr>
          <w:rFonts w:ascii="宋体" w:hAnsi="宋体" w:cs="宋体"/>
          <w:color w:val="auto"/>
          <w:szCs w:val="21"/>
        </w:rPr>
        <w:t>图例3：</w:t>
      </w:r>
    </w:p>
    <w:p>
      <w:pPr>
        <w:snapToGrid w:val="0"/>
        <w:spacing w:line="360" w:lineRule="auto"/>
        <w:rPr>
          <w:rFonts w:ascii="宋体" w:hAnsi="宋体" w:cs="宋体"/>
          <w:b/>
          <w:color w:val="auto"/>
          <w:szCs w:val="21"/>
        </w:rPr>
      </w:pPr>
      <w:r>
        <w:rPr>
          <w:color w:val="auto"/>
        </w:rPr>
        <w:drawing>
          <wp:inline distT="0" distB="0" distL="0" distR="0">
            <wp:extent cx="5266690" cy="2967355"/>
            <wp:effectExtent l="0" t="0" r="0" b="0"/>
            <wp:docPr id="48" name="图片 113" descr="说明: DCDC98C5109DBF1A830F191180F8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13" descr="说明: DCDC98C5109DBF1A830F191180F89612"/>
                    <pic:cNvPicPr>
                      <a:picLocks noChangeAspect="1" noChangeArrowheads="1"/>
                    </pic:cNvPicPr>
                  </pic:nvPicPr>
                  <pic:blipFill>
                    <a:blip r:embed="rId188"/>
                    <a:stretch>
                      <a:fillRect/>
                    </a:stretch>
                  </pic:blipFill>
                  <pic:spPr>
                    <a:xfrm>
                      <a:off x="0" y="0"/>
                      <a:ext cx="5266690" cy="2967355"/>
                    </a:xfrm>
                    <a:prstGeom prst="rect">
                      <a:avLst/>
                    </a:prstGeom>
                  </pic:spPr>
                </pic:pic>
              </a:graphicData>
            </a:graphic>
          </wp:inline>
        </w:drawing>
      </w:r>
    </w:p>
    <w:p>
      <w:pPr>
        <w:keepNext/>
        <w:keepLines/>
        <w:numPr>
          <w:ilvl w:val="0"/>
          <w:numId w:val="0"/>
        </w:numPr>
        <w:spacing w:before="156" w:after="156" w:line="360" w:lineRule="auto"/>
        <w:outlineLvl w:val="3"/>
        <w:rPr>
          <w:rFonts w:ascii="宋体" w:hAnsi="宋体" w:cs="宋体"/>
          <w:b/>
          <w:bCs/>
          <w:color w:val="auto"/>
          <w:sz w:val="24"/>
          <w:szCs w:val="24"/>
        </w:rPr>
      </w:pPr>
      <w:bookmarkStart w:id="6334" w:name="_Toc20880"/>
      <w:bookmarkStart w:id="6335" w:name="_Toc21077"/>
      <w:bookmarkStart w:id="6336" w:name="_Toc7346"/>
      <w:bookmarkStart w:id="6337" w:name="_Toc465237150"/>
      <w:bookmarkStart w:id="6338" w:name="_Toc18680"/>
      <w:bookmarkStart w:id="6339" w:name="_Toc31313"/>
      <w:bookmarkStart w:id="6340" w:name="_Toc22630"/>
      <w:bookmarkStart w:id="6341" w:name="_Toc517531003"/>
      <w:bookmarkStart w:id="6342" w:name="_Toc1355"/>
      <w:bookmarkStart w:id="6343" w:name="_Toc14751"/>
      <w:bookmarkStart w:id="6344" w:name="_Toc15563"/>
      <w:bookmarkStart w:id="6345" w:name="_Toc11375"/>
      <w:bookmarkStart w:id="6346" w:name="_Toc21388"/>
      <w:bookmarkStart w:id="6347" w:name="_Toc465237252"/>
      <w:bookmarkStart w:id="6348" w:name="_Toc11926"/>
      <w:bookmarkStart w:id="6349" w:name="_Toc22474"/>
      <w:bookmarkStart w:id="6350" w:name="_Toc27870"/>
      <w:bookmarkStart w:id="6351" w:name="_Toc4909"/>
      <w:bookmarkStart w:id="6352" w:name="_Toc27739"/>
      <w:bookmarkStart w:id="6353" w:name="_Toc517532279"/>
      <w:bookmarkStart w:id="6354" w:name="_Toc14803"/>
      <w:bookmarkStart w:id="6355" w:name="_Toc29455"/>
      <w:r>
        <w:rPr>
          <w:color w:val="auto"/>
        </w:rPr>
        <w:object>
          <v:shape id="_x0000_i1118" o:spt="201" type="#_x0000_t201" style="height:17.9pt;width:12.5pt;" o:ole="t" filled="f" o:preferrelative="t" stroked="f" coordsize="21600,21600">
            <v:path/>
            <v:fill on="f" focussize="0,0"/>
            <v:stroke on="f" joinstyle="miter"/>
            <v:imagedata o:title=""/>
            <o:lock v:ext="edit"/>
            <w10:wrap type="none"/>
            <w10:anchorlock/>
          </v:shape>
          <w:control r:id="rId189" w:name="CheckBox1294" w:shapeid="_x0000_i1118"/>
        </w:object>
      </w:r>
      <w:r>
        <w:rPr>
          <w:rFonts w:ascii="宋体" w:hAnsi="宋体" w:cs="宋体"/>
          <w:b/>
          <w:bCs/>
          <w:color w:val="auto"/>
          <w:sz w:val="24"/>
          <w:szCs w:val="24"/>
        </w:rPr>
        <w:t>6.1.11发包人办公区后勤保障</w:t>
      </w:r>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p>
    <w:p>
      <w:pPr>
        <w:snapToGrid w:val="0"/>
        <w:spacing w:line="360" w:lineRule="auto"/>
        <w:ind w:firstLine="420"/>
        <w:jc w:val="left"/>
        <w:rPr>
          <w:rFonts w:ascii="宋体" w:hAnsi="宋体" w:cs="宋体"/>
          <w:color w:val="auto"/>
          <w:szCs w:val="21"/>
        </w:rPr>
      </w:pPr>
      <w:r>
        <w:rPr>
          <w:rFonts w:ascii="宋体" w:hAnsi="宋体" w:cs="宋体"/>
          <w:color w:val="auto"/>
          <w:szCs w:val="21"/>
        </w:rPr>
        <w:t>要求承包人聘请正规保安公司的保安负责施工工地及发包人现场办公场所的保安管理工作，确保现场安全。发包人和承包人办公区分别独立设置，发包人办公区后勤保障工作（保安、清洁卫生、办公室花卉租赁）的相关要求如下，如承包人达不到以下要求，发包人有权自行签订合同，费用从结算款中扣除。</w:t>
      </w:r>
    </w:p>
    <w:p>
      <w:pPr>
        <w:keepNext/>
        <w:keepLines/>
        <w:numPr>
          <w:ilvl w:val="0"/>
          <w:numId w:val="0"/>
        </w:numPr>
        <w:spacing w:before="156" w:after="156" w:line="360" w:lineRule="auto"/>
        <w:ind w:firstLine="604"/>
        <w:outlineLvl w:val="4"/>
        <w:rPr>
          <w:rFonts w:ascii="宋体" w:hAnsi="宋体" w:cs="宋体"/>
          <w:b/>
          <w:bCs/>
          <w:color w:val="auto"/>
          <w:sz w:val="24"/>
          <w:szCs w:val="24"/>
        </w:rPr>
      </w:pPr>
      <w:bookmarkStart w:id="6356" w:name="_Toc19957"/>
      <w:bookmarkStart w:id="6357" w:name="_Toc22398"/>
      <w:bookmarkStart w:id="6358" w:name="_Toc32040"/>
      <w:bookmarkStart w:id="6359" w:name="_Toc1958"/>
      <w:bookmarkStart w:id="6360" w:name="_Toc517532280"/>
      <w:bookmarkStart w:id="6361" w:name="_Toc517531004"/>
      <w:bookmarkStart w:id="6362" w:name="_Toc7154"/>
      <w:bookmarkStart w:id="6363" w:name="_Toc17062"/>
      <w:bookmarkStart w:id="6364" w:name="_Toc30930"/>
      <w:bookmarkStart w:id="6365" w:name="_Toc20360"/>
      <w:bookmarkStart w:id="6366" w:name="_Toc8389"/>
      <w:r>
        <w:rPr>
          <w:color w:val="auto"/>
        </w:rPr>
        <w:object>
          <v:shape id="_x0000_i1119" o:spt="201" type="#_x0000_t201" style="height:17.9pt;width:12.5pt;" o:ole="t" filled="f" o:preferrelative="t" stroked="f" coordsize="21600,21600">
            <v:path/>
            <v:fill on="f" focussize="0,0"/>
            <v:stroke on="f" joinstyle="miter"/>
            <v:imagedata o:title=""/>
            <o:lock v:ext="edit"/>
            <w10:wrap type="none"/>
            <w10:anchorlock/>
          </v:shape>
          <w:control r:id="rId190" w:name="CheckBox1295" w:shapeid="_x0000_i1119"/>
        </w:object>
      </w:r>
      <w:r>
        <w:rPr>
          <w:rFonts w:ascii="宋体" w:hAnsi="宋体" w:cs="宋体"/>
          <w:b/>
          <w:bCs/>
          <w:color w:val="auto"/>
          <w:sz w:val="24"/>
          <w:szCs w:val="24"/>
        </w:rPr>
        <w:t>（1）保安服务</w:t>
      </w:r>
      <w:bookmarkEnd w:id="6356"/>
      <w:bookmarkEnd w:id="6357"/>
      <w:bookmarkEnd w:id="6358"/>
      <w:bookmarkEnd w:id="6359"/>
      <w:bookmarkEnd w:id="6360"/>
      <w:bookmarkEnd w:id="6361"/>
      <w:bookmarkEnd w:id="6362"/>
      <w:bookmarkEnd w:id="6363"/>
      <w:bookmarkEnd w:id="6364"/>
      <w:bookmarkEnd w:id="6365"/>
      <w:bookmarkEnd w:id="6366"/>
    </w:p>
    <w:p>
      <w:pPr>
        <w:snapToGrid w:val="0"/>
        <w:spacing w:line="360" w:lineRule="auto"/>
        <w:ind w:firstLine="420"/>
        <w:jc w:val="left"/>
        <w:rPr>
          <w:rFonts w:ascii="宋体" w:hAnsi="宋体" w:cs="宋体"/>
          <w:color w:val="auto"/>
          <w:szCs w:val="21"/>
        </w:rPr>
      </w:pPr>
      <w:r>
        <w:rPr>
          <w:rFonts w:ascii="宋体" w:hAnsi="宋体" w:cs="宋体"/>
          <w:color w:val="auto"/>
          <w:szCs w:val="21"/>
        </w:rPr>
        <w:t>承包人应采取相应保卫措施，防止出现相关设施、设备被盗行为，施工工地及发包人办公区须由专业保安公司24小时负责照看，费用已包括在报价中，发包人不再另行支付相关费用。若因承包人原因引起的财产损失，全部由承包人承担。</w:t>
      </w:r>
    </w:p>
    <w:p>
      <w:pPr>
        <w:snapToGrid w:val="0"/>
        <w:spacing w:line="360" w:lineRule="auto"/>
        <w:ind w:firstLine="420"/>
        <w:jc w:val="left"/>
        <w:rPr>
          <w:rFonts w:ascii="宋体" w:hAnsi="宋体" w:cs="宋体"/>
          <w:color w:val="auto"/>
          <w:szCs w:val="21"/>
        </w:rPr>
      </w:pPr>
      <w:r>
        <w:rPr>
          <w:rFonts w:ascii="宋体" w:hAnsi="宋体" w:cs="宋体"/>
          <w:color w:val="auto"/>
          <w:szCs w:val="21"/>
        </w:rPr>
        <w:t>(a)承包人派驻发包人办公区的保安员依照发包人的规章制度及要求，在不违反国家法律的前提下，维护发包人正常的工作、生产、生活秩序，保护护卫区域内的人员、财产的安全。承包人选派到发包人的保安员，必须具备以下条件：</w:t>
      </w:r>
    </w:p>
    <w:p>
      <w:pPr>
        <w:snapToGrid w:val="0"/>
        <w:spacing w:line="360" w:lineRule="auto"/>
        <w:ind w:firstLine="420"/>
        <w:jc w:val="left"/>
        <w:rPr>
          <w:rFonts w:ascii="宋体" w:hAnsi="宋体" w:cs="宋体"/>
          <w:color w:val="auto"/>
          <w:szCs w:val="21"/>
        </w:rPr>
      </w:pPr>
      <w:r>
        <w:rPr>
          <w:rFonts w:ascii="宋体" w:hAnsi="宋体" w:cs="宋体"/>
          <w:color w:val="auto"/>
          <w:szCs w:val="21"/>
        </w:rPr>
        <w:t>①遵纪守法，品行良好，无违法犯罪记录，经政审合格；</w:t>
      </w:r>
    </w:p>
    <w:p>
      <w:pPr>
        <w:snapToGrid w:val="0"/>
        <w:spacing w:line="360" w:lineRule="auto"/>
        <w:ind w:firstLine="420"/>
        <w:jc w:val="left"/>
        <w:rPr>
          <w:rFonts w:ascii="宋体" w:hAnsi="宋体" w:cs="宋体"/>
          <w:color w:val="auto"/>
          <w:szCs w:val="21"/>
        </w:rPr>
      </w:pPr>
      <w:r>
        <w:rPr>
          <w:rFonts w:ascii="宋体" w:hAnsi="宋体" w:cs="宋体"/>
          <w:color w:val="auto"/>
          <w:szCs w:val="21"/>
        </w:rPr>
        <w:t>②年龄在18周岁以上，45周岁以下，具有初中毕业以上文化程度；</w:t>
      </w:r>
    </w:p>
    <w:p>
      <w:pPr>
        <w:snapToGrid w:val="0"/>
        <w:spacing w:line="360" w:lineRule="auto"/>
        <w:ind w:firstLine="420"/>
        <w:jc w:val="left"/>
        <w:rPr>
          <w:rFonts w:ascii="宋体" w:hAnsi="宋体" w:cs="宋体"/>
          <w:color w:val="auto"/>
          <w:szCs w:val="21"/>
        </w:rPr>
      </w:pPr>
      <w:r>
        <w:rPr>
          <w:rFonts w:ascii="宋体" w:hAnsi="宋体" w:cs="宋体"/>
          <w:color w:val="auto"/>
          <w:szCs w:val="21"/>
        </w:rPr>
        <w:t>③经政审、培训、考核合格，取得深圳市公安局颁发的保安员资格证和上岗证，具备保安专业知识。</w:t>
      </w:r>
    </w:p>
    <w:p>
      <w:pPr>
        <w:snapToGrid w:val="0"/>
        <w:spacing w:line="360" w:lineRule="auto"/>
        <w:ind w:firstLine="420"/>
        <w:jc w:val="left"/>
        <w:rPr>
          <w:rFonts w:ascii="宋体" w:hAnsi="宋体" w:cs="宋体"/>
          <w:color w:val="auto"/>
          <w:szCs w:val="21"/>
        </w:rPr>
      </w:pPr>
      <w:r>
        <w:rPr>
          <w:rFonts w:ascii="宋体" w:hAnsi="宋体" w:cs="宋体"/>
          <w:color w:val="auto"/>
          <w:szCs w:val="21"/>
        </w:rPr>
        <w:t>（b）保安员职责</w:t>
      </w:r>
    </w:p>
    <w:p>
      <w:pPr>
        <w:snapToGrid w:val="0"/>
        <w:spacing w:line="360" w:lineRule="auto"/>
        <w:ind w:firstLine="420"/>
        <w:jc w:val="left"/>
        <w:rPr>
          <w:rFonts w:ascii="宋体" w:hAnsi="宋体" w:cs="宋体"/>
          <w:color w:val="auto"/>
          <w:szCs w:val="21"/>
        </w:rPr>
      </w:pPr>
      <w:r>
        <w:rPr>
          <w:rFonts w:ascii="宋体" w:hAnsi="宋体" w:cs="宋体"/>
          <w:color w:val="auto"/>
          <w:szCs w:val="21"/>
        </w:rPr>
        <w:t>①保护发包人护卫区域的财产安全，维护护卫区域内的正常秩序；</w:t>
      </w:r>
    </w:p>
    <w:p>
      <w:pPr>
        <w:snapToGrid w:val="0"/>
        <w:spacing w:line="360" w:lineRule="auto"/>
        <w:ind w:firstLine="420"/>
        <w:jc w:val="left"/>
        <w:rPr>
          <w:rFonts w:ascii="宋体" w:hAnsi="宋体" w:cs="宋体"/>
          <w:color w:val="auto"/>
          <w:szCs w:val="21"/>
        </w:rPr>
      </w:pPr>
      <w:r>
        <w:rPr>
          <w:rFonts w:ascii="宋体" w:hAnsi="宋体" w:cs="宋体"/>
          <w:color w:val="auto"/>
          <w:szCs w:val="21"/>
        </w:rPr>
        <w:t>②保护好在护卫区域内发生的刑事、治安案件或灾害事故现场，维护现场秩序；</w:t>
      </w:r>
    </w:p>
    <w:p>
      <w:pPr>
        <w:snapToGrid w:val="0"/>
        <w:spacing w:line="360" w:lineRule="auto"/>
        <w:ind w:firstLine="420"/>
        <w:jc w:val="left"/>
        <w:rPr>
          <w:rFonts w:ascii="宋体" w:hAnsi="宋体" w:cs="宋体"/>
          <w:color w:val="auto"/>
          <w:szCs w:val="21"/>
        </w:rPr>
      </w:pPr>
      <w:r>
        <w:rPr>
          <w:rFonts w:ascii="宋体" w:hAnsi="宋体" w:cs="宋体"/>
          <w:color w:val="auto"/>
          <w:szCs w:val="21"/>
        </w:rPr>
        <w:t>③把现行违法犯罪嫌疑人扭送到公安机关处理；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④做好发包人护卫区域内的防火、防盗、防破坏、防治安灾害事故等安全防范工作；</w:t>
      </w:r>
    </w:p>
    <w:p>
      <w:pPr>
        <w:snapToGrid w:val="0"/>
        <w:spacing w:line="360" w:lineRule="auto"/>
        <w:ind w:firstLine="420"/>
        <w:jc w:val="left"/>
        <w:rPr>
          <w:rFonts w:ascii="宋体" w:hAnsi="宋体" w:cs="宋体"/>
          <w:color w:val="auto"/>
          <w:szCs w:val="21"/>
        </w:rPr>
      </w:pPr>
      <w:r>
        <w:rPr>
          <w:rFonts w:ascii="宋体" w:hAnsi="宋体" w:cs="宋体"/>
          <w:color w:val="auto"/>
          <w:szCs w:val="21"/>
        </w:rPr>
        <w:t>⑤遵纪守法、文明值勤、优质服务，严格执行发包人及保安公司的各项规章制度，接受发包人领导及主管人员的管理,服从发包人领导的工作安排，全力维护双方的合法权益和声誉。</w:t>
      </w:r>
    </w:p>
    <w:p>
      <w:pPr>
        <w:snapToGrid w:val="0"/>
        <w:spacing w:line="360" w:lineRule="auto"/>
        <w:ind w:firstLine="420"/>
        <w:jc w:val="left"/>
        <w:rPr>
          <w:rFonts w:ascii="宋体" w:hAnsi="宋体" w:cs="宋体"/>
          <w:color w:val="auto"/>
          <w:szCs w:val="21"/>
        </w:rPr>
      </w:pPr>
      <w:r>
        <w:rPr>
          <w:rFonts w:ascii="宋体" w:hAnsi="宋体" w:cs="宋体"/>
          <w:color w:val="auto"/>
          <w:szCs w:val="21"/>
        </w:rPr>
        <w:t>（c）发包人的权利和义务</w:t>
      </w:r>
    </w:p>
    <w:p>
      <w:pPr>
        <w:snapToGrid w:val="0"/>
        <w:spacing w:line="360" w:lineRule="auto"/>
        <w:ind w:firstLine="420"/>
        <w:jc w:val="left"/>
        <w:rPr>
          <w:rFonts w:ascii="宋体" w:hAnsi="宋体" w:cs="宋体"/>
          <w:color w:val="auto"/>
          <w:szCs w:val="21"/>
        </w:rPr>
      </w:pPr>
      <w:r>
        <w:rPr>
          <w:rFonts w:ascii="宋体" w:hAnsi="宋体" w:cs="宋体"/>
          <w:color w:val="auto"/>
          <w:szCs w:val="21"/>
        </w:rPr>
        <w:t>对违反发包人各项规章制度，不服从管理，工作不尽职责的保安员，发包人有权向承包人提出调换，承包人应在48小时内无条件调换，补充符合发包人要求的保安员。</w:t>
      </w:r>
    </w:p>
    <w:p>
      <w:pPr>
        <w:snapToGrid w:val="0"/>
        <w:spacing w:line="360" w:lineRule="auto"/>
        <w:ind w:firstLine="420"/>
        <w:jc w:val="left"/>
        <w:rPr>
          <w:rFonts w:ascii="宋体" w:hAnsi="宋体" w:cs="宋体"/>
          <w:color w:val="auto"/>
          <w:szCs w:val="21"/>
        </w:rPr>
      </w:pPr>
      <w:r>
        <w:rPr>
          <w:rFonts w:ascii="宋体" w:hAnsi="宋体" w:cs="宋体"/>
          <w:color w:val="auto"/>
          <w:szCs w:val="21"/>
        </w:rPr>
        <w:t>（d）承包人的权利和义务</w:t>
      </w:r>
    </w:p>
    <w:p>
      <w:pPr>
        <w:snapToGrid w:val="0"/>
        <w:spacing w:line="360" w:lineRule="auto"/>
        <w:ind w:firstLine="420"/>
        <w:jc w:val="left"/>
        <w:rPr>
          <w:rFonts w:ascii="宋体" w:hAnsi="宋体" w:cs="宋体"/>
          <w:color w:val="auto"/>
          <w:szCs w:val="21"/>
        </w:rPr>
      </w:pPr>
      <w:r>
        <w:rPr>
          <w:rFonts w:ascii="宋体" w:hAnsi="宋体" w:cs="宋体"/>
          <w:color w:val="auto"/>
          <w:szCs w:val="21"/>
        </w:rPr>
        <w:t>①负责保安员的招聘、培训、政审、办证、考核及人事档案的管理。</w:t>
      </w:r>
    </w:p>
    <w:p>
      <w:pPr>
        <w:snapToGrid w:val="0"/>
        <w:spacing w:line="360" w:lineRule="auto"/>
        <w:ind w:firstLine="420"/>
        <w:jc w:val="left"/>
        <w:rPr>
          <w:rFonts w:ascii="宋体" w:hAnsi="宋体" w:cs="宋体"/>
          <w:color w:val="auto"/>
          <w:szCs w:val="21"/>
        </w:rPr>
      </w:pPr>
      <w:r>
        <w:rPr>
          <w:rFonts w:ascii="宋体" w:hAnsi="宋体" w:cs="宋体"/>
          <w:color w:val="auto"/>
          <w:szCs w:val="21"/>
        </w:rPr>
        <w:t>②负责保安员日常工作的安排与管理、岗位值勤、作风纪律、内务卫生、岗位训练、岗位轮训和保安业务的指导，监督检查和管理工作。</w:t>
      </w:r>
    </w:p>
    <w:p>
      <w:pPr>
        <w:snapToGrid w:val="0"/>
        <w:spacing w:line="360" w:lineRule="auto"/>
        <w:ind w:firstLine="420"/>
        <w:jc w:val="left"/>
        <w:rPr>
          <w:rFonts w:ascii="宋体" w:hAnsi="宋体" w:cs="宋体"/>
          <w:color w:val="auto"/>
          <w:szCs w:val="21"/>
        </w:rPr>
      </w:pPr>
      <w:r>
        <w:rPr>
          <w:rFonts w:ascii="宋体" w:hAnsi="宋体" w:cs="宋体"/>
          <w:color w:val="auto"/>
          <w:szCs w:val="21"/>
        </w:rPr>
        <w:t>③负责对保安员的奖励、处罚、请假、辞工、辞退等方面的工作。</w:t>
      </w:r>
    </w:p>
    <w:p>
      <w:pPr>
        <w:snapToGrid w:val="0"/>
        <w:spacing w:line="360" w:lineRule="auto"/>
        <w:ind w:firstLine="420"/>
        <w:jc w:val="left"/>
        <w:rPr>
          <w:rFonts w:ascii="宋体" w:hAnsi="宋体" w:cs="宋体"/>
          <w:color w:val="auto"/>
          <w:szCs w:val="21"/>
        </w:rPr>
      </w:pPr>
      <w:r>
        <w:rPr>
          <w:rFonts w:ascii="宋体" w:hAnsi="宋体" w:cs="宋体"/>
          <w:color w:val="auto"/>
          <w:szCs w:val="21"/>
        </w:rPr>
        <w:t>④负责保安员服装、帽子、帽徽、肩章、领带、腰带、胶警棍等装备的配备。因工作需要，保安员需配备的对讲机、雨衣、雨鞋、电筒、大衣等装备也由承包人负责。</w:t>
      </w:r>
    </w:p>
    <w:p>
      <w:pPr>
        <w:snapToGrid w:val="0"/>
        <w:spacing w:line="360" w:lineRule="auto"/>
        <w:ind w:firstLine="420"/>
        <w:jc w:val="left"/>
        <w:rPr>
          <w:rFonts w:ascii="宋体" w:hAnsi="宋体" w:cs="宋体"/>
          <w:color w:val="auto"/>
          <w:szCs w:val="21"/>
        </w:rPr>
      </w:pPr>
      <w:r>
        <w:rPr>
          <w:rFonts w:ascii="宋体" w:hAnsi="宋体" w:cs="宋体"/>
          <w:color w:val="auto"/>
          <w:szCs w:val="21"/>
        </w:rPr>
        <w:t>⑤督促教育保安员接受发包人领导及主管人员的工作检查和监督管理。</w:t>
      </w:r>
    </w:p>
    <w:p>
      <w:pPr>
        <w:snapToGrid w:val="0"/>
        <w:spacing w:line="360" w:lineRule="auto"/>
        <w:ind w:firstLine="420"/>
        <w:jc w:val="left"/>
        <w:rPr>
          <w:rFonts w:ascii="宋体" w:hAnsi="宋体" w:cs="宋体"/>
          <w:color w:val="auto"/>
          <w:szCs w:val="21"/>
        </w:rPr>
      </w:pPr>
      <w:r>
        <w:rPr>
          <w:rFonts w:ascii="宋体" w:hAnsi="宋体" w:cs="宋体"/>
          <w:color w:val="auto"/>
          <w:szCs w:val="21"/>
        </w:rPr>
        <w:t>⑥协助发包人处理好与当地公安机关的正常工作关系，最大限度地避免发包人利益受到损害。</w:t>
      </w:r>
    </w:p>
    <w:p>
      <w:pPr>
        <w:snapToGrid w:val="0"/>
        <w:spacing w:line="360" w:lineRule="auto"/>
        <w:ind w:firstLine="420"/>
        <w:jc w:val="left"/>
        <w:rPr>
          <w:rFonts w:ascii="宋体" w:hAnsi="宋体" w:cs="宋体"/>
          <w:color w:val="auto"/>
          <w:szCs w:val="21"/>
        </w:rPr>
      </w:pPr>
      <w:r>
        <w:rPr>
          <w:rFonts w:ascii="宋体" w:hAnsi="宋体" w:cs="宋体"/>
          <w:color w:val="auto"/>
          <w:szCs w:val="21"/>
        </w:rPr>
        <w:t>⑦承包人负责提供保安员住宿场所及派驻现场保安员的工资、社会保险及其他福利待遇等，发包人不再另行负担任何费用。</w:t>
      </w:r>
    </w:p>
    <w:p>
      <w:pPr>
        <w:snapToGrid w:val="0"/>
        <w:spacing w:line="360" w:lineRule="auto"/>
        <w:ind w:firstLine="420"/>
        <w:jc w:val="left"/>
        <w:rPr>
          <w:rFonts w:ascii="宋体" w:hAnsi="宋体" w:cs="宋体"/>
          <w:color w:val="auto"/>
          <w:szCs w:val="21"/>
        </w:rPr>
      </w:pPr>
      <w:r>
        <w:rPr>
          <w:rFonts w:ascii="宋体" w:hAnsi="宋体" w:cs="宋体"/>
          <w:color w:val="auto"/>
          <w:szCs w:val="21"/>
        </w:rPr>
        <w:t>（e）违约责任</w:t>
      </w:r>
    </w:p>
    <w:p>
      <w:pPr>
        <w:snapToGrid w:val="0"/>
        <w:spacing w:line="360" w:lineRule="auto"/>
        <w:ind w:firstLine="420"/>
        <w:jc w:val="left"/>
        <w:rPr>
          <w:rFonts w:ascii="宋体" w:hAnsi="宋体" w:cs="宋体"/>
          <w:color w:val="auto"/>
          <w:szCs w:val="21"/>
        </w:rPr>
      </w:pPr>
      <w:r>
        <w:rPr>
          <w:rFonts w:ascii="宋体" w:hAnsi="宋体" w:cs="宋体"/>
          <w:color w:val="auto"/>
          <w:szCs w:val="21"/>
        </w:rPr>
        <w:t>①承包人当班保安员因失职造成发包人财物损失，数额较小的，承包人有责任返还给发包人，情节严重的，损失金额较大、达到立案标准的，送交司法机关追究其法律责任。</w:t>
      </w:r>
    </w:p>
    <w:p>
      <w:pPr>
        <w:snapToGrid w:val="0"/>
        <w:spacing w:line="360" w:lineRule="auto"/>
        <w:ind w:firstLine="420"/>
        <w:jc w:val="left"/>
        <w:rPr>
          <w:rFonts w:ascii="宋体" w:hAnsi="宋体" w:cs="宋体"/>
          <w:color w:val="auto"/>
          <w:szCs w:val="21"/>
        </w:rPr>
      </w:pPr>
      <w:r>
        <w:rPr>
          <w:rFonts w:ascii="宋体" w:hAnsi="宋体" w:cs="宋体"/>
          <w:color w:val="auto"/>
          <w:szCs w:val="21"/>
        </w:rPr>
        <w:t>②因发生不可抗拒事件（如地震、战争、灾害等），而给发包人造成损失，承包人不承担任何责任。</w:t>
      </w:r>
    </w:p>
    <w:p>
      <w:pPr>
        <w:keepNext/>
        <w:keepLines/>
        <w:numPr>
          <w:ilvl w:val="0"/>
          <w:numId w:val="0"/>
        </w:numPr>
        <w:spacing w:before="156" w:after="156" w:line="360" w:lineRule="auto"/>
        <w:ind w:firstLine="604"/>
        <w:outlineLvl w:val="4"/>
        <w:rPr>
          <w:rFonts w:ascii="宋体" w:hAnsi="宋体" w:cs="宋体"/>
          <w:b/>
          <w:bCs/>
          <w:color w:val="auto"/>
          <w:sz w:val="24"/>
          <w:szCs w:val="24"/>
        </w:rPr>
      </w:pPr>
      <w:bookmarkStart w:id="6367" w:name="_Toc3280"/>
      <w:bookmarkStart w:id="6368" w:name="_Toc29513"/>
      <w:bookmarkStart w:id="6369" w:name="_Toc27101"/>
      <w:bookmarkStart w:id="6370" w:name="_Toc3574"/>
      <w:bookmarkStart w:id="6371" w:name="_Toc7568"/>
      <w:bookmarkStart w:id="6372" w:name="_Toc19012"/>
      <w:bookmarkStart w:id="6373" w:name="_Toc8931"/>
      <w:bookmarkStart w:id="6374" w:name="_Toc7812"/>
      <w:bookmarkStart w:id="6375" w:name="_Toc28771"/>
      <w:bookmarkStart w:id="6376" w:name="_Toc517531005"/>
      <w:bookmarkStart w:id="6377" w:name="_Toc517532281"/>
      <w:r>
        <w:rPr>
          <w:color w:val="auto"/>
        </w:rPr>
        <w:object>
          <v:shape id="_x0000_i1120" o:spt="201" type="#_x0000_t201" style="height:17.9pt;width:12.5pt;" o:ole="t" filled="f" o:preferrelative="t" stroked="f" coordsize="21600,21600">
            <v:path/>
            <v:fill on="f" focussize="0,0"/>
            <v:stroke on="f" joinstyle="miter"/>
            <v:imagedata o:title=""/>
            <o:lock v:ext="edit"/>
            <w10:wrap type="none"/>
            <w10:anchorlock/>
          </v:shape>
          <w:control r:id="rId191" w:name="CheckBox1296" w:shapeid="_x0000_i1120"/>
        </w:object>
      </w:r>
      <w:r>
        <w:rPr>
          <w:rFonts w:ascii="宋体" w:hAnsi="宋体" w:cs="宋体"/>
          <w:b/>
          <w:bCs/>
          <w:color w:val="auto"/>
          <w:sz w:val="24"/>
          <w:szCs w:val="24"/>
        </w:rPr>
        <w:t>（2）清洁卫生</w:t>
      </w:r>
      <w:bookmarkEnd w:id="6367"/>
      <w:bookmarkEnd w:id="6368"/>
      <w:bookmarkEnd w:id="6369"/>
      <w:bookmarkEnd w:id="6370"/>
      <w:bookmarkEnd w:id="6371"/>
      <w:bookmarkEnd w:id="6372"/>
      <w:bookmarkEnd w:id="6373"/>
      <w:bookmarkEnd w:id="6374"/>
      <w:bookmarkEnd w:id="6375"/>
      <w:bookmarkEnd w:id="6376"/>
      <w:bookmarkEnd w:id="6377"/>
    </w:p>
    <w:p>
      <w:pPr>
        <w:snapToGrid w:val="0"/>
        <w:spacing w:line="360" w:lineRule="auto"/>
        <w:ind w:firstLine="420"/>
        <w:jc w:val="left"/>
        <w:rPr>
          <w:rFonts w:ascii="宋体" w:hAnsi="宋体" w:cs="宋体"/>
          <w:color w:val="auto"/>
          <w:szCs w:val="21"/>
        </w:rPr>
      </w:pPr>
      <w:r>
        <w:rPr>
          <w:rFonts w:ascii="宋体" w:hAnsi="宋体" w:cs="宋体"/>
          <w:color w:val="auto"/>
          <w:szCs w:val="21"/>
        </w:rPr>
        <w:t>（a）清洁服务范围：</w:t>
      </w:r>
    </w:p>
    <w:p>
      <w:pPr>
        <w:snapToGrid w:val="0"/>
        <w:spacing w:line="360" w:lineRule="auto"/>
        <w:ind w:firstLine="420"/>
        <w:jc w:val="left"/>
        <w:rPr>
          <w:rFonts w:ascii="宋体" w:hAnsi="宋体" w:cs="宋体"/>
          <w:color w:val="auto"/>
          <w:szCs w:val="21"/>
        </w:rPr>
      </w:pPr>
      <w:r>
        <w:rPr>
          <w:rFonts w:ascii="宋体" w:hAnsi="宋体" w:cs="宋体"/>
          <w:color w:val="auto"/>
          <w:szCs w:val="21"/>
        </w:rPr>
        <w:t>①现场办公区内所有办公室、会议室及其办公设备、公共通道、院内地坪及其他公共区域及设施的清洁保养；</w:t>
      </w:r>
    </w:p>
    <w:p>
      <w:pPr>
        <w:snapToGrid w:val="0"/>
        <w:spacing w:line="360" w:lineRule="auto"/>
        <w:ind w:firstLine="420"/>
        <w:jc w:val="left"/>
        <w:rPr>
          <w:rFonts w:ascii="宋体" w:hAnsi="宋体" w:cs="宋体"/>
          <w:color w:val="auto"/>
          <w:szCs w:val="21"/>
        </w:rPr>
      </w:pPr>
      <w:r>
        <w:rPr>
          <w:rFonts w:ascii="宋体" w:hAnsi="宋体" w:cs="宋体"/>
          <w:color w:val="auto"/>
          <w:szCs w:val="21"/>
        </w:rPr>
        <w:t>②所有卫生间、茶水间的清洁保养；</w:t>
      </w:r>
    </w:p>
    <w:p>
      <w:pPr>
        <w:spacing w:line="360" w:lineRule="auto"/>
        <w:ind w:firstLine="420"/>
        <w:jc w:val="left"/>
        <w:rPr>
          <w:rFonts w:ascii="宋体" w:hAnsi="宋体" w:cs="宋体"/>
          <w:color w:val="auto"/>
          <w:szCs w:val="21"/>
        </w:rPr>
      </w:pPr>
      <w:r>
        <w:rPr>
          <w:rFonts w:ascii="宋体" w:hAnsi="宋体" w:cs="宋体"/>
          <w:color w:val="auto"/>
          <w:szCs w:val="21"/>
        </w:rPr>
        <w:t>③清倒日常生活垃圾，清洁垃圾桶；</w:t>
      </w:r>
    </w:p>
    <w:p>
      <w:pPr>
        <w:spacing w:line="360" w:lineRule="auto"/>
        <w:ind w:firstLine="420"/>
        <w:jc w:val="left"/>
        <w:rPr>
          <w:rFonts w:ascii="宋体" w:hAnsi="宋体" w:cs="宋体"/>
          <w:color w:val="auto"/>
          <w:szCs w:val="21"/>
        </w:rPr>
      </w:pPr>
      <w:r>
        <w:rPr>
          <w:rFonts w:ascii="宋体" w:hAnsi="宋体" w:cs="宋体"/>
          <w:color w:val="auto"/>
          <w:szCs w:val="21"/>
        </w:rPr>
        <w:t>④负责对每天的报纸、杂志的分发，更换饮水机直饮水，管理开水设备杂活。</w:t>
      </w:r>
    </w:p>
    <w:p>
      <w:pPr>
        <w:snapToGrid w:val="0"/>
        <w:spacing w:line="360" w:lineRule="auto"/>
        <w:ind w:firstLine="420"/>
        <w:jc w:val="center"/>
        <w:rPr>
          <w:rFonts w:ascii="宋体" w:hAnsi="宋体" w:cs="宋体"/>
          <w:bCs/>
          <w:color w:val="auto"/>
          <w:szCs w:val="21"/>
        </w:rPr>
      </w:pPr>
      <w:r>
        <w:rPr>
          <w:rFonts w:ascii="宋体" w:hAnsi="宋体" w:cs="宋体"/>
          <w:bCs/>
          <w:color w:val="auto"/>
          <w:szCs w:val="21"/>
        </w:rPr>
        <w:t>清洁服务范围表</w:t>
      </w:r>
    </w:p>
    <w:tbl>
      <w:tblPr>
        <w:tblStyle w:val="40"/>
        <w:tblW w:w="9241" w:type="dxa"/>
        <w:jc w:val="center"/>
        <w:tblLayout w:type="autofit"/>
        <w:tblCellMar>
          <w:top w:w="0" w:type="dxa"/>
          <w:left w:w="108" w:type="dxa"/>
          <w:bottom w:w="0" w:type="dxa"/>
          <w:right w:w="108" w:type="dxa"/>
        </w:tblCellMar>
      </w:tblPr>
      <w:tblGrid>
        <w:gridCol w:w="915"/>
        <w:gridCol w:w="1730"/>
        <w:gridCol w:w="1757"/>
        <w:gridCol w:w="741"/>
        <w:gridCol w:w="1762"/>
        <w:gridCol w:w="1167"/>
        <w:gridCol w:w="1169"/>
      </w:tblGrid>
      <w:tr>
        <w:tblPrEx>
          <w:tblCellMar>
            <w:top w:w="0" w:type="dxa"/>
            <w:left w:w="108" w:type="dxa"/>
            <w:bottom w:w="0" w:type="dxa"/>
            <w:right w:w="108" w:type="dxa"/>
          </w:tblCellMar>
        </w:tblPrEx>
        <w:trPr>
          <w:cantSplit/>
          <w:trHeight w:val="202" w:hRule="atLeast"/>
          <w:jc w:val="center"/>
        </w:trPr>
        <w:tc>
          <w:tcPr>
            <w:tcW w:w="26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清洁项目</w:t>
            </w:r>
          </w:p>
        </w:tc>
        <w:tc>
          <w:tcPr>
            <w:tcW w:w="24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日常作业</w:t>
            </w:r>
          </w:p>
        </w:tc>
        <w:tc>
          <w:tcPr>
            <w:tcW w:w="2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定期作业</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清洁标准</w:t>
            </w:r>
          </w:p>
        </w:tc>
      </w:tr>
      <w:tr>
        <w:tblPrEx>
          <w:tblCellMar>
            <w:top w:w="0" w:type="dxa"/>
            <w:left w:w="108" w:type="dxa"/>
            <w:bottom w:w="0" w:type="dxa"/>
            <w:right w:w="108" w:type="dxa"/>
          </w:tblCellMar>
        </w:tblPrEx>
        <w:trPr>
          <w:cantSplit/>
          <w:trHeight w:val="396" w:hRule="atLeast"/>
          <w:jc w:val="center"/>
        </w:trPr>
        <w:tc>
          <w:tcPr>
            <w:tcW w:w="26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每天</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次数</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每月</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每季</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r>
      <w:tr>
        <w:tblPrEx>
          <w:tblCellMar>
            <w:top w:w="0" w:type="dxa"/>
            <w:left w:w="108" w:type="dxa"/>
            <w:bottom w:w="0" w:type="dxa"/>
            <w:right w:w="108" w:type="dxa"/>
          </w:tblCellMar>
        </w:tblPrEx>
        <w:trPr>
          <w:cantSplit/>
          <w:trHeight w:val="396"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办</w:t>
            </w:r>
          </w:p>
          <w:p>
            <w:pPr>
              <w:snapToGrid w:val="0"/>
              <w:spacing w:before="0" w:after="120"/>
              <w:ind w:left="420" w:firstLine="0"/>
              <w:jc w:val="center"/>
              <w:rPr>
                <w:rFonts w:ascii="宋体" w:hAnsi="宋体" w:cs="宋体"/>
                <w:bCs/>
                <w:color w:val="auto"/>
                <w:szCs w:val="21"/>
              </w:rPr>
            </w:pPr>
          </w:p>
          <w:p>
            <w:pPr>
              <w:snapToGrid w:val="0"/>
              <w:spacing w:before="0" w:after="120"/>
              <w:ind w:left="420" w:firstLine="0"/>
              <w:jc w:val="center"/>
              <w:rPr>
                <w:rFonts w:ascii="宋体" w:hAnsi="宋体" w:cs="宋体"/>
                <w:bCs/>
                <w:color w:val="auto"/>
                <w:szCs w:val="21"/>
              </w:rPr>
            </w:pPr>
          </w:p>
          <w:p>
            <w:pPr>
              <w:snapToGrid w:val="0"/>
              <w:jc w:val="center"/>
              <w:rPr>
                <w:rFonts w:ascii="宋体" w:hAnsi="宋体" w:cs="宋体"/>
                <w:bCs/>
                <w:color w:val="auto"/>
                <w:szCs w:val="21"/>
              </w:rPr>
            </w:pPr>
            <w:r>
              <w:rPr>
                <w:rFonts w:ascii="宋体" w:hAnsi="宋体" w:cs="宋体"/>
                <w:bCs/>
                <w:color w:val="auto"/>
                <w:szCs w:val="21"/>
              </w:rPr>
              <w:t>公</w:t>
            </w:r>
          </w:p>
          <w:p>
            <w:pPr>
              <w:snapToGrid w:val="0"/>
              <w:spacing w:before="0" w:after="120"/>
              <w:ind w:left="420" w:firstLine="0"/>
              <w:jc w:val="center"/>
              <w:rPr>
                <w:rFonts w:ascii="宋体" w:hAnsi="宋体" w:cs="宋体"/>
                <w:bCs/>
                <w:color w:val="auto"/>
                <w:szCs w:val="21"/>
              </w:rPr>
            </w:pPr>
          </w:p>
          <w:p>
            <w:pPr>
              <w:snapToGrid w:val="0"/>
              <w:spacing w:before="0" w:after="120"/>
              <w:ind w:left="420" w:firstLine="0"/>
              <w:jc w:val="center"/>
              <w:rPr>
                <w:rFonts w:ascii="宋体" w:hAnsi="宋体" w:cs="宋体"/>
                <w:bCs/>
                <w:color w:val="auto"/>
                <w:szCs w:val="21"/>
              </w:rPr>
            </w:pPr>
          </w:p>
          <w:p>
            <w:pPr>
              <w:snapToGrid w:val="0"/>
              <w:jc w:val="center"/>
              <w:rPr>
                <w:rFonts w:ascii="宋体" w:hAnsi="宋体" w:cs="宋体"/>
                <w:bCs/>
                <w:color w:val="auto"/>
                <w:szCs w:val="21"/>
              </w:rPr>
            </w:pPr>
            <w:r>
              <w:rPr>
                <w:rFonts w:ascii="宋体" w:hAnsi="宋体" w:cs="宋体"/>
                <w:bCs/>
                <w:color w:val="auto"/>
                <w:szCs w:val="21"/>
              </w:rPr>
              <w:t>室</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办公室桌椅</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保持干净</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隔板</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顶面清抹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无尘无污</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废纸篓</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清倒垃圾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保持干净</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门窗</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无污浊</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玻璃</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保持清洁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清洁剂清洁1次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光洁明亮</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空调机面/百叶</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清抹</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清洁剂清洁1次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无污浊</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灯管盘</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清洁1次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无污浊</w:t>
            </w:r>
          </w:p>
        </w:tc>
      </w:tr>
      <w:tr>
        <w:tblPrEx>
          <w:tblCellMar>
            <w:top w:w="0" w:type="dxa"/>
            <w:left w:w="108" w:type="dxa"/>
            <w:bottom w:w="0" w:type="dxa"/>
            <w:right w:w="108" w:type="dxa"/>
          </w:tblCellMar>
        </w:tblPrEx>
        <w:trPr>
          <w:cantSplit/>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室内地面及走廊</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清拖</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清洁1次</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打蜡1次</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无污浊</w:t>
            </w:r>
          </w:p>
        </w:tc>
      </w:tr>
      <w:tr>
        <w:tblPrEx>
          <w:tblCellMar>
            <w:top w:w="0" w:type="dxa"/>
            <w:left w:w="108" w:type="dxa"/>
            <w:bottom w:w="0" w:type="dxa"/>
            <w:right w:w="108" w:type="dxa"/>
          </w:tblCellMar>
        </w:tblPrEx>
        <w:trPr>
          <w:trHeight w:val="396" w:hRule="atLeast"/>
          <w:jc w:val="center"/>
        </w:trPr>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公共</w:t>
            </w:r>
          </w:p>
          <w:p>
            <w:pPr>
              <w:snapToGrid w:val="0"/>
              <w:jc w:val="center"/>
              <w:rPr>
                <w:rFonts w:ascii="宋体" w:hAnsi="宋体" w:cs="宋体"/>
                <w:bCs/>
                <w:color w:val="auto"/>
                <w:szCs w:val="21"/>
              </w:rPr>
            </w:pPr>
            <w:r>
              <w:rPr>
                <w:rFonts w:ascii="宋体" w:hAnsi="宋体" w:cs="宋体"/>
                <w:bCs/>
                <w:color w:val="auto"/>
                <w:szCs w:val="21"/>
              </w:rPr>
              <w:t>区域</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院内地坪</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保持清洁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保持干净</w:t>
            </w:r>
          </w:p>
        </w:tc>
      </w:tr>
      <w:tr>
        <w:tblPrEx>
          <w:tblCellMar>
            <w:top w:w="0" w:type="dxa"/>
            <w:left w:w="108" w:type="dxa"/>
            <w:bottom w:w="0" w:type="dxa"/>
            <w:right w:w="108" w:type="dxa"/>
          </w:tblCellMar>
        </w:tblPrEx>
        <w:trPr>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卫生间、茶水间</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保持清洁</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保持干净</w:t>
            </w:r>
          </w:p>
        </w:tc>
      </w:tr>
      <w:tr>
        <w:tblPrEx>
          <w:tblCellMar>
            <w:top w:w="0" w:type="dxa"/>
            <w:left w:w="108" w:type="dxa"/>
            <w:bottom w:w="0" w:type="dxa"/>
            <w:right w:w="108" w:type="dxa"/>
          </w:tblCellMar>
        </w:tblPrEx>
        <w:trPr>
          <w:trHeight w:val="396" w:hRule="atLeast"/>
          <w:jc w:val="center"/>
        </w:trPr>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bCs/>
                <w:color w:val="auto"/>
                <w:szCs w:val="21"/>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垃圾桶</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清倒垃圾</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保持干净</w:t>
            </w:r>
          </w:p>
        </w:tc>
      </w:tr>
      <w:tr>
        <w:tblPrEx>
          <w:tblCellMar>
            <w:top w:w="0" w:type="dxa"/>
            <w:left w:w="108" w:type="dxa"/>
            <w:bottom w:w="0" w:type="dxa"/>
            <w:right w:w="108" w:type="dxa"/>
          </w:tblCellMar>
        </w:tblPrEx>
        <w:trPr>
          <w:trHeight w:val="403"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cs="宋体"/>
                <w:bCs/>
                <w:color w:val="auto"/>
                <w:szCs w:val="21"/>
              </w:rPr>
            </w:pPr>
            <w:r>
              <w:rPr>
                <w:rFonts w:ascii="宋体" w:hAnsi="宋体" w:cs="宋体"/>
                <w:bCs/>
                <w:color w:val="auto"/>
                <w:szCs w:val="21"/>
              </w:rPr>
              <w:t>其他</w:t>
            </w:r>
          </w:p>
        </w:tc>
        <w:tc>
          <w:tcPr>
            <w:tcW w:w="83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before="0" w:after="120"/>
              <w:ind w:left="420" w:firstLine="0"/>
              <w:jc w:val="center"/>
              <w:rPr>
                <w:rFonts w:ascii="宋体" w:hAnsi="宋体" w:cs="宋体"/>
                <w:bCs/>
                <w:color w:val="auto"/>
                <w:szCs w:val="21"/>
              </w:rPr>
            </w:pPr>
            <w:r>
              <w:rPr>
                <w:rFonts w:ascii="宋体" w:hAnsi="宋体" w:cs="宋体"/>
                <w:bCs/>
                <w:color w:val="auto"/>
                <w:szCs w:val="21"/>
              </w:rPr>
              <w:t>发包人临时安排的清洁服务区内的清洁任务</w:t>
            </w:r>
          </w:p>
        </w:tc>
      </w:tr>
    </w:tbl>
    <w:p>
      <w:pPr>
        <w:snapToGrid w:val="0"/>
        <w:spacing w:line="360" w:lineRule="auto"/>
        <w:ind w:firstLine="420"/>
        <w:jc w:val="center"/>
        <w:rPr>
          <w:rFonts w:ascii="宋体" w:hAnsi="宋体" w:cs="宋体"/>
          <w:bCs/>
          <w:color w:val="auto"/>
          <w:szCs w:val="21"/>
        </w:rPr>
      </w:pPr>
    </w:p>
    <w:p>
      <w:pPr>
        <w:spacing w:line="360" w:lineRule="auto"/>
        <w:ind w:firstLine="420"/>
        <w:jc w:val="left"/>
        <w:rPr>
          <w:rFonts w:ascii="宋体" w:hAnsi="宋体" w:cs="宋体"/>
          <w:color w:val="auto"/>
          <w:szCs w:val="21"/>
        </w:rPr>
      </w:pPr>
      <w:r>
        <w:rPr>
          <w:rFonts w:ascii="宋体" w:hAnsi="宋体" w:cs="宋体"/>
          <w:color w:val="auto"/>
          <w:szCs w:val="21"/>
        </w:rPr>
        <w:t>（b）清洁服务方式：承包人包工包料、包设备、包安全，发包人负责协助承包人开展有关清洁工作，提供清洁作业的水、电及作为存放清洁工具、机械、物料的存放场所。</w:t>
      </w:r>
    </w:p>
    <w:p>
      <w:pPr>
        <w:spacing w:line="360" w:lineRule="auto"/>
        <w:ind w:firstLine="420"/>
        <w:jc w:val="left"/>
        <w:rPr>
          <w:rFonts w:ascii="宋体" w:hAnsi="宋体" w:cs="宋体"/>
          <w:color w:val="auto"/>
          <w:szCs w:val="21"/>
        </w:rPr>
      </w:pPr>
      <w:r>
        <w:rPr>
          <w:rFonts w:ascii="宋体" w:hAnsi="宋体" w:cs="宋体"/>
          <w:color w:val="auto"/>
          <w:szCs w:val="21"/>
        </w:rPr>
        <w:t>（c）约定事项</w:t>
      </w:r>
    </w:p>
    <w:p>
      <w:pPr>
        <w:spacing w:line="360" w:lineRule="auto"/>
        <w:ind w:firstLine="420"/>
        <w:jc w:val="left"/>
        <w:rPr>
          <w:rFonts w:ascii="宋体" w:hAnsi="宋体" w:cs="宋体"/>
          <w:color w:val="auto"/>
          <w:szCs w:val="21"/>
        </w:rPr>
      </w:pPr>
      <w:r>
        <w:rPr>
          <w:rFonts w:ascii="宋体" w:hAnsi="宋体" w:cs="宋体"/>
          <w:color w:val="auto"/>
          <w:szCs w:val="21"/>
        </w:rPr>
        <w:t>①受条件限制，发包人不负担承包人派驻清洁现场清洁工的食宿及其费用；</w:t>
      </w:r>
    </w:p>
    <w:p>
      <w:pPr>
        <w:spacing w:line="360" w:lineRule="auto"/>
        <w:ind w:firstLine="420"/>
        <w:jc w:val="left"/>
        <w:rPr>
          <w:rFonts w:ascii="宋体" w:hAnsi="宋体" w:cs="宋体"/>
          <w:color w:val="auto"/>
          <w:szCs w:val="21"/>
        </w:rPr>
      </w:pPr>
      <w:r>
        <w:rPr>
          <w:rFonts w:ascii="宋体" w:hAnsi="宋体" w:cs="宋体"/>
          <w:color w:val="auto"/>
          <w:szCs w:val="21"/>
        </w:rPr>
        <w:t>②承包人负责派驻清洁现场清洁工的工资、社会保险及其他福利待遇等，发包人不再另行负担任何费用；</w:t>
      </w:r>
    </w:p>
    <w:p>
      <w:pPr>
        <w:spacing w:line="360" w:lineRule="auto"/>
        <w:ind w:firstLine="420"/>
        <w:jc w:val="left"/>
        <w:rPr>
          <w:rFonts w:ascii="宋体" w:hAnsi="宋体" w:cs="宋体"/>
          <w:color w:val="auto"/>
          <w:szCs w:val="21"/>
        </w:rPr>
      </w:pPr>
      <w:r>
        <w:rPr>
          <w:rFonts w:ascii="宋体" w:hAnsi="宋体" w:cs="宋体"/>
          <w:color w:val="auto"/>
          <w:szCs w:val="21"/>
        </w:rPr>
        <w:t>③清洁不合格的，发包人有权要求承包人及时进行整改；</w:t>
      </w:r>
    </w:p>
    <w:p>
      <w:pPr>
        <w:spacing w:line="360" w:lineRule="auto"/>
        <w:ind w:firstLine="420"/>
        <w:jc w:val="left"/>
        <w:rPr>
          <w:rFonts w:ascii="宋体" w:hAnsi="宋体" w:cs="宋体"/>
          <w:color w:val="auto"/>
          <w:szCs w:val="21"/>
        </w:rPr>
      </w:pPr>
      <w:r>
        <w:rPr>
          <w:rFonts w:ascii="宋体" w:hAnsi="宋体" w:cs="宋体"/>
          <w:color w:val="auto"/>
          <w:szCs w:val="21"/>
        </w:rPr>
        <w:t>④对不服从管理的清洁工，发包人有权要求承包人及时更换，承包人在接到发包人更换清洁工的通知后应在24小时内予以响应。</w:t>
      </w:r>
    </w:p>
    <w:p>
      <w:pPr>
        <w:spacing w:line="360" w:lineRule="auto"/>
        <w:ind w:firstLine="420"/>
        <w:jc w:val="left"/>
        <w:rPr>
          <w:rFonts w:ascii="宋体" w:hAnsi="宋体" w:cs="宋体"/>
          <w:color w:val="auto"/>
          <w:szCs w:val="21"/>
        </w:rPr>
      </w:pPr>
      <w:r>
        <w:rPr>
          <w:rFonts w:ascii="宋体" w:hAnsi="宋体" w:cs="宋体"/>
          <w:color w:val="auto"/>
          <w:szCs w:val="21"/>
        </w:rPr>
        <w:t>（d）发包人的权利及义务：</w:t>
      </w:r>
    </w:p>
    <w:p>
      <w:pPr>
        <w:spacing w:line="360" w:lineRule="auto"/>
        <w:ind w:firstLine="420"/>
        <w:jc w:val="left"/>
        <w:rPr>
          <w:rFonts w:ascii="宋体" w:hAnsi="宋体" w:cs="宋体"/>
          <w:color w:val="auto"/>
          <w:szCs w:val="21"/>
        </w:rPr>
      </w:pPr>
      <w:r>
        <w:rPr>
          <w:rFonts w:ascii="宋体" w:hAnsi="宋体" w:cs="宋体"/>
          <w:color w:val="auto"/>
          <w:szCs w:val="21"/>
        </w:rPr>
        <w:t>①负责清洁工日常工作的管理；</w:t>
      </w:r>
    </w:p>
    <w:p>
      <w:pPr>
        <w:spacing w:line="360" w:lineRule="auto"/>
        <w:ind w:firstLine="420"/>
        <w:jc w:val="left"/>
        <w:rPr>
          <w:rFonts w:ascii="宋体" w:hAnsi="宋体" w:cs="宋体"/>
          <w:color w:val="auto"/>
          <w:szCs w:val="21"/>
        </w:rPr>
      </w:pPr>
      <w:r>
        <w:rPr>
          <w:rFonts w:ascii="宋体" w:hAnsi="宋体" w:cs="宋体"/>
          <w:color w:val="auto"/>
          <w:szCs w:val="21"/>
        </w:rPr>
        <w:t>②发包人为清洁工提供工作所必需的用水、用电，并保证其正常供应；</w:t>
      </w:r>
    </w:p>
    <w:p>
      <w:pPr>
        <w:spacing w:line="360" w:lineRule="auto"/>
        <w:ind w:firstLine="420"/>
        <w:jc w:val="left"/>
        <w:rPr>
          <w:rFonts w:ascii="宋体" w:hAnsi="宋体" w:cs="宋体"/>
          <w:color w:val="auto"/>
          <w:szCs w:val="21"/>
        </w:rPr>
      </w:pPr>
      <w:r>
        <w:rPr>
          <w:rFonts w:ascii="宋体" w:hAnsi="宋体" w:cs="宋体"/>
          <w:color w:val="auto"/>
          <w:szCs w:val="21"/>
        </w:rPr>
        <w:t>③对规定范围内的清洁工作进行验收。</w:t>
      </w:r>
    </w:p>
    <w:p>
      <w:pPr>
        <w:spacing w:line="360" w:lineRule="auto"/>
        <w:ind w:firstLine="420"/>
        <w:jc w:val="left"/>
        <w:rPr>
          <w:rFonts w:ascii="宋体" w:hAnsi="宋体" w:cs="宋体"/>
          <w:color w:val="auto"/>
          <w:szCs w:val="21"/>
        </w:rPr>
      </w:pPr>
      <w:r>
        <w:rPr>
          <w:rFonts w:ascii="宋体" w:hAnsi="宋体" w:cs="宋体"/>
          <w:color w:val="auto"/>
          <w:szCs w:val="21"/>
        </w:rPr>
        <w:t>（e）承包人的权利及义务：</w:t>
      </w:r>
    </w:p>
    <w:p>
      <w:pPr>
        <w:spacing w:line="360" w:lineRule="auto"/>
        <w:ind w:firstLine="420"/>
        <w:jc w:val="left"/>
        <w:rPr>
          <w:rFonts w:ascii="宋体" w:hAnsi="宋体" w:cs="宋体"/>
          <w:color w:val="auto"/>
          <w:szCs w:val="21"/>
        </w:rPr>
      </w:pPr>
      <w:r>
        <w:rPr>
          <w:rFonts w:ascii="宋体" w:hAnsi="宋体" w:cs="宋体"/>
          <w:color w:val="auto"/>
          <w:szCs w:val="21"/>
        </w:rPr>
        <w:t>①按规定全面履行上述清洁职责；</w:t>
      </w:r>
    </w:p>
    <w:p>
      <w:pPr>
        <w:spacing w:line="360" w:lineRule="auto"/>
        <w:ind w:firstLine="420"/>
        <w:jc w:val="left"/>
        <w:rPr>
          <w:rFonts w:ascii="宋体" w:hAnsi="宋体" w:cs="宋体"/>
          <w:color w:val="auto"/>
          <w:szCs w:val="21"/>
        </w:rPr>
      </w:pPr>
      <w:r>
        <w:rPr>
          <w:rFonts w:ascii="宋体" w:hAnsi="宋体" w:cs="宋体"/>
          <w:color w:val="auto"/>
          <w:szCs w:val="21"/>
        </w:rPr>
        <w:t>②采取安全可靠的方式进行清洁卫生作业，接受发包人的监督管理；</w:t>
      </w:r>
    </w:p>
    <w:p>
      <w:pPr>
        <w:spacing w:line="360" w:lineRule="auto"/>
        <w:ind w:firstLine="420"/>
        <w:jc w:val="left"/>
        <w:rPr>
          <w:rFonts w:ascii="宋体" w:hAnsi="宋体" w:cs="宋体"/>
          <w:color w:val="auto"/>
          <w:szCs w:val="21"/>
        </w:rPr>
      </w:pPr>
      <w:r>
        <w:rPr>
          <w:rFonts w:ascii="宋体" w:hAnsi="宋体" w:cs="宋体"/>
          <w:color w:val="auto"/>
          <w:szCs w:val="21"/>
        </w:rPr>
        <w:t>③对清洁作业包工、包料，并自行解决作业所需物料、工具、机械设备等；</w:t>
      </w:r>
    </w:p>
    <w:p>
      <w:pPr>
        <w:spacing w:line="360" w:lineRule="auto"/>
        <w:ind w:firstLine="420"/>
        <w:jc w:val="left"/>
        <w:rPr>
          <w:rFonts w:ascii="宋体" w:hAnsi="宋体" w:cs="宋体"/>
          <w:color w:val="auto"/>
          <w:szCs w:val="21"/>
        </w:rPr>
      </w:pPr>
      <w:r>
        <w:rPr>
          <w:rFonts w:ascii="宋体" w:hAnsi="宋体" w:cs="宋体"/>
          <w:color w:val="auto"/>
          <w:szCs w:val="21"/>
        </w:rPr>
        <w:t>④除保证清洁质量达到要求外，还应保证发包人之财产完整不受损。否则，除发包人认为可以接受的理由外，承包人应无条件就其清洁作业所造成的损失给予照价赔偿或修复。</w:t>
      </w:r>
    </w:p>
    <w:p>
      <w:pPr>
        <w:keepNext/>
        <w:keepLines/>
        <w:numPr>
          <w:ilvl w:val="0"/>
          <w:numId w:val="0"/>
        </w:numPr>
        <w:spacing w:before="156" w:after="156" w:line="360" w:lineRule="auto"/>
        <w:ind w:firstLine="604"/>
        <w:outlineLvl w:val="4"/>
        <w:rPr>
          <w:rFonts w:ascii="宋体" w:hAnsi="宋体" w:cs="宋体"/>
          <w:b/>
          <w:bCs/>
          <w:color w:val="auto"/>
          <w:sz w:val="24"/>
          <w:szCs w:val="24"/>
        </w:rPr>
      </w:pPr>
      <w:bookmarkStart w:id="6378" w:name="_Toc6435"/>
      <w:bookmarkStart w:id="6379" w:name="_Toc26805"/>
      <w:bookmarkStart w:id="6380" w:name="_Toc22056"/>
      <w:bookmarkStart w:id="6381" w:name="_Toc19486"/>
      <w:bookmarkStart w:id="6382" w:name="_Toc10607"/>
      <w:bookmarkStart w:id="6383" w:name="_Toc26903"/>
      <w:bookmarkStart w:id="6384" w:name="_Toc6063"/>
      <w:bookmarkStart w:id="6385" w:name="_Toc517532282"/>
      <w:bookmarkStart w:id="6386" w:name="_Toc11291"/>
      <w:bookmarkStart w:id="6387" w:name="_Toc517531006"/>
      <w:bookmarkStart w:id="6388" w:name="_Toc16563"/>
      <w:r>
        <w:rPr>
          <w:color w:val="auto"/>
        </w:rPr>
        <w:object>
          <v:shape id="_x0000_i1121" o:spt="201" type="#_x0000_t201" style="height:17.9pt;width:12.5pt;" o:ole="t" filled="f" o:preferrelative="t" stroked="f" coordsize="21600,21600">
            <v:path/>
            <v:fill on="f" focussize="0,0"/>
            <v:stroke on="f" joinstyle="miter"/>
            <v:imagedata o:title=""/>
            <o:lock v:ext="edit"/>
            <w10:wrap type="none"/>
            <w10:anchorlock/>
          </v:shape>
          <w:control r:id="rId192" w:name="CheckBox1297" w:shapeid="_x0000_i1121"/>
        </w:object>
      </w:r>
      <w:r>
        <w:rPr>
          <w:rFonts w:ascii="宋体" w:hAnsi="宋体" w:cs="宋体"/>
          <w:b/>
          <w:bCs/>
          <w:color w:val="auto"/>
          <w:sz w:val="24"/>
          <w:szCs w:val="24"/>
        </w:rPr>
        <w:t>（3）办公室花卉租赁</w:t>
      </w:r>
      <w:bookmarkEnd w:id="6378"/>
      <w:bookmarkEnd w:id="6379"/>
      <w:bookmarkEnd w:id="6380"/>
      <w:bookmarkEnd w:id="6381"/>
      <w:bookmarkEnd w:id="6382"/>
      <w:bookmarkEnd w:id="6383"/>
      <w:bookmarkEnd w:id="6384"/>
      <w:bookmarkEnd w:id="6385"/>
      <w:bookmarkEnd w:id="6386"/>
      <w:bookmarkEnd w:id="6387"/>
      <w:bookmarkEnd w:id="6388"/>
    </w:p>
    <w:p>
      <w:pPr>
        <w:snapToGrid w:val="0"/>
        <w:spacing w:line="360" w:lineRule="auto"/>
        <w:ind w:firstLine="420"/>
        <w:jc w:val="left"/>
        <w:rPr>
          <w:rFonts w:ascii="宋体" w:hAnsi="宋体" w:cs="宋体"/>
          <w:color w:val="auto"/>
          <w:szCs w:val="21"/>
        </w:rPr>
      </w:pPr>
      <w:r>
        <w:rPr>
          <w:rFonts w:ascii="宋体" w:hAnsi="宋体" w:cs="宋体"/>
          <w:color w:val="auto"/>
          <w:szCs w:val="21"/>
        </w:rPr>
        <w:t>（a）项目组办公区室内绿化标准：</w:t>
      </w:r>
    </w:p>
    <w:p>
      <w:pPr>
        <w:snapToGrid w:val="0"/>
        <w:spacing w:line="360" w:lineRule="auto"/>
        <w:ind w:firstLine="400"/>
        <w:jc w:val="left"/>
        <w:rPr>
          <w:rFonts w:ascii="宋体" w:hAnsi="宋体" w:cs="宋体"/>
          <w:color w:val="auto"/>
          <w:szCs w:val="21"/>
        </w:rPr>
      </w:pPr>
      <w:r>
        <w:rPr>
          <w:color w:val="auto"/>
        </w:rPr>
        <w:object>
          <v:shape id="_x0000_i1122" o:spt="201" type="#_x0000_t201" style="height:17.9pt;width:12.5pt;" o:ole="t" filled="f" o:preferrelative="t" stroked="f" coordsize="21600,21600">
            <v:path/>
            <v:fill on="f" focussize="0,0"/>
            <v:stroke on="f" joinstyle="miter"/>
            <v:imagedata o:title=""/>
            <o:lock v:ext="edit"/>
            <w10:wrap type="none"/>
            <w10:anchorlock/>
          </v:shape>
          <w:control r:id="rId193" w:name="CheckBox1298" w:shapeid="_x0000_i1122"/>
        </w:object>
      </w:r>
      <w:r>
        <w:rPr>
          <w:rFonts w:ascii="宋体" w:hAnsi="宋体" w:cs="宋体"/>
          <w:color w:val="auto"/>
          <w:szCs w:val="21"/>
        </w:rPr>
        <w:t>①每间会议室内至少摆放4盆绿色植物，会议桌中间摆一排时花；</w:t>
      </w:r>
    </w:p>
    <w:p>
      <w:pPr>
        <w:snapToGrid w:val="0"/>
        <w:spacing w:line="360" w:lineRule="auto"/>
        <w:ind w:firstLine="400"/>
        <w:jc w:val="left"/>
        <w:rPr>
          <w:rFonts w:ascii="宋体" w:hAnsi="宋体" w:cs="宋体"/>
          <w:color w:val="auto"/>
          <w:szCs w:val="21"/>
        </w:rPr>
      </w:pPr>
      <w:r>
        <w:rPr>
          <w:color w:val="auto"/>
        </w:rPr>
        <w:object>
          <v:shape id="_x0000_i1123" o:spt="201" type="#_x0000_t201" style="height:17.9pt;width:12.5pt;" o:ole="t" filled="f" o:preferrelative="t" stroked="f" coordsize="21600,21600">
            <v:path/>
            <v:fill on="f" focussize="0,0"/>
            <v:stroke on="f" joinstyle="miter"/>
            <v:imagedata o:title=""/>
            <o:lock v:ext="edit"/>
            <w10:wrap type="none"/>
            <w10:anchorlock/>
          </v:shape>
          <w:control r:id="rId194" w:name="CheckBox1299" w:shapeid="_x0000_i1123"/>
        </w:object>
      </w:r>
      <w:r>
        <w:rPr>
          <w:rFonts w:ascii="宋体" w:hAnsi="宋体" w:cs="宋体"/>
          <w:color w:val="auto"/>
          <w:szCs w:val="21"/>
        </w:rPr>
        <w:t>②每间办公室至少摆放2盆绿色植物；</w:t>
      </w:r>
    </w:p>
    <w:p>
      <w:pPr>
        <w:snapToGrid w:val="0"/>
        <w:spacing w:line="360" w:lineRule="auto"/>
        <w:ind w:firstLine="400"/>
        <w:jc w:val="left"/>
        <w:rPr>
          <w:rFonts w:ascii="宋体" w:hAnsi="宋体" w:cs="宋体"/>
          <w:color w:val="auto"/>
          <w:szCs w:val="21"/>
        </w:rPr>
      </w:pPr>
      <w:r>
        <w:rPr>
          <w:color w:val="auto"/>
        </w:rPr>
        <w:object>
          <v:shape id="_x0000_i1124" o:spt="201" type="#_x0000_t201" style="height:17.9pt;width:12.5pt;" o:ole="t" filled="f" o:preferrelative="t" stroked="f" coordsize="21600,21600">
            <v:path/>
            <v:fill on="f" focussize="0,0"/>
            <v:stroke on="f" joinstyle="miter"/>
            <v:imagedata o:title=""/>
            <o:lock v:ext="edit"/>
            <w10:wrap type="none"/>
            <w10:anchorlock/>
          </v:shape>
          <w:control r:id="rId195" w:name="CheckBox1300" w:shapeid="_x0000_i1124"/>
        </w:object>
      </w:r>
      <w:r>
        <w:rPr>
          <w:rFonts w:ascii="宋体" w:hAnsi="宋体" w:cs="宋体"/>
          <w:color w:val="auto"/>
          <w:szCs w:val="21"/>
        </w:rPr>
        <w:t>③绿色植物含绿萝、发财树、金钱树、巴西铁树等。</w:t>
      </w:r>
    </w:p>
    <w:p>
      <w:pPr>
        <w:snapToGrid w:val="0"/>
        <w:spacing w:line="360" w:lineRule="auto"/>
        <w:ind w:firstLine="420"/>
        <w:jc w:val="left"/>
        <w:rPr>
          <w:rFonts w:ascii="宋体" w:hAnsi="宋体" w:cs="宋体"/>
          <w:color w:val="auto"/>
          <w:szCs w:val="21"/>
        </w:rPr>
      </w:pPr>
      <w:r>
        <w:rPr>
          <w:rFonts w:ascii="宋体" w:hAnsi="宋体" w:cs="宋体"/>
          <w:color w:val="auto"/>
          <w:szCs w:val="21"/>
        </w:rPr>
        <w:t>（b）约定事项：</w:t>
      </w:r>
    </w:p>
    <w:p>
      <w:pPr>
        <w:snapToGrid w:val="0"/>
        <w:spacing w:line="360" w:lineRule="auto"/>
        <w:ind w:firstLine="400"/>
        <w:jc w:val="left"/>
        <w:rPr>
          <w:rFonts w:ascii="宋体" w:hAnsi="宋体" w:cs="宋体"/>
          <w:color w:val="auto"/>
          <w:szCs w:val="21"/>
        </w:rPr>
      </w:pPr>
      <w:r>
        <w:rPr>
          <w:color w:val="auto"/>
        </w:rPr>
        <w:object>
          <v:shape id="_x0000_i1125" o:spt="201" type="#_x0000_t201" style="height:17.9pt;width:12.5pt;" o:ole="t" filled="f" o:preferrelative="t" stroked="f" coordsize="21600,21600">
            <v:path/>
            <v:fill on="f" focussize="0,0"/>
            <v:stroke on="f" joinstyle="miter"/>
            <v:imagedata o:title=""/>
            <o:lock v:ext="edit"/>
            <w10:wrap type="none"/>
            <w10:anchorlock/>
          </v:shape>
          <w:control r:id="rId196" w:name="CheckBox1301" w:shapeid="_x0000_i1125"/>
        </w:object>
      </w:r>
      <w:r>
        <w:rPr>
          <w:rFonts w:ascii="宋体" w:hAnsi="宋体" w:cs="宋体"/>
          <w:color w:val="auto"/>
          <w:szCs w:val="21"/>
        </w:rPr>
        <w:t>①承包人向发包人所提供的花卉，由承包人负责浇水、施肥、修剪等日常管理工作，并根据不同品种及花卉情况随时进行更换，保持所供花卉的新鲜和美观；</w:t>
      </w:r>
    </w:p>
    <w:p>
      <w:pPr>
        <w:snapToGrid w:val="0"/>
        <w:spacing w:line="360" w:lineRule="auto"/>
        <w:ind w:firstLine="400"/>
        <w:jc w:val="left"/>
        <w:rPr>
          <w:rFonts w:ascii="宋体" w:hAnsi="宋体" w:cs="宋体"/>
          <w:color w:val="auto"/>
          <w:szCs w:val="21"/>
        </w:rPr>
      </w:pPr>
      <w:r>
        <w:rPr>
          <w:color w:val="auto"/>
        </w:rPr>
        <w:object>
          <v:shape id="_x0000_i1126" o:spt="201" type="#_x0000_t201" style="height:17.9pt;width:12.5pt;" o:ole="t" filled="f" o:preferrelative="t" stroked="f" coordsize="21600,21600">
            <v:path/>
            <v:fill on="f" focussize="0,0"/>
            <v:stroke on="f" joinstyle="miter"/>
            <v:imagedata o:title=""/>
            <o:lock v:ext="edit"/>
            <w10:wrap type="none"/>
            <w10:anchorlock/>
          </v:shape>
          <w:control r:id="rId197" w:name="CheckBox1302" w:shapeid="_x0000_i1126"/>
        </w:object>
      </w:r>
      <w:r>
        <w:rPr>
          <w:rFonts w:ascii="宋体" w:hAnsi="宋体" w:cs="宋体"/>
          <w:color w:val="auto"/>
          <w:szCs w:val="21"/>
        </w:rPr>
        <w:t>②发包人应为承包人提供管理上的方便。</w:t>
      </w:r>
    </w:p>
    <w:p>
      <w:pPr>
        <w:keepNext/>
        <w:keepLines/>
        <w:numPr>
          <w:ilvl w:val="0"/>
          <w:numId w:val="0"/>
        </w:numPr>
        <w:spacing w:before="156" w:after="156" w:line="360" w:lineRule="auto"/>
        <w:outlineLvl w:val="3"/>
        <w:rPr>
          <w:rFonts w:ascii="宋体" w:hAnsi="宋体" w:cs="宋体"/>
          <w:b/>
          <w:bCs/>
          <w:color w:val="auto"/>
          <w:sz w:val="24"/>
          <w:szCs w:val="24"/>
        </w:rPr>
      </w:pPr>
      <w:r>
        <w:rPr>
          <w:rFonts w:ascii="宋体" w:hAnsi="宋体" w:cs="宋体"/>
          <w:b/>
          <w:bCs/>
          <w:color w:val="auto"/>
          <w:sz w:val="24"/>
          <w:szCs w:val="24"/>
        </w:rPr>
        <w:t>6.1.12  深圳市建筑工务署质量安全第三方评价管理</w:t>
      </w:r>
    </w:p>
    <w:p>
      <w:pPr>
        <w:snapToGrid w:val="0"/>
        <w:spacing w:line="360" w:lineRule="auto"/>
        <w:ind w:firstLine="420"/>
        <w:jc w:val="left"/>
        <w:rPr>
          <w:rFonts w:ascii="宋体" w:hAnsi="宋体" w:cs="宋体"/>
          <w:color w:val="auto"/>
          <w:szCs w:val="21"/>
        </w:rPr>
      </w:pPr>
      <w:r>
        <w:rPr>
          <w:rFonts w:ascii="宋体" w:hAnsi="宋体" w:cs="宋体"/>
          <w:color w:val="auto"/>
          <w:szCs w:val="21"/>
        </w:rPr>
        <w:t>（a）为进一步规范深圳市建筑工务署建设工程管理工作，落实廉洁、高效、专业、精品的管理目标，提升深圳市建筑工务署工程项目质量安全管理水平，引入第三方单位对署内在建项目进行工程质量安全进行评价。</w:t>
      </w:r>
    </w:p>
    <w:p>
      <w:pPr>
        <w:snapToGrid w:val="0"/>
        <w:spacing w:line="360" w:lineRule="auto"/>
        <w:ind w:firstLine="420"/>
        <w:jc w:val="left"/>
        <w:rPr>
          <w:rFonts w:ascii="宋体" w:hAnsi="宋体" w:cs="宋体"/>
          <w:color w:val="auto"/>
          <w:szCs w:val="21"/>
        </w:rPr>
      </w:pPr>
      <w:r>
        <w:rPr>
          <w:rFonts w:ascii="宋体" w:hAnsi="宋体" w:cs="宋体"/>
          <w:color w:val="auto"/>
          <w:szCs w:val="21"/>
        </w:rPr>
        <w:t>（b）署内所有在建项目原则上均需评价，包含房建项目、市政项目。具体规则如下：</w:t>
      </w:r>
    </w:p>
    <w:p>
      <w:pPr>
        <w:snapToGrid w:val="0"/>
        <w:spacing w:line="360" w:lineRule="auto"/>
        <w:ind w:firstLine="420"/>
        <w:jc w:val="left"/>
        <w:rPr>
          <w:rFonts w:ascii="宋体" w:hAnsi="宋体" w:cs="宋体"/>
          <w:color w:val="auto"/>
          <w:szCs w:val="21"/>
        </w:rPr>
      </w:pPr>
      <w:r>
        <w:rPr>
          <w:rFonts w:ascii="宋体" w:hAnsi="宋体" w:cs="宋体"/>
          <w:color w:val="auto"/>
          <w:szCs w:val="21"/>
        </w:rPr>
        <w:t>（一）保密工程不巡查不评价。</w:t>
      </w:r>
    </w:p>
    <w:p>
      <w:pPr>
        <w:snapToGrid w:val="0"/>
        <w:spacing w:line="360" w:lineRule="auto"/>
        <w:ind w:firstLine="420"/>
        <w:jc w:val="left"/>
        <w:rPr>
          <w:rFonts w:ascii="宋体" w:hAnsi="宋体" w:cs="宋体"/>
          <w:color w:val="auto"/>
          <w:szCs w:val="21"/>
        </w:rPr>
      </w:pPr>
      <w:r>
        <w:rPr>
          <w:rFonts w:ascii="宋体" w:hAnsi="宋体" w:cs="宋体"/>
          <w:color w:val="auto"/>
          <w:szCs w:val="21"/>
        </w:rPr>
        <w:t>（二）代建项目与勘察项目只巡查不评价。</w:t>
      </w:r>
    </w:p>
    <w:p>
      <w:pPr>
        <w:snapToGrid w:val="0"/>
        <w:spacing w:line="360" w:lineRule="auto"/>
        <w:ind w:firstLine="420"/>
        <w:jc w:val="left"/>
        <w:rPr>
          <w:rFonts w:ascii="宋体" w:hAnsi="宋体" w:cs="宋体"/>
          <w:color w:val="auto"/>
          <w:szCs w:val="21"/>
        </w:rPr>
      </w:pPr>
      <w:r>
        <w:rPr>
          <w:rFonts w:ascii="宋体" w:hAnsi="宋体" w:cs="宋体"/>
          <w:color w:val="auto"/>
          <w:szCs w:val="21"/>
        </w:rPr>
        <w:t>（三）评价对象为施工单位和监理单位，施工单位评价包含施工总承包单位评价以及专业承包工程评价。</w:t>
      </w:r>
    </w:p>
    <w:p>
      <w:pPr>
        <w:snapToGrid w:val="0"/>
        <w:spacing w:line="360" w:lineRule="auto"/>
        <w:ind w:firstLine="420"/>
        <w:jc w:val="left"/>
        <w:rPr>
          <w:rFonts w:ascii="宋体" w:hAnsi="宋体" w:cs="宋体"/>
          <w:color w:val="auto"/>
          <w:szCs w:val="21"/>
        </w:rPr>
      </w:pPr>
      <w:r>
        <w:rPr>
          <w:rFonts w:ascii="宋体" w:hAnsi="宋体" w:cs="宋体"/>
          <w:color w:val="auto"/>
          <w:szCs w:val="21"/>
        </w:rPr>
        <w:t>（c）引入第三方评价单位对在建项目的工程质量安全进行第三方评价是对项目质量安全实施监督管理，不免除施工单位、监理单位和代建单位应负的主体责任。</w:t>
      </w:r>
    </w:p>
    <w:p>
      <w:pPr>
        <w:keepNext/>
        <w:keepLines/>
        <w:numPr>
          <w:ilvl w:val="0"/>
          <w:numId w:val="0"/>
        </w:numPr>
        <w:spacing w:before="156" w:after="156" w:line="360" w:lineRule="auto"/>
        <w:outlineLvl w:val="3"/>
        <w:rPr>
          <w:rFonts w:ascii="宋体" w:hAnsi="宋体" w:cs="宋体"/>
          <w:b/>
          <w:bCs/>
          <w:color w:val="auto"/>
          <w:sz w:val="24"/>
          <w:szCs w:val="24"/>
        </w:rPr>
      </w:pPr>
      <w:r>
        <w:rPr>
          <w:rFonts w:ascii="宋体" w:hAnsi="宋体" w:cs="宋体"/>
          <w:b/>
          <w:bCs/>
          <w:color w:val="auto"/>
          <w:sz w:val="24"/>
          <w:szCs w:val="24"/>
        </w:rPr>
        <w:t>6.1.13 深圳市建筑工务署建设工程重大安全隐患判定导则</w:t>
      </w:r>
    </w:p>
    <w:p>
      <w:pPr>
        <w:snapToGrid w:val="0"/>
        <w:spacing w:line="360" w:lineRule="auto"/>
        <w:ind w:firstLine="420"/>
        <w:jc w:val="left"/>
        <w:rPr>
          <w:rFonts w:ascii="宋体" w:hAnsi="宋体" w:cs="宋体"/>
          <w:color w:val="auto"/>
          <w:szCs w:val="21"/>
        </w:rPr>
      </w:pPr>
      <w:r>
        <w:rPr>
          <w:rFonts w:ascii="宋体" w:hAnsi="宋体" w:cs="宋体"/>
          <w:color w:val="auto"/>
          <w:szCs w:val="21"/>
        </w:rPr>
        <w:t>（a）为遏制重特大事故为中心,控制较大事故、全力压减一般事故，为施工现场重大安全隐患判定提供依据，依据相关法律、法规和规范、标准编制了《深圳市建筑工务署建设工程重大安全隐患判定导则》。</w:t>
      </w:r>
    </w:p>
    <w:p>
      <w:pPr>
        <w:snapToGrid w:val="0"/>
        <w:spacing w:line="360" w:lineRule="auto"/>
        <w:ind w:firstLine="420"/>
        <w:jc w:val="left"/>
        <w:rPr>
          <w:rFonts w:ascii="宋体" w:hAnsi="宋体" w:cs="宋体"/>
          <w:color w:val="auto"/>
          <w:szCs w:val="21"/>
        </w:rPr>
      </w:pPr>
      <w:r>
        <w:rPr>
          <w:rFonts w:ascii="宋体" w:hAnsi="宋体" w:cs="宋体"/>
          <w:color w:val="auto"/>
          <w:szCs w:val="21"/>
        </w:rPr>
        <w:t>（b）本导则所述条款适用于深圳市建筑工务署所承接的市内新建、改建、扩建和拆除的房屋建筑和市政基础设施工程施工现场重大安全隐患的判定。</w:t>
      </w:r>
    </w:p>
    <w:p>
      <w:pPr>
        <w:keepNext/>
        <w:keepLines/>
        <w:numPr>
          <w:ilvl w:val="0"/>
          <w:numId w:val="0"/>
        </w:numPr>
        <w:spacing w:before="156" w:after="156" w:line="360" w:lineRule="auto"/>
        <w:outlineLvl w:val="3"/>
        <w:rPr>
          <w:rFonts w:ascii="宋体" w:hAnsi="宋体" w:cs="宋体"/>
          <w:b/>
          <w:bCs/>
          <w:color w:val="auto"/>
          <w:sz w:val="24"/>
          <w:szCs w:val="24"/>
        </w:rPr>
      </w:pPr>
      <w:r>
        <w:rPr>
          <w:rFonts w:ascii="宋体" w:hAnsi="宋体" w:cs="宋体"/>
          <w:b/>
          <w:bCs/>
          <w:color w:val="auto"/>
          <w:sz w:val="24"/>
          <w:szCs w:val="24"/>
        </w:rPr>
        <w:t>6.1.14 深圳市建筑工务署安全文明标准化手册</w:t>
      </w:r>
    </w:p>
    <w:p>
      <w:pPr>
        <w:snapToGrid w:val="0"/>
        <w:spacing w:line="360" w:lineRule="auto"/>
        <w:ind w:firstLine="420"/>
        <w:jc w:val="left"/>
        <w:rPr>
          <w:rFonts w:ascii="宋体" w:hAnsi="宋体" w:cs="宋体"/>
          <w:color w:val="auto"/>
          <w:szCs w:val="21"/>
        </w:rPr>
      </w:pPr>
      <w:r>
        <w:rPr>
          <w:rFonts w:ascii="宋体" w:hAnsi="宋体" w:cs="宋体"/>
          <w:color w:val="auto"/>
          <w:szCs w:val="21"/>
        </w:rPr>
        <w:t>（a）为进一步提升深圳市建筑工务署政府建设工程安全文明施工标准，打造与现代化国际化创新型城市相匹配的建设工地，按照市委市政府打造“先行示范区”，实现城市“高质量发展”的总体部署和要求，我署制定了《深圳市建筑工务署建设项目安全文明标准化手册（3.0版本）》（以下简称“本手册”），我署所有在建项目必须遵照执行。</w:t>
      </w:r>
    </w:p>
    <w:p>
      <w:pPr>
        <w:snapToGrid w:val="0"/>
        <w:spacing w:line="360" w:lineRule="auto"/>
        <w:ind w:firstLine="420"/>
        <w:jc w:val="left"/>
        <w:rPr>
          <w:rFonts w:ascii="宋体" w:hAnsi="宋体" w:cs="宋体"/>
          <w:color w:val="auto"/>
          <w:szCs w:val="21"/>
        </w:rPr>
      </w:pPr>
      <w:r>
        <w:rPr>
          <w:rFonts w:ascii="宋体" w:hAnsi="宋体" w:cs="宋体"/>
          <w:color w:val="auto"/>
          <w:szCs w:val="21"/>
        </w:rPr>
        <w:t>（b）本手册适用于我署所有在建项目，其中带“推荐”字样的内容为推荐做法，鼓励各项目部采用。其他内容必须强制执行。</w:t>
      </w:r>
    </w:p>
    <w:p>
      <w:pPr>
        <w:snapToGrid w:val="0"/>
        <w:spacing w:line="360" w:lineRule="auto"/>
        <w:ind w:firstLine="420"/>
        <w:jc w:val="left"/>
        <w:rPr>
          <w:color w:val="auto"/>
        </w:rPr>
      </w:pPr>
      <w:r>
        <w:rPr>
          <w:rFonts w:ascii="宋体" w:hAnsi="宋体" w:cs="宋体"/>
          <w:color w:val="auto"/>
          <w:szCs w:val="21"/>
        </w:rPr>
        <w:t>（c）承包人应对工地的安全文明措施进行标准化管理，且其实施标准不得低于《深圳市建筑工务署安全文明标准化手册》中的各项具体要求。《深圳市建筑工务署安全文明标准化手册》已在深圳市建筑工务署官网公示，具体内容请登录官网自行查阅和下载。网址：</w:t>
      </w:r>
      <w:r>
        <w:rPr>
          <w:color w:val="auto"/>
        </w:rPr>
        <w:fldChar w:fldCharType="begin"/>
      </w:r>
      <w:r>
        <w:rPr>
          <w:color w:val="auto"/>
        </w:rPr>
        <w:instrText xml:space="preserve"> HYPERLINK "http://szwb.sz.gov.cn/。" \h </w:instrText>
      </w:r>
      <w:r>
        <w:rPr>
          <w:color w:val="auto"/>
        </w:rPr>
        <w:fldChar w:fldCharType="separate"/>
      </w:r>
      <w:r>
        <w:rPr>
          <w:rStyle w:val="47"/>
          <w:rFonts w:ascii="宋体" w:hAnsi="宋体" w:cs="宋体"/>
          <w:color w:val="auto"/>
          <w:szCs w:val="21"/>
        </w:rPr>
        <w:t>http://szwb.sz.gov.cn/。</w:t>
      </w:r>
      <w:r>
        <w:rPr>
          <w:rStyle w:val="47"/>
          <w:rFonts w:ascii="宋体" w:hAnsi="宋体" w:cs="宋体"/>
          <w:color w:val="auto"/>
          <w:szCs w:val="21"/>
        </w:rPr>
        <w:fldChar w:fldCharType="end"/>
      </w:r>
    </w:p>
    <w:p>
      <w:pPr>
        <w:keepNext/>
        <w:keepLines/>
        <w:numPr>
          <w:ilvl w:val="0"/>
          <w:numId w:val="0"/>
        </w:numPr>
        <w:spacing w:before="156" w:after="156" w:line="360" w:lineRule="auto"/>
        <w:outlineLvl w:val="3"/>
        <w:rPr>
          <w:rFonts w:ascii="宋体" w:hAnsi="宋体" w:cs="宋体"/>
          <w:b/>
          <w:bCs/>
          <w:color w:val="auto"/>
          <w:sz w:val="24"/>
          <w:szCs w:val="24"/>
        </w:rPr>
      </w:pPr>
      <w:bookmarkStart w:id="6389" w:name="_Hlk49161377"/>
      <w:r>
        <w:rPr>
          <w:rFonts w:ascii="宋体" w:hAnsi="宋体" w:cs="宋体"/>
          <w:b/>
          <w:bCs/>
          <w:color w:val="auto"/>
          <w:sz w:val="24"/>
          <w:szCs w:val="24"/>
        </w:rPr>
        <w:t>6.1.15 建筑工地围墙（围挡）</w:t>
      </w:r>
    </w:p>
    <w:p>
      <w:pPr>
        <w:snapToGrid w:val="0"/>
        <w:spacing w:line="360" w:lineRule="auto"/>
        <w:ind w:firstLine="420"/>
        <w:jc w:val="left"/>
        <w:rPr>
          <w:rFonts w:ascii="宋体" w:hAnsi="宋体" w:cs="宋体"/>
          <w:color w:val="auto"/>
          <w:szCs w:val="21"/>
        </w:rPr>
      </w:pPr>
      <w:r>
        <w:rPr>
          <w:rFonts w:ascii="宋体" w:hAnsi="宋体" w:cs="宋体"/>
          <w:color w:val="auto"/>
          <w:szCs w:val="21"/>
        </w:rPr>
        <w:t>为落实深圳市创建第五届全国文明城市工作，按照中共深圳市委宣传部 2016年8月4日印发的《关于加强建筑围挡公益广告刊载工作的通知》要求，承包人应确保本合同工程的建筑工地围墙（围挡）满足以下要求：</w:t>
      </w:r>
    </w:p>
    <w:p>
      <w:pPr>
        <w:snapToGrid w:val="0"/>
        <w:spacing w:line="360" w:lineRule="auto"/>
        <w:ind w:firstLine="420"/>
        <w:jc w:val="left"/>
        <w:rPr>
          <w:rFonts w:ascii="宋体" w:hAnsi="宋体" w:cs="宋体"/>
          <w:color w:val="auto"/>
          <w:szCs w:val="21"/>
        </w:rPr>
      </w:pPr>
      <w:r>
        <w:rPr>
          <w:rFonts w:ascii="宋体" w:hAnsi="宋体" w:cs="宋体"/>
          <w:color w:val="auto"/>
          <w:szCs w:val="21"/>
        </w:rPr>
        <w:t>（1）建筑工地围墙（围挡）全部刊载（喷绘）公益广告，不得擅自发布商业性质广告。具体刊载（喷绘）内容和方式由发包人提出。</w:t>
      </w:r>
    </w:p>
    <w:p>
      <w:pPr>
        <w:snapToGrid w:val="0"/>
        <w:spacing w:line="360" w:lineRule="auto"/>
        <w:ind w:firstLine="420"/>
        <w:jc w:val="left"/>
        <w:rPr>
          <w:rFonts w:ascii="宋体" w:hAnsi="宋体" w:cs="宋体"/>
          <w:color w:val="auto"/>
          <w:szCs w:val="21"/>
        </w:rPr>
      </w:pPr>
      <w:r>
        <w:rPr>
          <w:rFonts w:ascii="宋体" w:hAnsi="宋体" w:cs="宋体"/>
          <w:color w:val="auto"/>
          <w:szCs w:val="21"/>
        </w:rPr>
        <w:t>（2）已刊载（喷绘）围墙（围挡）的公益广告面积比例不达标，或者画面内容不符合政府和发包人相关要求、画面褪色或破损脱落情况严重的，应立即整改，按要求重新喷绘、刊载。</w:t>
      </w:r>
      <w:bookmarkEnd w:id="6389"/>
    </w:p>
    <w:p>
      <w:pPr>
        <w:keepNext/>
        <w:keepLines/>
        <w:numPr>
          <w:ilvl w:val="0"/>
          <w:numId w:val="0"/>
        </w:numPr>
        <w:spacing w:before="156" w:after="156" w:line="360" w:lineRule="auto"/>
        <w:outlineLvl w:val="3"/>
        <w:rPr>
          <w:rFonts w:ascii="宋体" w:hAnsi="宋体" w:cs="宋体"/>
          <w:b/>
          <w:bCs/>
          <w:color w:val="auto"/>
          <w:sz w:val="24"/>
          <w:szCs w:val="24"/>
        </w:rPr>
      </w:pPr>
      <w:r>
        <w:rPr>
          <w:rFonts w:ascii="宋体" w:hAnsi="宋体" w:cs="宋体"/>
          <w:b/>
          <w:bCs/>
          <w:color w:val="auto"/>
          <w:sz w:val="24"/>
          <w:szCs w:val="24"/>
        </w:rPr>
        <w:t>6.1.16 危险性较大的分部分项工程清单</w:t>
      </w:r>
    </w:p>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本招标文件中所列的危险性较大分部分项工程清单仅供参考，在项目实施过程中承包人必须执行《危险性较大的分部分项工程安全管理规定》等国家法律法规的规定。</w:t>
      </w:r>
    </w:p>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在危险性较大分部分项工程施工前，承包人报送危险性较大分部分项工程的专项施工方案，且应当按有关规定在施工现场明显位置进行公示，公示内容包括：危险性较大的分部分项工程的名称、部位、施工期限、施工负责人、安全监控责任人、质量监控责任人和投诉举报电话等。</w:t>
      </w:r>
    </w:p>
    <w:tbl>
      <w:tblPr>
        <w:tblStyle w:val="40"/>
        <w:tblW w:w="8695" w:type="dxa"/>
        <w:tblInd w:w="0" w:type="dxa"/>
        <w:tblLayout w:type="autofit"/>
        <w:tblCellMar>
          <w:top w:w="0" w:type="dxa"/>
          <w:left w:w="108" w:type="dxa"/>
          <w:bottom w:w="0" w:type="dxa"/>
          <w:right w:w="108" w:type="dxa"/>
        </w:tblCellMar>
      </w:tblPr>
      <w:tblGrid>
        <w:gridCol w:w="4750"/>
        <w:gridCol w:w="2879"/>
        <w:gridCol w:w="1066"/>
      </w:tblGrid>
      <w:tr>
        <w:tblPrEx>
          <w:tblCellMar>
            <w:top w:w="0" w:type="dxa"/>
            <w:left w:w="108" w:type="dxa"/>
            <w:bottom w:w="0" w:type="dxa"/>
            <w:right w:w="108" w:type="dxa"/>
          </w:tblCellMar>
        </w:tblPrEx>
        <w:trPr>
          <w:trHeight w:val="458"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ind w:firstLine="482"/>
              <w:jc w:val="center"/>
              <w:rPr>
                <w:rFonts w:ascii="宋体" w:hAnsi="宋体" w:cs="仿宋_GB2312"/>
                <w:b/>
                <w:bCs/>
                <w:color w:val="auto"/>
                <w:sz w:val="18"/>
                <w:szCs w:val="18"/>
              </w:rPr>
            </w:pPr>
            <w:r>
              <w:rPr>
                <w:rFonts w:ascii="宋体" w:hAnsi="宋体" w:cs="宋体"/>
                <w:b/>
                <w:bCs/>
                <w:color w:val="auto"/>
                <w:sz w:val="24"/>
                <w:szCs w:val="24"/>
              </w:rPr>
              <w:t>危险性较大的分部分项工程清单</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cs="仿宋_GB2312"/>
                <w:b/>
                <w:bCs/>
                <w:color w:val="auto"/>
                <w:sz w:val="18"/>
                <w:szCs w:val="18"/>
              </w:rPr>
            </w:pPr>
            <w:r>
              <w:rPr>
                <w:rFonts w:ascii="宋体" w:hAnsi="宋体" w:cs="宋体"/>
                <w:b/>
                <w:bCs/>
                <w:color w:val="auto"/>
                <w:sz w:val="24"/>
                <w:szCs w:val="24"/>
              </w:rPr>
              <w:t>部位及规模</w:t>
            </w:r>
          </w:p>
        </w:tc>
        <w:tc>
          <w:tcPr>
            <w:tcW w:w="1066"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cs="仿宋_GB2312"/>
                <w:b/>
                <w:bCs/>
                <w:color w:val="auto"/>
                <w:sz w:val="18"/>
                <w:szCs w:val="18"/>
              </w:rPr>
            </w:pPr>
            <w:r>
              <w:rPr>
                <w:rFonts w:ascii="宋体" w:hAnsi="宋体" w:cs="宋体"/>
                <w:b/>
                <w:bCs/>
                <w:color w:val="auto"/>
                <w:sz w:val="24"/>
                <w:szCs w:val="24"/>
              </w:rPr>
              <w:t>是否有</w:t>
            </w:r>
          </w:p>
        </w:tc>
      </w:tr>
      <w:tr>
        <w:tblPrEx>
          <w:tblCellMar>
            <w:top w:w="0" w:type="dxa"/>
            <w:left w:w="108" w:type="dxa"/>
            <w:bottom w:w="0" w:type="dxa"/>
            <w:right w:w="108" w:type="dxa"/>
          </w:tblCellMar>
        </w:tblPrEx>
        <w:trPr>
          <w:trHeight w:val="18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　一、基坑工程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49" name="图像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像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9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（一）开挖深度超过3m（含3m）的基坑（槽）的土方开挖、支护、降水工程。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0" name="图像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像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r>
              <w:rPr>
                <w:rFonts w:ascii="宋体" w:hAnsi="宋体" w:cs="仿宋_GB2312"/>
                <w:bCs/>
                <w:color w:val="auto"/>
                <w:sz w:val="18"/>
                <w:szCs w:val="18"/>
              </w:rPr>
              <w:t xml:space="preserve"> </w:t>
            </w:r>
          </w:p>
        </w:tc>
      </w:tr>
      <w:tr>
        <w:tblPrEx>
          <w:tblCellMar>
            <w:top w:w="0" w:type="dxa"/>
            <w:left w:w="108" w:type="dxa"/>
            <w:bottom w:w="0" w:type="dxa"/>
            <w:right w:w="108" w:type="dxa"/>
          </w:tblCellMar>
        </w:tblPrEx>
        <w:trPr>
          <w:trHeight w:val="199"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（二）开挖深度虽未超过3m，但地质条件、周围环境和地下管线复杂，或影响毗邻建、构筑物安全的基坑（槽）的土方开挖、支护、降水工程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1" name="图像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像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3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二、模板工程及支撑体系</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2" name="图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像6"/>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5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各类工具式模板工程：包括大模板、滑模、爬模、飞模、隧道模等工程。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3" name="图像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像7"/>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74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4" name="图像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像8"/>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7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（三）承重支撑体系：用于钢结构安装等满堂支撑体系。</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5" name="图像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像9"/>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92"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三、起重吊装及起重机械安装拆卸工程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6" name="图像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像10"/>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1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（一）采用非常规起重设备、方法，且单件起吊重量在10KN及以上的起重吊装工程。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7" name="图像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像11"/>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7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（二）采用起重机械进行安装的工程。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8" name="图像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像12"/>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38"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（三）起重机械设备自身的安装、拆卸。</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59" name="图像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像1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9"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四、脚手架工程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0" name="图像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像1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6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（一）搭设高度24m及以上的落地式钢管脚手架工程（包括采光井、电梯井脚手架）。</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1" name="图像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像1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465"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（二）附着式整体和分片提升脚手架工程。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2" name="图像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像16"/>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4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（三）悬挑式脚手架工程。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3" name="图像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像17"/>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21"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（四）高处作业吊篮。</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4" name="图像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像18"/>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（五）卸料平台、操作平台工程。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5" name="图像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像19"/>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59"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（六）异型脚手架工程。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6" name="图像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像20"/>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78"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　五、拆除工程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7" name="图像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像21"/>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41"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可能影响行人、交通、电力设施、通讯设施或其它建、构筑物安全的拆除工程。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8" name="图像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像22"/>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六、暗挖工程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69" name="图像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像2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采用矿山法、盾构法、顶管法施工的隧道、洞室工程。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bCs/>
                <w:color w:val="auto"/>
                <w:sz w:val="18"/>
                <w:szCs w:val="18"/>
              </w:rPr>
            </w:pPr>
            <w:r>
              <w:rPr>
                <w:color w:val="auto"/>
              </w:rPr>
              <w:drawing>
                <wp:inline distT="0" distB="0" distL="0" distR="0">
                  <wp:extent cx="203835" cy="222885"/>
                  <wp:effectExtent l="0" t="0" r="0" b="0"/>
                  <wp:docPr id="70" name="图像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像2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　七、其它</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1" name="图像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像2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5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（一）建筑幕墙安装工程。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2" name="图像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像26"/>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18"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（二）钢结构、网架和索膜结构安装工程。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3" name="图像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像27"/>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（三）人工挖孔桩工程。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4" name="图像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像28"/>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14"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（四）水下作业工程程。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5" name="图像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像29"/>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（五）装配式建筑混凝土预制构件安装工程。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6" name="图像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像30"/>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9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（六）采用新技术、新工艺、新材料、新设备可能影响工程施工安全，尚无国家、行业及地方技术标准的分部分项工程。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7" name="图像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像31"/>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458"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cs="宋体"/>
                <w:b/>
                <w:bCs/>
                <w:color w:val="auto"/>
                <w:sz w:val="24"/>
                <w:szCs w:val="24"/>
              </w:rPr>
            </w:pPr>
            <w:r>
              <w:rPr>
                <w:rFonts w:ascii="宋体" w:hAnsi="宋体" w:cs="宋体"/>
                <w:b/>
                <w:bCs/>
                <w:color w:val="auto"/>
                <w:sz w:val="24"/>
                <w:szCs w:val="24"/>
              </w:rPr>
              <w:t>超过一定规模的危险性较大的分部分项工程清单</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482"/>
              <w:jc w:val="center"/>
              <w:rPr>
                <w:rFonts w:ascii="宋体" w:hAnsi="宋体" w:cs="宋体"/>
                <w:b/>
                <w:bCs/>
                <w:color w:val="auto"/>
                <w:sz w:val="24"/>
                <w:szCs w:val="24"/>
              </w:rPr>
            </w:pPr>
            <w:r>
              <w:rPr>
                <w:rFonts w:ascii="宋体" w:hAnsi="宋体" w:cs="宋体"/>
                <w:b/>
                <w:bCs/>
                <w:color w:val="auto"/>
                <w:sz w:val="24"/>
                <w:szCs w:val="24"/>
              </w:rPr>
              <w:t>部位及规模</w:t>
            </w:r>
          </w:p>
        </w:tc>
        <w:tc>
          <w:tcPr>
            <w:tcW w:w="1066"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jc w:val="center"/>
              <w:rPr>
                <w:rFonts w:ascii="宋体" w:hAnsi="宋体" w:cs="宋体"/>
                <w:b/>
                <w:bCs/>
                <w:color w:val="auto"/>
                <w:sz w:val="24"/>
                <w:szCs w:val="24"/>
              </w:rPr>
            </w:pPr>
            <w:r>
              <w:rPr>
                <w:rFonts w:ascii="宋体" w:hAnsi="宋体" w:cs="宋体"/>
                <w:b/>
                <w:bCs/>
                <w:color w:val="auto"/>
                <w:sz w:val="24"/>
                <w:szCs w:val="24"/>
              </w:rPr>
              <w:t>是否有</w:t>
            </w:r>
          </w:p>
        </w:tc>
      </w:tr>
      <w:tr>
        <w:tblPrEx>
          <w:tblCellMar>
            <w:top w:w="0" w:type="dxa"/>
            <w:left w:w="108" w:type="dxa"/>
            <w:bottom w:w="0" w:type="dxa"/>
            <w:right w:w="108" w:type="dxa"/>
          </w:tblCellMar>
        </w:tblPrEx>
        <w:trPr>
          <w:trHeight w:val="252"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一、深基坑工程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8" name="图像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像32"/>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7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开挖深度超过5m（含5m）的基坑（槽）的土方开挖、支护、降水工程。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79" name="图像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像3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62"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二、模板工程及支撑体系</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0" name="图像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像3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9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（一）各类工具式模板工程：包括滑模、爬模、飞模、隧道模等工程。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1" name="图像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像3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40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（二）混凝土模板支撑工程：搭设高度8m及以上，或搭设跨度18m及以上，或施工总荷载（设计值）15kN/m2及以上，或集中线荷载（设计值）20kN/m及以上。</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2" name="图像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像36"/>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435"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（三）承重支撑体系：用于钢结构安装等满堂支撑体系，承受单点集中荷载7kN及以上。</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3" name="图像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像37"/>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74"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三、起重吊装及安装拆卸工程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4" name="图像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像38"/>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3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（一）采用非常规起重设备、方法，且单件起吊重量在100kN及以上的起重吊装工程。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5" name="图像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像39"/>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9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（二）起重量300kN及以上，或搭设总高度200m及以上，或搭设基础标高在200m及以上的起重机械安装和拆卸工程。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6" name="图像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像40"/>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04"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四、脚手架工程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7" name="图像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像41"/>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24"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（一）搭设高度50m及以上的落地式钢管脚手架工程。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8" name="图像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像42"/>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8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（二）提升高度在150m及以上的附着式升降脚手架工程或附着式升降操作平台工程。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89" name="图像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像4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0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（三）分段架体搭设高度20m及以上的悬挑式脚手架工程。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0" name="图像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像4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8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五、拆除工程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1" name="图像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像4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0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（一）码头、桥梁、高架、烟囱、水塔或拆除中容易引起有毒有害气（液）体或粉尘扩散、易燃易爆事故发生的特殊建、构筑物的拆除工程。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2" name="图像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像46"/>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0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（二）文物保护建筑、优秀历史建筑或历史文化风貌区影响范围内的拆除工程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bCs/>
                <w:color w:val="auto"/>
                <w:sz w:val="18"/>
                <w:szCs w:val="18"/>
              </w:rPr>
            </w:pPr>
          </w:p>
        </w:tc>
      </w:tr>
      <w:tr>
        <w:tblPrEx>
          <w:tblCellMar>
            <w:top w:w="0" w:type="dxa"/>
            <w:left w:w="108" w:type="dxa"/>
            <w:bottom w:w="0" w:type="dxa"/>
            <w:right w:w="108" w:type="dxa"/>
          </w:tblCellMar>
        </w:tblPrEx>
        <w:trPr>
          <w:trHeight w:val="30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六、暗挖工程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3" name="图像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像47"/>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56"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采用矿山法、盾构法、顶管法施工的隧道、洞室工程。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bCs/>
                <w:color w:val="auto"/>
                <w:sz w:val="18"/>
                <w:szCs w:val="18"/>
              </w:rPr>
            </w:pPr>
            <w:r>
              <w:rPr>
                <w:color w:val="auto"/>
              </w:rPr>
              <w:drawing>
                <wp:inline distT="0" distB="0" distL="0" distR="0">
                  <wp:extent cx="203835" cy="222885"/>
                  <wp:effectExtent l="0" t="0" r="0" b="0"/>
                  <wp:docPr id="94" name="图像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像48"/>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25"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 xml:space="preserve"> 七、其它</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bCs/>
                <w:color w:val="auto"/>
                <w:sz w:val="18"/>
                <w:szCs w:val="18"/>
              </w:rPr>
            </w:pPr>
            <w:r>
              <w:rPr>
                <w:color w:val="auto"/>
              </w:rPr>
              <w:drawing>
                <wp:inline distT="0" distB="0" distL="0" distR="0">
                  <wp:extent cx="203835" cy="222885"/>
                  <wp:effectExtent l="0" t="0" r="0" b="0"/>
                  <wp:docPr id="95" name="图像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像49"/>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12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（一）施工高度50m及以上的建筑幕墙安装工程。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6" name="图像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像50"/>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60"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（二）跨度36m及以上的钢结构安装工程，或跨度60m及以上的网架和索膜结构安装工程。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7" name="图像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像51"/>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343"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（三）开挖深度16m及以上的人工挖孔桩工程。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8" name="图像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像52"/>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01"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（四）水下作业工程。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99" name="图像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像53"/>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201"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（五）重量1000kN及以上的大型结构整体顶升、平移、转体等施工工艺。</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100" name="图像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像54"/>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r>
        <w:tblPrEx>
          <w:tblCellMar>
            <w:top w:w="0" w:type="dxa"/>
            <w:left w:w="108" w:type="dxa"/>
            <w:bottom w:w="0" w:type="dxa"/>
            <w:right w:w="108" w:type="dxa"/>
          </w:tblCellMar>
        </w:tblPrEx>
        <w:trPr>
          <w:trHeight w:val="547" w:hRule="atLeast"/>
        </w:trPr>
        <w:tc>
          <w:tcPr>
            <w:tcW w:w="4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360" w:lineRule="auto"/>
              <w:ind w:firstLine="420"/>
              <w:jc w:val="left"/>
              <w:rPr>
                <w:rFonts w:ascii="宋体" w:hAnsi="宋体" w:cs="宋体"/>
                <w:color w:val="auto"/>
                <w:szCs w:val="21"/>
              </w:rPr>
            </w:pPr>
            <w:r>
              <w:rPr>
                <w:rFonts w:ascii="宋体" w:hAnsi="宋体" w:cs="宋体"/>
                <w:color w:val="auto"/>
                <w:szCs w:val="21"/>
              </w:rPr>
              <w:t>（六）采用新技术、新工艺、新材料、新设备可能影响工程施工安全，尚无国家、行业及地方技术标准的分部分项工程。</w:t>
            </w:r>
          </w:p>
        </w:tc>
        <w:tc>
          <w:tcPr>
            <w:tcW w:w="2879" w:type="dxa"/>
            <w:tcBorders>
              <w:top w:val="single" w:color="000000" w:sz="4" w:space="0"/>
              <w:bottom w:val="single" w:color="000000" w:sz="4" w:space="0"/>
              <w:right w:val="single" w:color="000000" w:sz="4" w:space="0"/>
            </w:tcBorders>
            <w:shd w:val="clear" w:color="auto" w:fill="auto"/>
            <w:vAlign w:val="center"/>
          </w:tcPr>
          <w:p>
            <w:pPr>
              <w:snapToGrid w:val="0"/>
              <w:spacing w:line="360" w:lineRule="auto"/>
              <w:ind w:firstLine="360"/>
              <w:rPr>
                <w:rFonts w:ascii="宋体" w:hAnsi="宋体" w:cs="仿宋_GB2312"/>
                <w:color w:val="auto"/>
                <w:sz w:val="18"/>
                <w:szCs w:val="18"/>
              </w:rPr>
            </w:pPr>
          </w:p>
        </w:tc>
        <w:tc>
          <w:tcPr>
            <w:tcW w:w="1066" w:type="dxa"/>
            <w:tcBorders>
              <w:top w:val="single" w:color="000000" w:sz="4" w:space="0"/>
              <w:bottom w:val="single" w:color="000000" w:sz="4" w:space="0"/>
              <w:right w:val="single" w:color="000000" w:sz="4" w:space="0"/>
            </w:tcBorders>
            <w:shd w:val="clear" w:color="auto" w:fill="auto"/>
          </w:tcPr>
          <w:p>
            <w:pPr>
              <w:widowControl/>
              <w:snapToGrid w:val="0"/>
              <w:spacing w:line="360" w:lineRule="auto"/>
              <w:rPr>
                <w:rFonts w:ascii="宋体" w:hAnsi="宋体" w:cs="仿宋_GB2312"/>
                <w:color w:val="auto"/>
                <w:kern w:val="0"/>
                <w:sz w:val="18"/>
                <w:szCs w:val="18"/>
              </w:rPr>
            </w:pPr>
            <w:r>
              <w:rPr>
                <w:color w:val="auto"/>
              </w:rPr>
              <w:drawing>
                <wp:inline distT="0" distB="0" distL="0" distR="0">
                  <wp:extent cx="203835" cy="222885"/>
                  <wp:effectExtent l="0" t="0" r="0" b="0"/>
                  <wp:docPr id="101" name="图像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像55"/>
                          <pic:cNvPicPr>
                            <a:picLocks noChangeAspect="1" noChangeArrowheads="1"/>
                          </pic:cNvPicPr>
                        </pic:nvPicPr>
                        <pic:blipFill>
                          <a:blip r:embed="rId198"/>
                          <a:stretch>
                            <a:fillRect/>
                          </a:stretch>
                        </pic:blipFill>
                        <pic:spPr>
                          <a:xfrm>
                            <a:off x="0" y="0"/>
                            <a:ext cx="203835" cy="222885"/>
                          </a:xfrm>
                          <a:prstGeom prst="rect">
                            <a:avLst/>
                          </a:prstGeom>
                        </pic:spPr>
                      </pic:pic>
                    </a:graphicData>
                  </a:graphic>
                </wp:inline>
              </w:drawing>
            </w:r>
          </w:p>
        </w:tc>
      </w:tr>
    </w:tbl>
    <w:p>
      <w:pPr>
        <w:snapToGrid w:val="0"/>
        <w:spacing w:line="360" w:lineRule="auto"/>
        <w:ind w:firstLine="420"/>
        <w:jc w:val="left"/>
        <w:rPr>
          <w:color w:val="auto"/>
        </w:rPr>
      </w:pPr>
      <w:bookmarkStart w:id="6390" w:name="_Toc312677997"/>
      <w:bookmarkEnd w:id="6390"/>
      <w:bookmarkStart w:id="6391" w:name="_Toc318581164"/>
      <w:bookmarkEnd w:id="6391"/>
      <w:bookmarkStart w:id="6392" w:name="_Toc300934949"/>
      <w:bookmarkEnd w:id="6392"/>
      <w:bookmarkStart w:id="6393" w:name="_Toc297123496"/>
      <w:bookmarkEnd w:id="6393"/>
      <w:bookmarkStart w:id="6394" w:name="_Toc297216155"/>
      <w:bookmarkEnd w:id="6394"/>
      <w:bookmarkStart w:id="6395" w:name="_Toc303539106"/>
      <w:bookmarkEnd w:id="6395"/>
      <w:bookmarkStart w:id="6396" w:name="_Toc304295527"/>
      <w:bookmarkEnd w:id="6396"/>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397" w:name="_Toc517531007"/>
      <w:bookmarkStart w:id="6398" w:name="_Toc6731"/>
      <w:bookmarkStart w:id="6399" w:name="_Toc9705"/>
      <w:bookmarkStart w:id="6400" w:name="_Toc21883"/>
      <w:bookmarkStart w:id="6401" w:name="_Toc517532283"/>
      <w:bookmarkStart w:id="6402" w:name="_Toc21156"/>
      <w:bookmarkStart w:id="6403" w:name="_Toc517528791"/>
      <w:bookmarkStart w:id="6404" w:name="_Toc1471"/>
      <w:bookmarkStart w:id="6405" w:name="_Toc8735"/>
      <w:bookmarkStart w:id="6406" w:name="_Toc14451"/>
      <w:bookmarkStart w:id="6407" w:name="_Toc21128"/>
      <w:bookmarkStart w:id="6408" w:name="_Toc28009"/>
      <w:r>
        <w:rPr>
          <w:rFonts w:ascii="宋体" w:hAnsi="宋体" w:cs="宋体"/>
          <w:b/>
          <w:bCs/>
          <w:color w:val="auto"/>
          <w:sz w:val="28"/>
          <w:szCs w:val="28"/>
        </w:rPr>
        <w:t>6.3环境保护</w:t>
      </w:r>
      <w:bookmarkEnd w:id="6397"/>
      <w:bookmarkEnd w:id="6398"/>
      <w:bookmarkEnd w:id="6399"/>
      <w:bookmarkEnd w:id="6400"/>
      <w:bookmarkEnd w:id="6401"/>
      <w:bookmarkEnd w:id="6402"/>
      <w:bookmarkEnd w:id="6403"/>
      <w:bookmarkEnd w:id="6404"/>
      <w:bookmarkEnd w:id="6405"/>
      <w:bookmarkEnd w:id="6406"/>
      <w:bookmarkEnd w:id="6407"/>
      <w:bookmarkEnd w:id="6408"/>
    </w:p>
    <w:p>
      <w:pPr>
        <w:keepNext/>
        <w:keepLines/>
        <w:numPr>
          <w:ilvl w:val="0"/>
          <w:numId w:val="0"/>
        </w:numPr>
        <w:spacing w:before="156" w:after="156" w:line="360" w:lineRule="auto"/>
        <w:outlineLvl w:val="3"/>
        <w:rPr>
          <w:rFonts w:ascii="宋体" w:hAnsi="宋体" w:cs="宋体"/>
          <w:b/>
          <w:bCs/>
          <w:color w:val="auto"/>
          <w:sz w:val="24"/>
          <w:szCs w:val="24"/>
        </w:rPr>
      </w:pPr>
      <w:bookmarkStart w:id="6409" w:name="_Toc27070"/>
      <w:bookmarkStart w:id="6410" w:name="_Toc9213"/>
      <w:bookmarkStart w:id="6411" w:name="_Toc29311"/>
      <w:bookmarkStart w:id="6412" w:name="_Toc21929"/>
      <w:bookmarkStart w:id="6413" w:name="_Toc16319"/>
      <w:bookmarkStart w:id="6414" w:name="_Toc15957"/>
      <w:bookmarkStart w:id="6415" w:name="_Toc22595"/>
      <w:bookmarkStart w:id="6416" w:name="_Toc23058"/>
      <w:bookmarkStart w:id="6417" w:name="_Toc2316"/>
      <w:bookmarkStart w:id="6418" w:name="_Toc1263"/>
      <w:bookmarkStart w:id="6419" w:name="_Toc23789"/>
      <w:bookmarkStart w:id="6420" w:name="_Toc19605"/>
      <w:bookmarkStart w:id="6421" w:name="_Toc8488"/>
      <w:bookmarkStart w:id="6422" w:name="_Toc13853"/>
      <w:bookmarkStart w:id="6423" w:name="_Toc24587"/>
      <w:bookmarkStart w:id="6424" w:name="_Toc7634"/>
      <w:bookmarkStart w:id="6425" w:name="_Toc517531008"/>
      <w:bookmarkStart w:id="6426" w:name="_Toc517532284"/>
      <w:r>
        <w:rPr>
          <w:rFonts w:ascii="宋体" w:hAnsi="宋体" w:cs="宋体"/>
          <w:b/>
          <w:bCs/>
          <w:color w:val="auto"/>
          <w:sz w:val="24"/>
          <w:szCs w:val="24"/>
        </w:rPr>
        <w:t>6.3.1扬尘污染防治</w:t>
      </w:r>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p>
    <w:p>
      <w:pPr>
        <w:snapToGrid w:val="0"/>
        <w:spacing w:line="360" w:lineRule="auto"/>
        <w:ind w:firstLine="420"/>
        <w:rPr>
          <w:rFonts w:ascii="宋体" w:hAnsi="宋体" w:cs="宋体"/>
          <w:color w:val="auto"/>
          <w:szCs w:val="21"/>
        </w:rPr>
      </w:pPr>
      <w:r>
        <w:rPr>
          <w:rFonts w:ascii="宋体" w:hAnsi="宋体" w:cs="宋体"/>
          <w:color w:val="auto"/>
          <w:szCs w:val="21"/>
        </w:rPr>
        <w:t>施工总承包工程的特别要求（土建）：</w:t>
      </w:r>
    </w:p>
    <w:p>
      <w:pPr>
        <w:snapToGrid w:val="0"/>
        <w:spacing w:line="360" w:lineRule="auto"/>
        <w:ind w:firstLine="420"/>
        <w:rPr>
          <w:rFonts w:ascii="宋体" w:hAnsi="宋体" w:cs="宋体"/>
          <w:color w:val="auto"/>
          <w:szCs w:val="21"/>
        </w:rPr>
      </w:pPr>
      <w:r>
        <w:rPr>
          <w:rFonts w:ascii="宋体" w:hAnsi="宋体" w:cs="宋体"/>
          <w:color w:val="auto"/>
          <w:szCs w:val="21"/>
        </w:rPr>
        <w:t>依据《深圳市大气环境质量提升计划》要求，在建工程项目在推进大气污染防治、改善环境空气质量，促进城市可持续发展方面必须满足以下规定要求：</w:t>
      </w:r>
    </w:p>
    <w:p>
      <w:pPr>
        <w:snapToGrid w:val="0"/>
        <w:spacing w:line="360" w:lineRule="auto"/>
        <w:ind w:firstLine="420"/>
        <w:rPr>
          <w:rFonts w:ascii="宋体" w:hAnsi="宋体" w:cs="宋体"/>
          <w:color w:val="auto"/>
          <w:szCs w:val="21"/>
        </w:rPr>
      </w:pPr>
      <w:r>
        <w:rPr>
          <w:rFonts w:ascii="宋体" w:hAnsi="宋体" w:cs="宋体"/>
          <w:color w:val="auto"/>
          <w:szCs w:val="21"/>
        </w:rPr>
        <w:t>（a）建筑工地必须做到施工现场100%标准化围蔽、工地砂土不用时100%覆盖、工地路面100%硬地化、拆除工程100%洒水压尘、出工地车辆100%冲洗车轮车身、施工现场长期裸土100%覆盖或绿化；</w:t>
      </w:r>
    </w:p>
    <w:p>
      <w:pPr>
        <w:snapToGrid w:val="0"/>
        <w:spacing w:line="360" w:lineRule="auto"/>
        <w:ind w:firstLine="420"/>
        <w:rPr>
          <w:rFonts w:ascii="宋体" w:hAnsi="宋体" w:cs="宋体"/>
          <w:color w:val="auto"/>
          <w:szCs w:val="21"/>
        </w:rPr>
      </w:pPr>
      <w:r>
        <w:rPr>
          <w:rFonts w:ascii="宋体" w:hAnsi="宋体" w:cs="宋体"/>
          <w:color w:val="auto"/>
          <w:szCs w:val="21"/>
        </w:rPr>
        <w:t>（b）必须使用符合《深圳市在用非道路移动机械用柴油机排气污染物限值及测量方法》(SZJG49-2015)特区技术规范要求的非道路移动机械。鼓励使用LNG或电动施工机械，全面推行使用加装主动再生式柴油颗粒捕集器的柴油工程机械，工程项目中选用LNG或电动施工机械的比例不低于30%。</w:t>
      </w:r>
    </w:p>
    <w:p>
      <w:pPr>
        <w:snapToGrid w:val="0"/>
        <w:spacing w:line="360" w:lineRule="auto"/>
        <w:ind w:firstLine="420"/>
        <w:rPr>
          <w:rFonts w:ascii="宋体" w:hAnsi="宋体" w:cs="宋体"/>
          <w:color w:val="auto"/>
          <w:szCs w:val="21"/>
        </w:rPr>
      </w:pPr>
      <w:r>
        <w:rPr>
          <w:rFonts w:ascii="宋体" w:hAnsi="宋体" w:cs="宋体"/>
          <w:color w:val="auto"/>
          <w:szCs w:val="21"/>
        </w:rPr>
        <w:t>（c）工地出口必须按规定安装车辆自动喷淋系统，推广利用工地基坑回用废水清洗余泥渣土运输车辆；</w:t>
      </w:r>
    </w:p>
    <w:p>
      <w:pPr>
        <w:snapToGrid w:val="0"/>
        <w:spacing w:line="360" w:lineRule="auto"/>
        <w:ind w:firstLine="420"/>
        <w:rPr>
          <w:rFonts w:ascii="宋体" w:hAnsi="宋体" w:cs="宋体"/>
          <w:color w:val="auto"/>
          <w:szCs w:val="21"/>
        </w:rPr>
      </w:pPr>
      <w:r>
        <w:rPr>
          <w:rFonts w:ascii="宋体" w:hAnsi="宋体" w:cs="宋体"/>
          <w:color w:val="auto"/>
          <w:szCs w:val="21"/>
        </w:rPr>
        <w:t>（d）工地排放总悬浮颗粒物（TSP）应符合特区技术规范要求，占地5000平方米及以上工地出口必须安装TSP在线自动监测装置。</w:t>
      </w:r>
    </w:p>
    <w:p>
      <w:pPr>
        <w:snapToGrid w:val="0"/>
        <w:spacing w:line="360" w:lineRule="auto"/>
        <w:ind w:firstLine="420"/>
        <w:rPr>
          <w:rFonts w:ascii="宋体" w:hAnsi="宋体" w:cs="宋体"/>
          <w:color w:val="auto"/>
          <w:szCs w:val="21"/>
        </w:rPr>
      </w:pPr>
      <w:r>
        <w:rPr>
          <w:rFonts w:ascii="宋体" w:hAnsi="宋体" w:cs="宋体"/>
          <w:color w:val="auto"/>
          <w:szCs w:val="21"/>
        </w:rPr>
        <w:t>（e）在建工地出口必须设置项目扬尘视频监控设施，建设扬尘视频监控平台。建设用地面积大于5万平方米的房屋建筑工程及房屋拆除工程还需实现重点环节和部位的精细化管理，在施工工地出口、起重机、料堆等易起尘的位置安装视频监控设施。</w:t>
      </w:r>
    </w:p>
    <w:p>
      <w:pPr>
        <w:spacing w:line="360" w:lineRule="auto"/>
        <w:ind w:firstLine="420"/>
        <w:rPr>
          <w:rFonts w:ascii="宋体" w:hAnsi="宋体" w:cs="宋体"/>
          <w:color w:val="auto"/>
          <w:szCs w:val="21"/>
        </w:rPr>
      </w:pPr>
      <w:r>
        <w:rPr>
          <w:rFonts w:ascii="宋体" w:hAnsi="宋体" w:cs="宋体"/>
          <w:color w:val="auto"/>
          <w:szCs w:val="21"/>
        </w:rPr>
        <w:t>发包人将在项目实施过程中依据扬尘防治的有关要求对承包人进行重点检查，对于出现违反规定的行为,发包人有权采取限期整治、责令停工等措施。同时，对于违反规定的承包人，发包人有权采取记录承包人不良行为、录入企业履约评价档案等违约处理措施。</w:t>
      </w:r>
    </w:p>
    <w:p>
      <w:pPr>
        <w:keepNext/>
        <w:keepLines/>
        <w:numPr>
          <w:ilvl w:val="0"/>
          <w:numId w:val="0"/>
        </w:numPr>
        <w:spacing w:before="156" w:after="156" w:line="360" w:lineRule="auto"/>
        <w:outlineLvl w:val="3"/>
        <w:rPr>
          <w:rFonts w:ascii="宋体" w:hAnsi="宋体" w:cs="宋体"/>
          <w:b/>
          <w:bCs/>
          <w:color w:val="auto"/>
          <w:sz w:val="24"/>
          <w:szCs w:val="24"/>
        </w:rPr>
      </w:pPr>
      <w:bookmarkStart w:id="6427" w:name="_Toc517531009"/>
      <w:bookmarkStart w:id="6428" w:name="_Toc29953"/>
      <w:bookmarkStart w:id="6429" w:name="_Toc8892"/>
      <w:bookmarkStart w:id="6430" w:name="_Toc3912"/>
      <w:bookmarkStart w:id="6431" w:name="_Toc29636"/>
      <w:bookmarkStart w:id="6432" w:name="_Toc16428"/>
      <w:bookmarkStart w:id="6433" w:name="_Toc14152"/>
      <w:bookmarkStart w:id="6434" w:name="_Toc517532285"/>
      <w:bookmarkStart w:id="6435" w:name="_Toc1334"/>
      <w:bookmarkStart w:id="6436" w:name="_Toc8784"/>
      <w:bookmarkStart w:id="6437" w:name="_Toc8160"/>
      <w:bookmarkStart w:id="6438" w:name="_Toc18613"/>
      <w:bookmarkStart w:id="6439" w:name="_Toc9923"/>
      <w:bookmarkStart w:id="6440" w:name="_Toc6281"/>
      <w:bookmarkStart w:id="6441" w:name="_Toc7542"/>
      <w:bookmarkStart w:id="6442" w:name="_Toc2040"/>
      <w:bookmarkStart w:id="6443" w:name="_Toc21380"/>
      <w:bookmarkStart w:id="6444" w:name="_Toc9879"/>
      <w:r>
        <w:rPr>
          <w:rFonts w:ascii="宋体" w:hAnsi="宋体" w:cs="宋体"/>
          <w:b/>
          <w:bCs/>
          <w:color w:val="auto"/>
          <w:sz w:val="24"/>
          <w:szCs w:val="24"/>
        </w:rPr>
        <w:t>6.3.3余泥渣土运输的要求</w:t>
      </w:r>
      <w:bookmarkEnd w:id="627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45" w:name="_Toc11267"/>
      <w:bookmarkStart w:id="6446" w:name="_Toc517532286"/>
      <w:bookmarkStart w:id="6447" w:name="_Toc517531010"/>
      <w:bookmarkStart w:id="6448" w:name="_Toc4505"/>
      <w:bookmarkStart w:id="6449" w:name="_Toc28729"/>
      <w:bookmarkStart w:id="6450" w:name="_Toc21340"/>
      <w:bookmarkStart w:id="6451" w:name="_Toc7719"/>
      <w:bookmarkStart w:id="6452" w:name="_Toc4052"/>
      <w:bookmarkStart w:id="6453" w:name="_Toc2857"/>
      <w:bookmarkStart w:id="6454" w:name="_Toc23208"/>
      <w:r>
        <w:rPr>
          <w:rFonts w:ascii="宋体" w:hAnsi="宋体" w:cs="宋体"/>
          <w:b/>
          <w:bCs/>
          <w:color w:val="auto"/>
          <w:sz w:val="24"/>
          <w:szCs w:val="24"/>
        </w:rPr>
        <w:t>（1）词语定义</w:t>
      </w:r>
      <w:bookmarkEnd w:id="6445"/>
      <w:bookmarkEnd w:id="6446"/>
      <w:bookmarkEnd w:id="6447"/>
      <w:bookmarkEnd w:id="6448"/>
      <w:bookmarkEnd w:id="6449"/>
      <w:bookmarkEnd w:id="6450"/>
      <w:bookmarkEnd w:id="6451"/>
      <w:bookmarkEnd w:id="6452"/>
      <w:bookmarkEnd w:id="6453"/>
      <w:bookmarkEnd w:id="6454"/>
    </w:p>
    <w:p>
      <w:pPr>
        <w:snapToGrid w:val="0"/>
        <w:spacing w:line="360" w:lineRule="auto"/>
        <w:ind w:firstLine="420"/>
        <w:jc w:val="left"/>
        <w:rPr>
          <w:rFonts w:ascii="宋体" w:hAnsi="宋体" w:cs="宋体"/>
          <w:color w:val="auto"/>
          <w:szCs w:val="21"/>
        </w:rPr>
      </w:pPr>
      <w:r>
        <w:rPr>
          <w:rFonts w:ascii="宋体" w:hAnsi="宋体" w:cs="宋体"/>
          <w:color w:val="auto"/>
          <w:szCs w:val="21"/>
        </w:rPr>
        <w:t>余泥渣土运输车辆（泥头车）：指承担本工程施工现场土石方、部分建筑材料及建筑垃圾运输任务且相关证件齐全的合格车辆。</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55" w:name="_Toc517532287"/>
      <w:bookmarkStart w:id="6456" w:name="_Toc10493"/>
      <w:bookmarkStart w:id="6457" w:name="_Toc6155"/>
      <w:bookmarkStart w:id="6458" w:name="_Toc17477"/>
      <w:bookmarkStart w:id="6459" w:name="_Toc3080"/>
      <w:bookmarkStart w:id="6460" w:name="_Toc13571"/>
      <w:bookmarkStart w:id="6461" w:name="_Toc30280"/>
      <w:bookmarkStart w:id="6462" w:name="_Toc6223"/>
      <w:bookmarkStart w:id="6463" w:name="_Toc517531011"/>
      <w:bookmarkStart w:id="6464" w:name="_Toc19864"/>
      <w:r>
        <w:rPr>
          <w:rFonts w:ascii="宋体" w:hAnsi="宋体" w:cs="宋体"/>
          <w:b/>
          <w:bCs/>
          <w:color w:val="auto"/>
          <w:sz w:val="24"/>
          <w:szCs w:val="24"/>
        </w:rPr>
        <w:t>（2）证件种类的要求</w:t>
      </w:r>
      <w:bookmarkEnd w:id="6455"/>
      <w:bookmarkEnd w:id="6456"/>
      <w:bookmarkEnd w:id="6457"/>
      <w:bookmarkEnd w:id="6458"/>
      <w:bookmarkEnd w:id="6459"/>
      <w:bookmarkEnd w:id="6460"/>
      <w:bookmarkEnd w:id="6461"/>
      <w:bookmarkEnd w:id="6462"/>
      <w:bookmarkEnd w:id="6463"/>
      <w:bookmarkEnd w:id="6464"/>
    </w:p>
    <w:p>
      <w:pPr>
        <w:snapToGrid w:val="0"/>
        <w:spacing w:line="360" w:lineRule="auto"/>
        <w:ind w:firstLine="420"/>
        <w:jc w:val="left"/>
        <w:rPr>
          <w:rFonts w:ascii="宋体" w:hAnsi="宋体" w:cs="宋体"/>
          <w:color w:val="auto"/>
          <w:szCs w:val="21"/>
        </w:rPr>
      </w:pPr>
      <w:r>
        <w:rPr>
          <w:rFonts w:ascii="宋体" w:hAnsi="宋体" w:cs="宋体"/>
          <w:color w:val="auto"/>
          <w:szCs w:val="21"/>
        </w:rPr>
        <w:t>承担本合同余泥渣土运输任务的专业运输单位及其营运的余泥渣土运输车辆应当具备相关职能部门核发的下列证件：</w:t>
      </w:r>
    </w:p>
    <w:p>
      <w:pPr>
        <w:snapToGrid w:val="0"/>
        <w:spacing w:line="360" w:lineRule="auto"/>
        <w:ind w:firstLine="420"/>
        <w:jc w:val="left"/>
        <w:rPr>
          <w:rFonts w:ascii="宋体" w:hAnsi="宋体" w:cs="宋体"/>
          <w:color w:val="auto"/>
          <w:szCs w:val="21"/>
        </w:rPr>
      </w:pPr>
      <w:r>
        <w:rPr>
          <w:rFonts w:ascii="宋体" w:hAnsi="宋体" w:cs="宋体"/>
          <w:color w:val="auto"/>
          <w:szCs w:val="21"/>
        </w:rPr>
        <w:t>（a）专业运输单位应具备：《道路运输经营许可证》；</w:t>
      </w:r>
    </w:p>
    <w:p>
      <w:pPr>
        <w:snapToGrid w:val="0"/>
        <w:spacing w:line="360" w:lineRule="auto"/>
        <w:ind w:firstLine="420"/>
        <w:jc w:val="left"/>
        <w:rPr>
          <w:rFonts w:ascii="宋体" w:hAnsi="宋体" w:cs="宋体"/>
          <w:color w:val="auto"/>
          <w:szCs w:val="21"/>
        </w:rPr>
      </w:pPr>
      <w:r>
        <w:rPr>
          <w:rFonts w:ascii="宋体" w:hAnsi="宋体" w:cs="宋体"/>
          <w:color w:val="auto"/>
          <w:szCs w:val="21"/>
        </w:rPr>
        <w:t>（b）余泥渣土运输车辆应具备：《道路运输许可证》《机动车行驶证》；</w:t>
      </w:r>
    </w:p>
    <w:p>
      <w:pPr>
        <w:snapToGrid w:val="0"/>
        <w:spacing w:line="360" w:lineRule="auto"/>
        <w:ind w:firstLine="420"/>
        <w:jc w:val="left"/>
        <w:rPr>
          <w:rFonts w:ascii="宋体" w:hAnsi="宋体" w:cs="宋体"/>
          <w:color w:val="auto"/>
          <w:szCs w:val="21"/>
        </w:rPr>
      </w:pPr>
      <w:r>
        <w:rPr>
          <w:rFonts w:ascii="宋体" w:hAnsi="宋体" w:cs="宋体"/>
          <w:color w:val="auto"/>
          <w:szCs w:val="21"/>
        </w:rPr>
        <w:t>（c）因工程客观情况需要，余泥渣土运输车辆需承担建筑垃圾运输任务，应办理《城市建筑垃圾准运证》；以及，余泥渣土运输车辆需行驶市区内禁行路段，还应办理《深圳市余泥渣土运输车辆临时通行证》。在同等情况下，承包人应优先选择具备《深圳市自卸车企业资质达标证书》余泥渣土运输单位。</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65" w:name="_Toc31737"/>
      <w:bookmarkStart w:id="6466" w:name="_Toc15824"/>
      <w:bookmarkStart w:id="6467" w:name="_Toc2136"/>
      <w:bookmarkStart w:id="6468" w:name="_Toc976"/>
      <w:bookmarkStart w:id="6469" w:name="_Toc517531012"/>
      <w:bookmarkStart w:id="6470" w:name="_Toc29859"/>
      <w:bookmarkStart w:id="6471" w:name="_Toc21440"/>
      <w:bookmarkStart w:id="6472" w:name="_Toc14461"/>
      <w:bookmarkStart w:id="6473" w:name="_Toc517532288"/>
      <w:bookmarkStart w:id="6474" w:name="_Toc1997"/>
      <w:r>
        <w:rPr>
          <w:rFonts w:ascii="宋体" w:hAnsi="宋体" w:cs="宋体"/>
          <w:b/>
          <w:bCs/>
          <w:color w:val="auto"/>
          <w:sz w:val="24"/>
          <w:szCs w:val="24"/>
        </w:rPr>
        <w:t>（3）承包人自行运输或分包</w:t>
      </w:r>
      <w:bookmarkEnd w:id="6465"/>
      <w:bookmarkEnd w:id="6466"/>
      <w:bookmarkEnd w:id="6467"/>
      <w:bookmarkEnd w:id="6468"/>
      <w:bookmarkEnd w:id="6469"/>
      <w:bookmarkEnd w:id="6470"/>
      <w:bookmarkEnd w:id="6471"/>
      <w:bookmarkEnd w:id="6472"/>
      <w:bookmarkEnd w:id="6473"/>
      <w:bookmarkEnd w:id="6474"/>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具备本条第（2）款规定的前两项证件，可自行组织完成本合同约定的余泥渣土运输任务。若承包人不具备本条第（2）款第一项证件要求，经发包人同意，承包人应将余泥渣土运输任务分包给符合本条第（2）款条前两项证件要求的专业运输单位。并且，承包人应将余泥渣土运输分包合同及其他相关资料送发包人和监理人审核。此审核并不免除承包人应承担的本合同义务。</w:t>
      </w:r>
    </w:p>
    <w:p>
      <w:pPr>
        <w:snapToGrid w:val="0"/>
        <w:spacing w:line="360" w:lineRule="auto"/>
        <w:ind w:firstLine="420"/>
        <w:jc w:val="left"/>
        <w:rPr>
          <w:rFonts w:ascii="宋体" w:hAnsi="宋体" w:cs="宋体"/>
          <w:color w:val="auto"/>
          <w:szCs w:val="21"/>
        </w:rPr>
      </w:pPr>
      <w:r>
        <w:rPr>
          <w:rFonts w:ascii="宋体" w:hAnsi="宋体" w:cs="宋体"/>
          <w:color w:val="auto"/>
          <w:szCs w:val="21"/>
        </w:rPr>
        <w:t>承包人必须使用“新型泥头车” 进行土石方运输。“新型泥头车”是指符合《全密闭式智能重型自卸车技术规范（SZDB/Z284-2017）》的国V柴油发动机配装DPF、LNG或纯电动的泥头车为新型全密闭式智能泥头车。</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75" w:name="_Toc7422"/>
      <w:bookmarkStart w:id="6476" w:name="_Toc517532289"/>
      <w:bookmarkStart w:id="6477" w:name="_Toc517531013"/>
      <w:bookmarkStart w:id="6478" w:name="_Toc21754"/>
      <w:bookmarkStart w:id="6479" w:name="_Toc18722"/>
      <w:bookmarkStart w:id="6480" w:name="_Toc5440"/>
      <w:bookmarkStart w:id="6481" w:name="_Toc24253"/>
      <w:bookmarkStart w:id="6482" w:name="_Toc30447"/>
      <w:bookmarkStart w:id="6483" w:name="_Toc10737"/>
      <w:bookmarkStart w:id="6484" w:name="_Toc29313"/>
      <w:r>
        <w:rPr>
          <w:rFonts w:ascii="宋体" w:hAnsi="宋体" w:cs="宋体"/>
          <w:b/>
          <w:bCs/>
          <w:color w:val="auto"/>
          <w:sz w:val="24"/>
          <w:szCs w:val="24"/>
        </w:rPr>
        <w:t>（4）承包人违约</w:t>
      </w:r>
      <w:bookmarkEnd w:id="6475"/>
      <w:bookmarkEnd w:id="6476"/>
      <w:bookmarkEnd w:id="6477"/>
      <w:bookmarkEnd w:id="6478"/>
      <w:bookmarkEnd w:id="6479"/>
      <w:bookmarkEnd w:id="6480"/>
      <w:bookmarkEnd w:id="6481"/>
      <w:bookmarkEnd w:id="6482"/>
      <w:bookmarkEnd w:id="6483"/>
      <w:bookmarkEnd w:id="6484"/>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不具备本条第（2）款规定的第一项证件而自行承担余泥渣土运输任务，应承担违约责任。若承包人将余泥渣土运输任务分包给不符合本条第（2）款规定的第一项证件要求的专业运输单位，亦将承担违约责任，向发包人支付</w:t>
      </w:r>
      <w:r>
        <w:rPr>
          <w:rFonts w:ascii="宋体" w:hAnsi="宋体" w:cs="宋体"/>
          <w:color w:val="auto"/>
          <w:szCs w:val="21"/>
          <w:u w:val="single"/>
        </w:rPr>
        <w:t xml:space="preserve"> 5 </w:t>
      </w:r>
      <w:r>
        <w:rPr>
          <w:rFonts w:ascii="宋体" w:hAnsi="宋体" w:cs="宋体"/>
          <w:color w:val="auto"/>
          <w:szCs w:val="21"/>
        </w:rPr>
        <w:t>万元违约金。</w:t>
      </w:r>
    </w:p>
    <w:p>
      <w:pPr>
        <w:snapToGrid w:val="0"/>
        <w:spacing w:line="360" w:lineRule="auto"/>
        <w:ind w:firstLine="420"/>
        <w:jc w:val="left"/>
        <w:rPr>
          <w:rFonts w:ascii="宋体" w:hAnsi="宋体" w:cs="宋体"/>
          <w:color w:val="auto"/>
          <w:szCs w:val="21"/>
        </w:rPr>
      </w:pPr>
      <w:r>
        <w:rPr>
          <w:rFonts w:ascii="宋体" w:hAnsi="宋体" w:cs="宋体"/>
          <w:color w:val="auto"/>
          <w:szCs w:val="21"/>
        </w:rPr>
        <w:t>同时，对上述两种违约行为导致的工期延误和（或）招致费用增加，承包人责任自担。</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85" w:name="_Toc26177"/>
      <w:bookmarkStart w:id="6486" w:name="_Toc27593"/>
      <w:bookmarkStart w:id="6487" w:name="_Toc28294"/>
      <w:bookmarkStart w:id="6488" w:name="_Toc8995"/>
      <w:bookmarkStart w:id="6489" w:name="_Toc517532290"/>
      <w:bookmarkStart w:id="6490" w:name="_Toc517531014"/>
      <w:bookmarkStart w:id="6491" w:name="_Toc26828"/>
      <w:bookmarkStart w:id="6492" w:name="_Toc86"/>
      <w:bookmarkStart w:id="6493" w:name="_Toc4266"/>
      <w:bookmarkStart w:id="6494" w:name="_Toc8293"/>
      <w:r>
        <w:rPr>
          <w:rFonts w:ascii="宋体" w:hAnsi="宋体" w:cs="宋体"/>
          <w:b/>
          <w:bCs/>
          <w:color w:val="auto"/>
          <w:sz w:val="24"/>
          <w:szCs w:val="24"/>
        </w:rPr>
        <w:t>（5）车辆与人员要求</w:t>
      </w:r>
      <w:bookmarkEnd w:id="6485"/>
      <w:bookmarkEnd w:id="6486"/>
      <w:bookmarkEnd w:id="6487"/>
      <w:bookmarkEnd w:id="6488"/>
      <w:bookmarkEnd w:id="6489"/>
      <w:bookmarkEnd w:id="6490"/>
      <w:bookmarkEnd w:id="6491"/>
      <w:bookmarkEnd w:id="6492"/>
      <w:bookmarkEnd w:id="6493"/>
      <w:bookmarkEnd w:id="6494"/>
    </w:p>
    <w:p>
      <w:pPr>
        <w:snapToGrid w:val="0"/>
        <w:spacing w:line="360" w:lineRule="auto"/>
        <w:ind w:firstLine="420"/>
        <w:jc w:val="left"/>
        <w:rPr>
          <w:rFonts w:ascii="宋体" w:hAnsi="宋体" w:cs="宋体"/>
          <w:color w:val="auto"/>
          <w:szCs w:val="21"/>
        </w:rPr>
      </w:pPr>
      <w:r>
        <w:rPr>
          <w:rFonts w:ascii="宋体" w:hAnsi="宋体" w:cs="宋体"/>
          <w:color w:val="auto"/>
          <w:szCs w:val="21"/>
        </w:rPr>
        <w:t>承担本工程余泥渣土运输任务的车辆证件应当符合本条第（2）款规定的证件要求。车辆应为符合《常用重型货车（泥头车）数据信息对照表》外形数据的重型车辆。在承包人具备营运资格时，其安排的余泥渣土运输车辆的专职司机姓名和对应车牌号码，由承包人在实施前报发包人备案。</w:t>
      </w:r>
    </w:p>
    <w:p>
      <w:pPr>
        <w:snapToGrid w:val="0"/>
        <w:spacing w:line="360" w:lineRule="auto"/>
        <w:ind w:firstLine="420"/>
        <w:jc w:val="left"/>
        <w:rPr>
          <w:rFonts w:ascii="宋体" w:hAnsi="宋体" w:cs="宋体"/>
          <w:color w:val="auto"/>
          <w:szCs w:val="21"/>
        </w:rPr>
      </w:pPr>
      <w:r>
        <w:rPr>
          <w:rFonts w:ascii="宋体" w:hAnsi="宋体" w:cs="宋体"/>
          <w:color w:val="auto"/>
          <w:szCs w:val="21"/>
        </w:rPr>
        <w:t>在承包人不具备营运资格时，承包人和车辆运输分包人应在余泥渣土运输分包合同中明确承担合同约定余泥渣土运输任务的余泥渣土运输车辆和专职司机。</w:t>
      </w:r>
    </w:p>
    <w:p>
      <w:pPr>
        <w:snapToGrid w:val="0"/>
        <w:spacing w:line="360" w:lineRule="auto"/>
        <w:ind w:firstLine="420"/>
        <w:jc w:val="left"/>
        <w:rPr>
          <w:rFonts w:ascii="宋体" w:hAnsi="宋体" w:cs="宋体"/>
          <w:color w:val="auto"/>
          <w:szCs w:val="21"/>
        </w:rPr>
      </w:pPr>
      <w:r>
        <w:rPr>
          <w:rFonts w:ascii="宋体" w:hAnsi="宋体" w:cs="宋体"/>
          <w:color w:val="auto"/>
          <w:szCs w:val="21"/>
        </w:rPr>
        <w:t>对上述情形，如需改变已提交的车辆和专职司机名单，承包人或车辆运输分包人应在确定改变前7日将拟改变的名单提交发包人或承包人审核确认。</w:t>
      </w:r>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若承包人违反上述规定，应承担违约责任；承包人向发包人支付</w:t>
      </w:r>
      <w:r>
        <w:rPr>
          <w:rFonts w:ascii="宋体" w:hAnsi="宋体" w:cs="宋体"/>
          <w:color w:val="auto"/>
          <w:szCs w:val="21"/>
          <w:u w:val="single"/>
        </w:rPr>
        <w:t>5000</w:t>
      </w:r>
      <w:r>
        <w:rPr>
          <w:rFonts w:ascii="宋体" w:hAnsi="宋体" w:cs="宋体"/>
          <w:color w:val="auto"/>
          <w:szCs w:val="21"/>
        </w:rPr>
        <w:t>元/车·次的违约金。</w:t>
      </w:r>
    </w:p>
    <w:p>
      <w:pPr>
        <w:snapToGrid w:val="0"/>
        <w:spacing w:line="360" w:lineRule="auto"/>
        <w:ind w:firstLine="420"/>
        <w:jc w:val="left"/>
        <w:rPr>
          <w:rFonts w:ascii="宋体" w:hAnsi="宋体" w:cs="宋体"/>
          <w:color w:val="auto"/>
          <w:szCs w:val="21"/>
        </w:rPr>
      </w:pPr>
      <w:r>
        <w:rPr>
          <w:rFonts w:ascii="宋体" w:hAnsi="宋体" w:cs="宋体"/>
          <w:color w:val="auto"/>
          <w:szCs w:val="21"/>
        </w:rPr>
        <w:t>对于车辆运输分包人违反上述规定，承包人亦应在运输分包合同中约定此违约责任。</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495" w:name="_Toc31748"/>
      <w:bookmarkStart w:id="6496" w:name="_Toc517532291"/>
      <w:bookmarkStart w:id="6497" w:name="_Toc13401"/>
      <w:bookmarkStart w:id="6498" w:name="_Toc517531015"/>
      <w:bookmarkStart w:id="6499" w:name="_Toc17756"/>
      <w:bookmarkStart w:id="6500" w:name="_Toc28722"/>
      <w:bookmarkStart w:id="6501" w:name="_Toc4719"/>
      <w:bookmarkStart w:id="6502" w:name="_Toc9442"/>
      <w:bookmarkStart w:id="6503" w:name="_Toc31305"/>
      <w:bookmarkStart w:id="6504" w:name="_Toc20056"/>
      <w:r>
        <w:rPr>
          <w:rFonts w:ascii="宋体" w:hAnsi="宋体" w:cs="宋体"/>
          <w:b/>
          <w:bCs/>
          <w:color w:val="auto"/>
          <w:sz w:val="24"/>
          <w:szCs w:val="24"/>
        </w:rPr>
        <w:t>（6）专职检查</w:t>
      </w:r>
      <w:bookmarkEnd w:id="6495"/>
      <w:bookmarkEnd w:id="6496"/>
      <w:bookmarkEnd w:id="6497"/>
      <w:bookmarkEnd w:id="6498"/>
      <w:bookmarkEnd w:id="6499"/>
      <w:bookmarkEnd w:id="6500"/>
      <w:bookmarkEnd w:id="6501"/>
      <w:bookmarkEnd w:id="6502"/>
      <w:bookmarkEnd w:id="6503"/>
      <w:bookmarkEnd w:id="6504"/>
    </w:p>
    <w:p>
      <w:pPr>
        <w:snapToGrid w:val="0"/>
        <w:spacing w:line="360" w:lineRule="auto"/>
        <w:ind w:firstLine="420"/>
        <w:jc w:val="left"/>
        <w:rPr>
          <w:rFonts w:ascii="宋体" w:hAnsi="宋体" w:cs="宋体"/>
          <w:color w:val="auto"/>
          <w:szCs w:val="21"/>
        </w:rPr>
      </w:pPr>
      <w:r>
        <w:rPr>
          <w:rFonts w:ascii="宋体" w:hAnsi="宋体" w:cs="宋体"/>
          <w:color w:val="auto"/>
          <w:szCs w:val="21"/>
        </w:rPr>
        <w:t>承包人应安排专职检查人员对余泥渣土运输车辆和专职司机依合同约定的内容进行检查。对违反合同约定的检查结果，承包人应责令相关方限期整改。整改期间，整改所涉余泥渣土运输车辆不得承担本工程约定的运输任务。承包人安排的专职检查人员和检查内容，由承包人在实施前报发包人备案。</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505" w:name="_Toc27162"/>
      <w:bookmarkStart w:id="6506" w:name="_Toc12269"/>
      <w:bookmarkStart w:id="6507" w:name="_Toc30965"/>
      <w:bookmarkStart w:id="6508" w:name="_Toc517532292"/>
      <w:bookmarkStart w:id="6509" w:name="_Toc9340"/>
      <w:bookmarkStart w:id="6510" w:name="_Toc517531016"/>
      <w:bookmarkStart w:id="6511" w:name="_Toc11675"/>
      <w:bookmarkStart w:id="6512" w:name="_Toc29195"/>
      <w:bookmarkStart w:id="6513" w:name="_Toc1477"/>
      <w:bookmarkStart w:id="6514" w:name="_Toc3000"/>
      <w:r>
        <w:rPr>
          <w:rFonts w:ascii="宋体" w:hAnsi="宋体" w:cs="宋体"/>
          <w:b/>
          <w:bCs/>
          <w:color w:val="auto"/>
          <w:sz w:val="24"/>
          <w:szCs w:val="24"/>
        </w:rPr>
        <w:t>（7）安全文明运输</w:t>
      </w:r>
      <w:bookmarkEnd w:id="6505"/>
      <w:bookmarkEnd w:id="6506"/>
      <w:bookmarkEnd w:id="6507"/>
      <w:bookmarkEnd w:id="6508"/>
      <w:bookmarkEnd w:id="6509"/>
      <w:bookmarkEnd w:id="6510"/>
      <w:bookmarkEnd w:id="6511"/>
      <w:bookmarkEnd w:id="6512"/>
      <w:bookmarkEnd w:id="6513"/>
      <w:bookmarkEnd w:id="6514"/>
    </w:p>
    <w:p>
      <w:pPr>
        <w:snapToGrid w:val="0"/>
        <w:spacing w:line="360" w:lineRule="auto"/>
        <w:ind w:firstLine="420"/>
        <w:jc w:val="left"/>
        <w:rPr>
          <w:rFonts w:ascii="宋体" w:hAnsi="宋体" w:cs="宋体"/>
          <w:color w:val="auto"/>
          <w:szCs w:val="21"/>
        </w:rPr>
      </w:pPr>
      <w:r>
        <w:rPr>
          <w:rFonts w:ascii="宋体" w:hAnsi="宋体" w:cs="宋体"/>
          <w:color w:val="auto"/>
          <w:szCs w:val="21"/>
        </w:rPr>
        <w:t>承包人对余泥渣土运输车辆在离开施工现场前核查是否存在超载、车盖密封不严等违反城市道路管理、环境保护等相关规定及安全隐患的问题。如发现上述问题，承包人应指派本合同本条第（6）款指定的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w:t>
      </w:r>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若承包人对本款发现的问题拒不履行合同义务，承包人向发包人支付违约金</w:t>
      </w:r>
      <w:r>
        <w:rPr>
          <w:rFonts w:ascii="宋体" w:hAnsi="宋体" w:cs="宋体"/>
          <w:color w:val="auto"/>
          <w:szCs w:val="21"/>
          <w:u w:val="single"/>
        </w:rPr>
        <w:t xml:space="preserve"> 5 </w:t>
      </w:r>
      <w:r>
        <w:rPr>
          <w:rFonts w:ascii="宋体" w:hAnsi="宋体" w:cs="宋体"/>
          <w:color w:val="auto"/>
          <w:szCs w:val="21"/>
        </w:rPr>
        <w:t>万元。</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515" w:name="_Toc517532293"/>
      <w:bookmarkStart w:id="6516" w:name="_Toc10960"/>
      <w:bookmarkStart w:id="6517" w:name="_Toc3952"/>
      <w:bookmarkStart w:id="6518" w:name="_Toc16168"/>
      <w:bookmarkStart w:id="6519" w:name="_Toc17094"/>
      <w:bookmarkStart w:id="6520" w:name="_Toc517531017"/>
      <w:bookmarkStart w:id="6521" w:name="_Toc24055"/>
      <w:bookmarkStart w:id="6522" w:name="_Toc21686"/>
      <w:bookmarkStart w:id="6523" w:name="_Toc7534"/>
      <w:bookmarkStart w:id="6524" w:name="_Toc28053"/>
      <w:r>
        <w:rPr>
          <w:rFonts w:ascii="宋体" w:hAnsi="宋体" w:cs="宋体"/>
          <w:b/>
          <w:bCs/>
          <w:color w:val="auto"/>
          <w:sz w:val="24"/>
          <w:szCs w:val="24"/>
        </w:rPr>
        <w:t>（8）检查纠正责任</w:t>
      </w:r>
      <w:bookmarkEnd w:id="6515"/>
      <w:bookmarkEnd w:id="6516"/>
      <w:bookmarkEnd w:id="6517"/>
      <w:bookmarkEnd w:id="6518"/>
      <w:bookmarkEnd w:id="6519"/>
      <w:bookmarkEnd w:id="6520"/>
      <w:bookmarkEnd w:id="6521"/>
      <w:bookmarkEnd w:id="6522"/>
      <w:bookmarkEnd w:id="6523"/>
      <w:bookmarkEnd w:id="6524"/>
    </w:p>
    <w:p>
      <w:pPr>
        <w:snapToGrid w:val="0"/>
        <w:spacing w:line="360" w:lineRule="auto"/>
        <w:ind w:firstLine="420"/>
        <w:jc w:val="left"/>
        <w:rPr>
          <w:rFonts w:ascii="宋体" w:hAnsi="宋体" w:cs="宋体"/>
          <w:color w:val="auto"/>
          <w:szCs w:val="21"/>
        </w:rPr>
      </w:pPr>
      <w:r>
        <w:rPr>
          <w:rFonts w:ascii="宋体" w:hAnsi="宋体" w:cs="宋体"/>
          <w:color w:val="auto"/>
          <w:szCs w:val="21"/>
        </w:rPr>
        <w:t>承包人应对本条第（6）款和第（7）款约定的检查纠正工作制定专项工作程序，并监督和督促专职检查人员认真履行合同约定的职责。此项监督和督促并不免除承包人应承担的本合同义务。</w:t>
      </w:r>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若承包人指定的专职检查人员违反合同约定的检查纠正职责，承包人向发包人支付违约金</w:t>
      </w:r>
      <w:r>
        <w:rPr>
          <w:rFonts w:ascii="宋体" w:hAnsi="宋体" w:cs="宋体"/>
          <w:color w:val="auto"/>
          <w:szCs w:val="21"/>
          <w:u w:val="single"/>
        </w:rPr>
        <w:t xml:space="preserve"> 5 </w:t>
      </w:r>
      <w:r>
        <w:rPr>
          <w:rFonts w:ascii="宋体" w:hAnsi="宋体" w:cs="宋体"/>
          <w:color w:val="auto"/>
          <w:szCs w:val="21"/>
        </w:rPr>
        <w:t>万元。</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525" w:name="_Toc30821"/>
      <w:bookmarkStart w:id="6526" w:name="_Toc7805"/>
      <w:bookmarkStart w:id="6527" w:name="_Toc11043"/>
      <w:bookmarkStart w:id="6528" w:name="_Toc517531018"/>
      <w:bookmarkStart w:id="6529" w:name="_Toc21421"/>
      <w:bookmarkStart w:id="6530" w:name="_Toc517532294"/>
      <w:bookmarkStart w:id="6531" w:name="_Toc2955"/>
      <w:bookmarkStart w:id="6532" w:name="_Toc10103"/>
      <w:bookmarkStart w:id="6533" w:name="_Toc464"/>
      <w:bookmarkStart w:id="6534" w:name="_Toc27754"/>
      <w:r>
        <w:rPr>
          <w:rFonts w:ascii="宋体" w:hAnsi="宋体" w:cs="宋体"/>
          <w:b/>
          <w:bCs/>
          <w:color w:val="auto"/>
          <w:sz w:val="24"/>
          <w:szCs w:val="24"/>
        </w:rPr>
        <w:t>（9）车辆保险</w:t>
      </w:r>
      <w:bookmarkEnd w:id="6525"/>
      <w:bookmarkEnd w:id="6526"/>
      <w:bookmarkEnd w:id="6527"/>
      <w:bookmarkEnd w:id="6528"/>
      <w:bookmarkEnd w:id="6529"/>
      <w:bookmarkEnd w:id="6530"/>
      <w:bookmarkEnd w:id="6531"/>
      <w:bookmarkEnd w:id="6532"/>
      <w:bookmarkEnd w:id="6533"/>
      <w:bookmarkEnd w:id="6534"/>
    </w:p>
    <w:p>
      <w:pPr>
        <w:snapToGrid w:val="0"/>
        <w:spacing w:line="360" w:lineRule="auto"/>
        <w:ind w:firstLine="420"/>
        <w:jc w:val="left"/>
        <w:rPr>
          <w:rFonts w:ascii="宋体" w:hAnsi="宋体" w:cs="宋体"/>
          <w:color w:val="auto"/>
          <w:szCs w:val="21"/>
        </w:rPr>
      </w:pPr>
      <w:r>
        <w:rPr>
          <w:rFonts w:ascii="宋体" w:hAnsi="宋体" w:cs="宋体"/>
          <w:color w:val="auto"/>
          <w:szCs w:val="21"/>
        </w:rPr>
        <w:t>第6.3.3条所述的承担工程余泥渣土运输任务的车辆应当向有关保险公司投保，并取得车辆保险单。如因未投保的余泥渣土运输车辆造成第三人财产损失和（或）人身伤亡，余泥渣土运输车辆所属专业运输单位应承担连带责任。</w:t>
      </w:r>
    </w:p>
    <w:p>
      <w:pPr>
        <w:snapToGrid w:val="0"/>
        <w:spacing w:line="360" w:lineRule="auto"/>
        <w:ind w:firstLine="420"/>
        <w:jc w:val="left"/>
        <w:rPr>
          <w:rFonts w:ascii="宋体" w:hAnsi="宋体" w:cs="宋体"/>
          <w:color w:val="auto"/>
          <w:szCs w:val="21"/>
        </w:rPr>
      </w:pPr>
      <w:r>
        <w:rPr>
          <w:rFonts w:ascii="宋体" w:hAnsi="宋体" w:cs="宋体"/>
          <w:color w:val="auto"/>
          <w:szCs w:val="21"/>
        </w:rPr>
        <w:t>基于本条第（3）款的约定，承包人和车辆运输分包人应在余泥渣土运输分包合同中明确本条所述的连带责任。</w:t>
      </w:r>
    </w:p>
    <w:p>
      <w:pPr>
        <w:keepNext/>
        <w:keepLines/>
        <w:numPr>
          <w:ilvl w:val="0"/>
          <w:numId w:val="0"/>
        </w:numPr>
        <w:spacing w:before="156" w:after="156" w:line="360" w:lineRule="auto"/>
        <w:ind w:firstLine="728"/>
        <w:outlineLvl w:val="4"/>
        <w:rPr>
          <w:rFonts w:ascii="宋体" w:hAnsi="宋体" w:cs="宋体"/>
          <w:b/>
          <w:bCs/>
          <w:color w:val="auto"/>
          <w:sz w:val="24"/>
          <w:szCs w:val="24"/>
        </w:rPr>
      </w:pPr>
      <w:bookmarkStart w:id="6535" w:name="_Toc9493"/>
      <w:bookmarkStart w:id="6536" w:name="_Toc517532295"/>
      <w:bookmarkStart w:id="6537" w:name="_Toc20878"/>
      <w:bookmarkStart w:id="6538" w:name="_Toc13370"/>
      <w:bookmarkStart w:id="6539" w:name="_Toc14109"/>
      <w:bookmarkStart w:id="6540" w:name="_Toc31152"/>
      <w:bookmarkStart w:id="6541" w:name="_Toc25396"/>
      <w:bookmarkStart w:id="6542" w:name="_Toc6661"/>
      <w:bookmarkStart w:id="6543" w:name="_Toc2118"/>
      <w:bookmarkStart w:id="6544" w:name="_Toc517531019"/>
      <w:r>
        <w:rPr>
          <w:rFonts w:ascii="宋体" w:hAnsi="宋体" w:cs="宋体"/>
          <w:b/>
          <w:bCs/>
          <w:color w:val="auto"/>
          <w:sz w:val="24"/>
          <w:szCs w:val="24"/>
        </w:rPr>
        <w:t>（10）进一步处罚措施</w:t>
      </w:r>
      <w:bookmarkEnd w:id="6535"/>
      <w:bookmarkEnd w:id="6536"/>
      <w:bookmarkEnd w:id="6537"/>
      <w:bookmarkEnd w:id="6538"/>
      <w:bookmarkEnd w:id="6539"/>
      <w:bookmarkEnd w:id="6540"/>
      <w:bookmarkEnd w:id="6541"/>
      <w:bookmarkEnd w:id="6542"/>
      <w:bookmarkEnd w:id="6543"/>
      <w:bookmarkEnd w:id="6544"/>
    </w:p>
    <w:p>
      <w:pPr>
        <w:snapToGrid w:val="0"/>
        <w:spacing w:line="360" w:lineRule="auto"/>
        <w:ind w:firstLine="420"/>
        <w:jc w:val="left"/>
        <w:rPr>
          <w:rFonts w:ascii="宋体" w:hAnsi="宋体" w:cs="宋体"/>
          <w:color w:val="auto"/>
          <w:szCs w:val="21"/>
        </w:rPr>
      </w:pPr>
      <w:r>
        <w:rPr>
          <w:rFonts w:ascii="宋体" w:hAnsi="宋体" w:cs="宋体"/>
          <w:color w:val="auto"/>
          <w:szCs w:val="21"/>
        </w:rPr>
        <w:t>若承包人因违反上述泥头车雇用及运输管理规定给发包人造成损失，除按照上述规定支付违约金外还应向发包人赔偿包括但不限于损害赔偿金、违约金、诉讼费、仲裁费、律师费等损失，情形严重的，除上述处罚外，发包人有权解除本工程施工合同，并拒绝其在发包人负责建设的项目中投标。</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545" w:name="_Toc517531020"/>
      <w:bookmarkStart w:id="6546" w:name="_Toc31879"/>
      <w:bookmarkStart w:id="6547" w:name="_Toc465237151"/>
      <w:bookmarkStart w:id="6548" w:name="_Toc465237253"/>
      <w:bookmarkStart w:id="6549" w:name="_Toc517529762"/>
      <w:bookmarkStart w:id="6550" w:name="_Toc13213"/>
      <w:bookmarkStart w:id="6551" w:name="_Toc4099"/>
      <w:bookmarkStart w:id="6552" w:name="_Toc6401"/>
      <w:bookmarkStart w:id="6553" w:name="_Toc517532296"/>
      <w:bookmarkStart w:id="6554" w:name="_Toc16163"/>
      <w:bookmarkStart w:id="6555" w:name="_Toc18019"/>
      <w:bookmarkStart w:id="6556" w:name="_Toc6255"/>
      <w:bookmarkStart w:id="6557" w:name="_Toc9602"/>
      <w:bookmarkStart w:id="6558" w:name="_Toc29006"/>
      <w:bookmarkStart w:id="6559" w:name="_Toc10482"/>
      <w:bookmarkStart w:id="6560" w:name="_Toc517528792"/>
      <w:bookmarkStart w:id="6561" w:name="_Toc25389"/>
      <w:bookmarkStart w:id="6562" w:name="_Toc25535"/>
      <w:bookmarkStart w:id="6563" w:name="_Toc22470"/>
      <w:bookmarkStart w:id="6564" w:name="_Toc15238"/>
      <w:bookmarkStart w:id="6565" w:name="_Toc22709"/>
      <w:bookmarkStart w:id="6566" w:name="_Toc3556"/>
      <w:bookmarkStart w:id="6567" w:name="_Toc28657"/>
      <w:bookmarkStart w:id="6568" w:name="_Toc351203639"/>
      <w:bookmarkStart w:id="6569" w:name="_Toc25223"/>
      <w:r>
        <w:rPr>
          <w:rFonts w:ascii="宋体" w:hAnsi="宋体" w:cs="宋体"/>
          <w:b/>
          <w:bCs/>
          <w:color w:val="auto"/>
          <w:sz w:val="30"/>
          <w:szCs w:val="30"/>
        </w:rPr>
        <w:t>7. 工期和进度</w:t>
      </w:r>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570" w:name="_Toc30073"/>
      <w:bookmarkStart w:id="6571" w:name="_Toc4664"/>
      <w:bookmarkStart w:id="6572" w:name="_Toc26563"/>
      <w:bookmarkStart w:id="6573" w:name="_Toc1510"/>
      <w:bookmarkStart w:id="6574" w:name="_Toc517532297"/>
      <w:bookmarkStart w:id="6575" w:name="_Toc517531021"/>
      <w:bookmarkStart w:id="6576" w:name="_Toc1065"/>
      <w:bookmarkStart w:id="6577" w:name="_Toc8243"/>
      <w:bookmarkStart w:id="6578" w:name="_Toc10757"/>
      <w:bookmarkStart w:id="6579" w:name="_Toc22223"/>
      <w:bookmarkStart w:id="6580" w:name="_Toc465237254"/>
      <w:bookmarkStart w:id="6581" w:name="_Toc15407"/>
      <w:bookmarkStart w:id="6582" w:name="_Toc4814"/>
      <w:bookmarkStart w:id="6583" w:name="_Toc11285"/>
      <w:bookmarkStart w:id="6584" w:name="_Toc20257"/>
      <w:bookmarkStart w:id="6585" w:name="_Toc17822"/>
      <w:bookmarkStart w:id="6586" w:name="_Toc9649"/>
      <w:bookmarkStart w:id="6587" w:name="_Toc14627"/>
      <w:bookmarkStart w:id="6588" w:name="_Toc465237152"/>
      <w:bookmarkStart w:id="6589" w:name="_Toc29162"/>
      <w:bookmarkStart w:id="6590" w:name="_Toc517528793"/>
      <w:bookmarkStart w:id="6591" w:name="_Toc13740"/>
      <w:bookmarkStart w:id="6592" w:name="_Toc15074"/>
      <w:r>
        <w:rPr>
          <w:rFonts w:ascii="宋体" w:hAnsi="宋体" w:cs="宋体"/>
          <w:b/>
          <w:bCs/>
          <w:color w:val="auto"/>
          <w:sz w:val="28"/>
          <w:szCs w:val="28"/>
        </w:rPr>
        <w:t>7.6工期延误</w:t>
      </w:r>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p>
    <w:p>
      <w:pPr>
        <w:keepNext/>
        <w:keepLines/>
        <w:numPr>
          <w:ilvl w:val="0"/>
          <w:numId w:val="0"/>
        </w:numPr>
        <w:spacing w:before="156" w:after="156" w:line="360" w:lineRule="auto"/>
        <w:outlineLvl w:val="3"/>
        <w:rPr>
          <w:rFonts w:ascii="宋体" w:hAnsi="宋体" w:cs="宋体"/>
          <w:b/>
          <w:bCs/>
          <w:color w:val="auto"/>
          <w:sz w:val="24"/>
          <w:szCs w:val="24"/>
        </w:rPr>
      </w:pPr>
      <w:bookmarkStart w:id="6593" w:name="_Toc6876"/>
      <w:bookmarkStart w:id="6594" w:name="_Toc32764"/>
      <w:bookmarkStart w:id="6595" w:name="_Toc4896"/>
      <w:bookmarkStart w:id="6596" w:name="_Toc11561"/>
      <w:bookmarkStart w:id="6597" w:name="_Toc31129"/>
      <w:bookmarkStart w:id="6598" w:name="_Toc9697"/>
      <w:bookmarkStart w:id="6599" w:name="_Toc26773"/>
      <w:bookmarkStart w:id="6600" w:name="_Toc1992"/>
      <w:bookmarkStart w:id="6601" w:name="_Toc15289"/>
      <w:bookmarkStart w:id="6602" w:name="_Toc517532298"/>
      <w:bookmarkStart w:id="6603" w:name="_Toc15862"/>
      <w:bookmarkStart w:id="6604" w:name="_Toc25969"/>
      <w:bookmarkStart w:id="6605" w:name="_Toc31200"/>
      <w:bookmarkStart w:id="6606" w:name="_Toc25956"/>
      <w:bookmarkStart w:id="6607" w:name="_Toc517531022"/>
      <w:bookmarkStart w:id="6608" w:name="_Toc29226"/>
      <w:bookmarkStart w:id="6609" w:name="_Toc21026"/>
      <w:bookmarkStart w:id="6610" w:name="_Toc8681"/>
      <w:bookmarkStart w:id="6611" w:name="_Toc24287"/>
      <w:bookmarkStart w:id="6612" w:name="_Toc23508"/>
      <w:r>
        <w:rPr>
          <w:color w:val="auto"/>
        </w:rPr>
        <w:object>
          <v:shape id="_x0000_i1127" o:spt="201" type="#_x0000_t201" style="height:17.9pt;width:12.5pt;" o:ole="t" filled="f" o:preferrelative="t" stroked="f" coordsize="21600,21600">
            <v:path/>
            <v:fill on="f" focussize="0,0"/>
            <v:stroke on="f" joinstyle="miter"/>
            <v:imagedata o:title=""/>
            <o:lock v:ext="edit"/>
            <w10:wrap type="none"/>
            <w10:anchorlock/>
          </v:shape>
          <w:control r:id="rId199" w:name="CheckBox1303" w:shapeid="_x0000_i1127"/>
        </w:object>
      </w:r>
      <w:r>
        <w:rPr>
          <w:rFonts w:ascii="宋体" w:hAnsi="宋体" w:cs="宋体"/>
          <w:b/>
          <w:bCs/>
          <w:color w:val="auto"/>
          <w:sz w:val="24"/>
          <w:szCs w:val="24"/>
        </w:rPr>
        <w:t>7.6.1</w:t>
      </w:r>
      <w:bookmarkEnd w:id="6593"/>
      <w:bookmarkEnd w:id="6594"/>
      <w:bookmarkEnd w:id="6595"/>
      <w:bookmarkEnd w:id="6596"/>
      <w:bookmarkEnd w:id="6597"/>
      <w:bookmarkEnd w:id="6598"/>
      <w:bookmarkEnd w:id="6599"/>
      <w:bookmarkEnd w:id="6600"/>
      <w:bookmarkEnd w:id="6601"/>
      <w:r>
        <w:rPr>
          <w:rFonts w:ascii="宋体" w:hAnsi="宋体" w:cs="宋体"/>
          <w:b/>
          <w:bCs/>
          <w:color w:val="auto"/>
          <w:sz w:val="24"/>
          <w:szCs w:val="24"/>
        </w:rPr>
        <w:t>工期的延长</w:t>
      </w:r>
      <w:bookmarkEnd w:id="6602"/>
      <w:bookmarkEnd w:id="6603"/>
      <w:bookmarkEnd w:id="6604"/>
      <w:bookmarkEnd w:id="6605"/>
      <w:bookmarkEnd w:id="6606"/>
      <w:bookmarkEnd w:id="6607"/>
      <w:bookmarkEnd w:id="6608"/>
      <w:bookmarkEnd w:id="6609"/>
      <w:bookmarkEnd w:id="6610"/>
      <w:bookmarkEnd w:id="6611"/>
      <w:bookmarkEnd w:id="6612"/>
    </w:p>
    <w:p>
      <w:pPr>
        <w:snapToGrid w:val="0"/>
        <w:spacing w:line="360" w:lineRule="auto"/>
        <w:ind w:firstLine="420"/>
        <w:jc w:val="left"/>
        <w:rPr>
          <w:rFonts w:ascii="宋体" w:hAnsi="宋体" w:cs="宋体"/>
          <w:bCs/>
          <w:color w:val="auto"/>
          <w:szCs w:val="21"/>
        </w:rPr>
      </w:pPr>
      <w:r>
        <w:rPr>
          <w:rFonts w:ascii="宋体" w:hAnsi="宋体" w:cs="宋体"/>
          <w:bCs/>
          <w:color w:val="auto"/>
          <w:szCs w:val="21"/>
        </w:rPr>
        <w:t>承包人在基础开挖中，发现实际地质情况与有关地质报告严重不符造成施工难度增加的，承包人可提出延长工期的申请，经监理人、发包人批准同意后可延长工期。</w:t>
      </w:r>
    </w:p>
    <w:p>
      <w:pPr>
        <w:spacing w:line="360" w:lineRule="auto"/>
        <w:ind w:firstLine="420"/>
        <w:jc w:val="left"/>
        <w:rPr>
          <w:rFonts w:ascii="宋体" w:hAnsi="宋体" w:eastAsia="宋体" w:cs="华文仿宋"/>
          <w:color w:val="auto"/>
          <w:szCs w:val="21"/>
          <w:highlight w:val="green"/>
          <w:u w:val="single"/>
        </w:rPr>
      </w:pPr>
      <w:r>
        <w:rPr>
          <w:rFonts w:ascii="宋体" w:hAnsi="宋体" w:cs="宋体"/>
          <w:bCs/>
          <w:color w:val="auto"/>
          <w:szCs w:val="21"/>
        </w:rPr>
        <w:t>合同双方关于工期延长的约定：</w:t>
      </w:r>
      <w:r>
        <w:rPr>
          <w:rFonts w:ascii="宋体" w:hAnsi="宋体" w:cs="宋体"/>
          <w:bCs/>
          <w:color w:val="auto"/>
          <w:szCs w:val="21"/>
          <w:u w:val="single"/>
        </w:rPr>
        <w:t xml:space="preserve"> </w:t>
      </w:r>
      <w:r>
        <w:rPr>
          <w:rFonts w:ascii="宋体" w:hAnsi="宋体" w:cs="宋体"/>
          <w:bCs/>
          <w:color w:val="auto"/>
          <w:szCs w:val="21"/>
          <w:highlight w:val="green"/>
          <w:u w:val="single"/>
        </w:rPr>
        <w:t xml:space="preserve"> </w:t>
      </w:r>
      <w:r>
        <w:rPr>
          <w:rFonts w:ascii="宋体" w:hAnsi="宋体" w:cs="华文仿宋"/>
          <w:color w:val="auto"/>
          <w:szCs w:val="21"/>
          <w:highlight w:val="green"/>
          <w:u w:val="single"/>
        </w:rPr>
        <w:t>如果出现下列情形，则承包人有权延长本合同工程或其区段或单项工程的工期，监理人在与承包人适当协商并报经发包人批准后应确定延长工期的天数，并通知承包人，抄送发包人：</w:t>
      </w:r>
    </w:p>
    <w:p>
      <w:pPr>
        <w:spacing w:line="360" w:lineRule="auto"/>
        <w:ind w:firstLine="420"/>
        <w:jc w:val="left"/>
        <w:rPr>
          <w:rFonts w:ascii="宋体" w:hAnsi="宋体" w:eastAsia="宋体" w:cs="华文仿宋"/>
          <w:color w:val="auto"/>
          <w:szCs w:val="21"/>
          <w:highlight w:val="green"/>
          <w:u w:val="single"/>
        </w:rPr>
      </w:pPr>
      <w:r>
        <w:rPr>
          <w:rFonts w:ascii="宋体" w:hAnsi="宋体" w:eastAsia="宋体" w:cs="华文仿宋"/>
          <w:color w:val="auto"/>
          <w:szCs w:val="21"/>
          <w:highlight w:val="green"/>
          <w:u w:val="single"/>
        </w:rPr>
        <w:t>(a)</w:t>
      </w:r>
      <w:r>
        <w:rPr>
          <w:rFonts w:ascii="宋体" w:hAnsi="宋体" w:cs="华文仿宋"/>
          <w:color w:val="auto"/>
          <w:szCs w:val="21"/>
          <w:highlight w:val="green"/>
          <w:u w:val="single"/>
        </w:rPr>
        <w:t>额外或附加的工作量；</w:t>
      </w:r>
    </w:p>
    <w:p>
      <w:pPr>
        <w:spacing w:line="360" w:lineRule="auto"/>
        <w:ind w:firstLine="420"/>
        <w:jc w:val="left"/>
        <w:rPr>
          <w:rFonts w:ascii="宋体" w:hAnsi="宋体" w:eastAsia="宋体" w:cs="华文仿宋"/>
          <w:color w:val="auto"/>
          <w:szCs w:val="21"/>
          <w:highlight w:val="green"/>
          <w:u w:val="single"/>
        </w:rPr>
      </w:pPr>
      <w:r>
        <w:rPr>
          <w:rFonts w:ascii="宋体" w:hAnsi="宋体" w:eastAsia="宋体" w:cs="华文仿宋"/>
          <w:color w:val="auto"/>
          <w:szCs w:val="21"/>
          <w:highlight w:val="green"/>
          <w:u w:val="single"/>
        </w:rPr>
        <w:t>(b)</w:t>
      </w:r>
      <w:r>
        <w:rPr>
          <w:rFonts w:ascii="宋体" w:hAnsi="宋体" w:cs="华文仿宋"/>
          <w:color w:val="auto"/>
          <w:szCs w:val="21"/>
          <w:highlight w:val="green"/>
          <w:u w:val="single"/>
        </w:rPr>
        <w:t>本合同条款所指的延误原因；</w:t>
      </w:r>
    </w:p>
    <w:p>
      <w:pPr>
        <w:spacing w:line="360" w:lineRule="auto"/>
        <w:ind w:firstLine="420"/>
        <w:jc w:val="left"/>
        <w:rPr>
          <w:rFonts w:ascii="宋体" w:hAnsi="宋体" w:eastAsia="宋体" w:cs="华文仿宋"/>
          <w:color w:val="auto"/>
          <w:szCs w:val="21"/>
          <w:highlight w:val="green"/>
          <w:u w:val="single"/>
        </w:rPr>
      </w:pPr>
      <w:r>
        <w:rPr>
          <w:rFonts w:ascii="宋体" w:hAnsi="宋体" w:eastAsia="宋体" w:cs="华文仿宋"/>
          <w:color w:val="auto"/>
          <w:szCs w:val="21"/>
          <w:highlight w:val="green"/>
          <w:u w:val="single"/>
        </w:rPr>
        <w:t>(c)8.2.6</w:t>
      </w:r>
      <w:r>
        <w:rPr>
          <w:rFonts w:ascii="宋体" w:hAnsi="宋体" w:cs="华文仿宋"/>
          <w:color w:val="auto"/>
          <w:szCs w:val="21"/>
          <w:highlight w:val="green"/>
          <w:u w:val="single"/>
        </w:rPr>
        <w:t>（</w:t>
      </w:r>
      <w:r>
        <w:rPr>
          <w:rFonts w:ascii="宋体" w:hAnsi="宋体" w:eastAsia="宋体" w:cs="华文仿宋"/>
          <w:color w:val="auto"/>
          <w:szCs w:val="21"/>
          <w:highlight w:val="green"/>
          <w:u w:val="single"/>
        </w:rPr>
        <w:t>g</w:t>
      </w:r>
      <w:r>
        <w:rPr>
          <w:rFonts w:ascii="宋体" w:hAnsi="宋体" w:cs="华文仿宋"/>
          <w:color w:val="auto"/>
          <w:szCs w:val="21"/>
          <w:highlight w:val="green"/>
          <w:u w:val="single"/>
        </w:rPr>
        <w:t>）款指明的自然灾害；</w:t>
      </w:r>
    </w:p>
    <w:p>
      <w:pPr>
        <w:spacing w:line="360" w:lineRule="auto"/>
        <w:ind w:firstLine="420"/>
        <w:jc w:val="left"/>
        <w:rPr>
          <w:rFonts w:ascii="宋体" w:hAnsi="宋体" w:eastAsia="宋体" w:cs="华文仿宋"/>
          <w:color w:val="auto"/>
          <w:szCs w:val="21"/>
          <w:highlight w:val="green"/>
          <w:u w:val="single"/>
        </w:rPr>
      </w:pPr>
      <w:r>
        <w:rPr>
          <w:rFonts w:ascii="宋体" w:hAnsi="宋体" w:eastAsia="宋体" w:cs="华文仿宋"/>
          <w:color w:val="auto"/>
          <w:szCs w:val="21"/>
          <w:highlight w:val="green"/>
          <w:u w:val="single"/>
        </w:rPr>
        <w:t>(d)</w:t>
      </w:r>
      <w:r>
        <w:rPr>
          <w:rFonts w:ascii="宋体" w:hAnsi="宋体" w:cs="华文仿宋"/>
          <w:color w:val="auto"/>
          <w:szCs w:val="21"/>
          <w:highlight w:val="green"/>
          <w:u w:val="single"/>
        </w:rPr>
        <w:t>发包人的任何延误、妨碍或阻止；</w:t>
      </w:r>
    </w:p>
    <w:p>
      <w:pPr>
        <w:spacing w:line="360" w:lineRule="auto"/>
        <w:ind w:firstLine="420"/>
        <w:jc w:val="left"/>
        <w:rPr>
          <w:rFonts w:ascii="宋体" w:hAnsi="宋体" w:cs="宋体"/>
          <w:bCs/>
          <w:color w:val="auto"/>
          <w:szCs w:val="21"/>
          <w:highlight w:val="green"/>
          <w:u w:val="single"/>
        </w:rPr>
      </w:pPr>
      <w:r>
        <w:rPr>
          <w:rFonts w:ascii="宋体" w:hAnsi="宋体" w:eastAsia="宋体" w:cs="华文仿宋"/>
          <w:color w:val="auto"/>
          <w:szCs w:val="21"/>
          <w:highlight w:val="green"/>
          <w:u w:val="single"/>
        </w:rPr>
        <w:t>(e)</w:t>
      </w:r>
      <w:r>
        <w:rPr>
          <w:rFonts w:ascii="宋体" w:hAnsi="宋体" w:cs="华文仿宋"/>
          <w:color w:val="auto"/>
          <w:szCs w:val="21"/>
          <w:highlight w:val="green"/>
          <w:u w:val="single"/>
        </w:rPr>
        <w:t>可能发生的其他特殊情况，而不是由于承包人的失误或承包人应负责的违约，如：一周内非承包人原因停水、停电造成停工累计超过</w:t>
      </w:r>
      <w:r>
        <w:rPr>
          <w:rFonts w:ascii="宋体" w:hAnsi="宋体" w:eastAsia="宋体" w:cs="华文仿宋"/>
          <w:color w:val="auto"/>
          <w:szCs w:val="21"/>
          <w:highlight w:val="green"/>
          <w:u w:val="single"/>
        </w:rPr>
        <w:t>8</w:t>
      </w:r>
      <w:r>
        <w:rPr>
          <w:rFonts w:ascii="宋体" w:hAnsi="宋体" w:cs="华文仿宋"/>
          <w:color w:val="auto"/>
          <w:szCs w:val="21"/>
          <w:highlight w:val="green"/>
          <w:u w:val="single"/>
        </w:rPr>
        <w:t>小时。</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613" w:name="_Toc20790"/>
      <w:bookmarkStart w:id="6614" w:name="_Toc6864"/>
      <w:bookmarkStart w:id="6615" w:name="_Toc32072"/>
      <w:bookmarkStart w:id="6616" w:name="_Toc7637"/>
      <w:bookmarkStart w:id="6617" w:name="_Toc25349"/>
      <w:bookmarkStart w:id="6618" w:name="_Toc465237255"/>
      <w:bookmarkStart w:id="6619" w:name="_Toc14273"/>
      <w:bookmarkStart w:id="6620" w:name="_Toc17003"/>
      <w:bookmarkStart w:id="6621" w:name="_Toc517528794"/>
      <w:bookmarkStart w:id="6622" w:name="_Toc22104"/>
      <w:bookmarkStart w:id="6623" w:name="_Toc351203640"/>
      <w:bookmarkStart w:id="6624" w:name="_Toc517531023"/>
      <w:bookmarkStart w:id="6625" w:name="_Toc31547"/>
      <w:bookmarkStart w:id="6626" w:name="_Toc517529763"/>
      <w:bookmarkStart w:id="6627" w:name="_Toc24909"/>
      <w:bookmarkStart w:id="6628" w:name="_Toc7133"/>
      <w:bookmarkStart w:id="6629" w:name="_Toc517532299"/>
      <w:bookmarkStart w:id="6630" w:name="_Toc9316"/>
      <w:bookmarkStart w:id="6631" w:name="_Toc12759"/>
      <w:bookmarkStart w:id="6632" w:name="_Toc94"/>
      <w:bookmarkStart w:id="6633" w:name="_Toc845"/>
      <w:bookmarkStart w:id="6634" w:name="_Toc465237153"/>
      <w:bookmarkStart w:id="6635" w:name="_Toc24871"/>
      <w:bookmarkStart w:id="6636" w:name="_Toc28415"/>
      <w:bookmarkStart w:id="6637" w:name="_Toc24631"/>
      <w:r>
        <w:rPr>
          <w:rFonts w:ascii="宋体" w:hAnsi="宋体" w:cs="宋体"/>
          <w:b/>
          <w:bCs/>
          <w:color w:val="auto"/>
          <w:sz w:val="30"/>
          <w:szCs w:val="30"/>
        </w:rPr>
        <w:t>8. 材料与设备</w:t>
      </w:r>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638" w:name="_Toc27962"/>
      <w:bookmarkStart w:id="6639" w:name="_Toc26696"/>
      <w:bookmarkStart w:id="6640" w:name="_Toc465237154"/>
      <w:bookmarkStart w:id="6641" w:name="_Toc19623"/>
      <w:bookmarkStart w:id="6642" w:name="_Toc949"/>
      <w:bookmarkStart w:id="6643" w:name="_Toc28894"/>
      <w:bookmarkStart w:id="6644" w:name="_Toc25408"/>
      <w:bookmarkStart w:id="6645" w:name="_Toc19875"/>
      <w:bookmarkStart w:id="6646" w:name="_Toc13257"/>
      <w:bookmarkStart w:id="6647" w:name="_Toc18673"/>
      <w:bookmarkStart w:id="6648" w:name="_Toc465237256"/>
      <w:bookmarkStart w:id="6649" w:name="_Toc13073"/>
      <w:bookmarkStart w:id="6650" w:name="_Toc517532300"/>
      <w:bookmarkStart w:id="6651" w:name="_Toc28806"/>
      <w:bookmarkStart w:id="6652" w:name="_Toc517531024"/>
      <w:bookmarkStart w:id="6653" w:name="_Toc517528795"/>
      <w:bookmarkStart w:id="6654" w:name="_Toc16518"/>
      <w:bookmarkStart w:id="6655" w:name="_Toc24015"/>
      <w:bookmarkStart w:id="6656" w:name="_Toc17711"/>
      <w:bookmarkStart w:id="6657" w:name="_Toc4766"/>
      <w:bookmarkStart w:id="6658" w:name="_Toc1242"/>
      <w:bookmarkStart w:id="6659" w:name="_Toc15872"/>
      <w:bookmarkStart w:id="6660" w:name="_Toc8122"/>
      <w:r>
        <w:rPr>
          <w:rFonts w:ascii="宋体" w:hAnsi="宋体" w:cs="宋体"/>
          <w:b/>
          <w:bCs/>
          <w:color w:val="auto"/>
          <w:sz w:val="28"/>
          <w:szCs w:val="28"/>
        </w:rPr>
        <w:t>8.1承包人采购或提供材料与工程设备</w:t>
      </w:r>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p>
    <w:p>
      <w:pPr>
        <w:keepNext/>
        <w:keepLines/>
        <w:numPr>
          <w:ilvl w:val="0"/>
          <w:numId w:val="0"/>
        </w:numPr>
        <w:spacing w:before="156" w:after="156" w:line="360" w:lineRule="auto"/>
        <w:outlineLvl w:val="3"/>
        <w:rPr>
          <w:rFonts w:ascii="宋体" w:hAnsi="宋体" w:cs="宋体"/>
          <w:b/>
          <w:bCs/>
          <w:color w:val="auto"/>
          <w:sz w:val="24"/>
          <w:szCs w:val="24"/>
        </w:rPr>
      </w:pPr>
      <w:bookmarkStart w:id="6661" w:name="_Toc10628"/>
      <w:bookmarkStart w:id="6662" w:name="_Toc10631"/>
      <w:bookmarkStart w:id="6663" w:name="_Toc5163"/>
      <w:bookmarkStart w:id="6664" w:name="_Toc19727"/>
      <w:bookmarkStart w:id="6665" w:name="_Toc23347"/>
      <w:bookmarkStart w:id="6666" w:name="_Toc1039"/>
      <w:bookmarkStart w:id="6667" w:name="_Toc4382"/>
      <w:bookmarkStart w:id="6668" w:name="_Toc23138"/>
      <w:bookmarkStart w:id="6669" w:name="_Toc17733"/>
      <w:bookmarkStart w:id="6670" w:name="_Toc10120"/>
      <w:bookmarkStart w:id="6671" w:name="_Toc2073"/>
      <w:bookmarkStart w:id="6672" w:name="_Toc21411"/>
      <w:bookmarkStart w:id="6673" w:name="_Toc27724"/>
      <w:bookmarkStart w:id="6674" w:name="_Toc3856"/>
      <w:bookmarkStart w:id="6675" w:name="_Toc9755"/>
      <w:bookmarkStart w:id="6676" w:name="_Toc517532301"/>
      <w:bookmarkStart w:id="6677" w:name="_Toc4790"/>
      <w:bookmarkStart w:id="6678" w:name="_Toc15988"/>
      <w:bookmarkStart w:id="6679" w:name="_Toc21631"/>
      <w:bookmarkStart w:id="6680" w:name="_Toc517531025"/>
      <w:r>
        <w:rPr>
          <w:color w:val="auto"/>
        </w:rPr>
        <w:object>
          <v:shape id="_x0000_i1128" o:spt="201" type="#_x0000_t201" style="height:17.9pt;width:12.5pt;" o:ole="t" filled="f" o:preferrelative="t" stroked="f" coordsize="21600,21600">
            <v:path/>
            <v:fill on="f" focussize="0,0"/>
            <v:stroke on="f" joinstyle="miter"/>
            <v:imagedata o:title=""/>
            <o:lock v:ext="edit"/>
            <w10:wrap type="none"/>
            <w10:anchorlock/>
          </v:shape>
          <w:control r:id="rId200" w:name="CheckBox1304" w:shapeid="_x0000_i1128"/>
        </w:object>
      </w:r>
      <w:r>
        <w:rPr>
          <w:rFonts w:ascii="宋体" w:hAnsi="宋体" w:cs="宋体"/>
          <w:b/>
          <w:bCs/>
          <w:color w:val="auto"/>
          <w:sz w:val="24"/>
          <w:szCs w:val="24"/>
        </w:rPr>
        <w:t>8.1.2</w:t>
      </w:r>
      <w:bookmarkEnd w:id="6661"/>
      <w:bookmarkEnd w:id="6662"/>
      <w:bookmarkEnd w:id="6663"/>
      <w:bookmarkEnd w:id="6664"/>
      <w:bookmarkEnd w:id="6665"/>
      <w:bookmarkEnd w:id="6666"/>
      <w:bookmarkEnd w:id="6667"/>
      <w:bookmarkEnd w:id="6668"/>
      <w:bookmarkEnd w:id="6669"/>
      <w:r>
        <w:rPr>
          <w:rFonts w:ascii="宋体" w:hAnsi="宋体" w:cs="宋体"/>
          <w:b/>
          <w:bCs/>
          <w:color w:val="auto"/>
          <w:sz w:val="24"/>
          <w:szCs w:val="24"/>
        </w:rPr>
        <w:t>材料、设备的品牌</w:t>
      </w:r>
      <w:bookmarkEnd w:id="6670"/>
      <w:bookmarkEnd w:id="6671"/>
      <w:bookmarkEnd w:id="6672"/>
      <w:bookmarkEnd w:id="6673"/>
      <w:bookmarkEnd w:id="6674"/>
      <w:bookmarkEnd w:id="6675"/>
      <w:bookmarkEnd w:id="6676"/>
      <w:bookmarkEnd w:id="6677"/>
      <w:bookmarkEnd w:id="6678"/>
      <w:bookmarkEnd w:id="6679"/>
      <w:bookmarkEnd w:id="6680"/>
    </w:p>
    <w:p>
      <w:pPr>
        <w:snapToGrid w:val="0"/>
        <w:spacing w:line="360" w:lineRule="auto"/>
        <w:ind w:firstLine="420"/>
        <w:jc w:val="left"/>
        <w:rPr>
          <w:rFonts w:ascii="宋体" w:hAnsi="宋体" w:cs="宋体"/>
          <w:color w:val="auto"/>
          <w:szCs w:val="21"/>
        </w:rPr>
      </w:pPr>
      <w:r>
        <w:rPr>
          <w:rFonts w:ascii="宋体" w:hAnsi="宋体" w:cs="宋体"/>
          <w:color w:val="auto"/>
          <w:szCs w:val="21"/>
        </w:rPr>
        <w:t>合同签订之后 90天内，承包人对工程量清单进行复核，复核结果报监理单位、发包人核对确认。如果承包人不在规定时间内完成复核工作，发包人有权对其记录不良行为，或同时予以当期履约评价不合格的处理。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施工图纸、工程量清单、第7篇技术规范及要求、参考品牌之间的技术规格可能存在差异，在实施过程中按以下原则处理：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①设有参考品牌的设备，生产厂家的定型规格中不能满足施工图纸、工程量清单、技术要求的，经发包人认可后可采用参考品牌生产厂家规格最接近的产品替代，结算时价格不作调整；</w:t>
      </w:r>
    </w:p>
    <w:p>
      <w:pPr>
        <w:snapToGrid w:val="0"/>
        <w:spacing w:line="360" w:lineRule="auto"/>
        <w:ind w:firstLine="420"/>
        <w:jc w:val="left"/>
        <w:rPr>
          <w:rFonts w:ascii="宋体" w:hAnsi="宋体" w:cs="宋体"/>
          <w:color w:val="auto"/>
          <w:szCs w:val="21"/>
        </w:rPr>
      </w:pPr>
      <w:r>
        <w:rPr>
          <w:rFonts w:ascii="宋体" w:hAnsi="宋体" w:cs="宋体"/>
          <w:color w:val="auto"/>
          <w:szCs w:val="21"/>
        </w:rPr>
        <w:t>②当施工图纸、第7篇技术规范及要求相矛盾时，在施工选用时优先将确保工程质量作为前提，由发包人确定最终的选用规格；</w:t>
      </w:r>
    </w:p>
    <w:p>
      <w:pPr>
        <w:snapToGrid w:val="0"/>
        <w:spacing w:line="360" w:lineRule="auto"/>
        <w:ind w:firstLine="420"/>
        <w:jc w:val="left"/>
        <w:rPr>
          <w:rFonts w:ascii="宋体" w:hAnsi="宋体" w:cs="宋体"/>
          <w:color w:val="auto"/>
          <w:szCs w:val="21"/>
        </w:rPr>
      </w:pPr>
      <w:r>
        <w:rPr>
          <w:rFonts w:ascii="宋体" w:hAnsi="宋体" w:cs="宋体"/>
          <w:color w:val="auto"/>
          <w:szCs w:val="21"/>
        </w:rPr>
        <w:t>③如最终选用材料设备适用现有工程量清单单价，则按现有工程量清单单价进行计价，如没有可适用的工程量清单单价，则按10.3条进行定价。</w:t>
      </w:r>
    </w:p>
    <w:p>
      <w:pPr>
        <w:keepNext/>
        <w:keepLines/>
        <w:numPr>
          <w:ilvl w:val="0"/>
          <w:numId w:val="0"/>
        </w:numPr>
        <w:spacing w:before="156" w:after="156" w:line="360" w:lineRule="auto"/>
        <w:outlineLvl w:val="3"/>
        <w:rPr>
          <w:rFonts w:ascii="宋体" w:hAnsi="宋体" w:cs="宋体"/>
          <w:b/>
          <w:bCs/>
          <w:color w:val="auto"/>
          <w:sz w:val="24"/>
          <w:szCs w:val="24"/>
        </w:rPr>
      </w:pPr>
      <w:bookmarkStart w:id="6681" w:name="_Toc2192"/>
      <w:bookmarkStart w:id="6682" w:name="_Toc73"/>
      <w:bookmarkStart w:id="6683" w:name="_Toc15330"/>
      <w:bookmarkStart w:id="6684" w:name="_Toc6097"/>
      <w:bookmarkStart w:id="6685" w:name="_Toc517531026"/>
      <w:bookmarkStart w:id="6686" w:name="_Toc26351"/>
      <w:bookmarkStart w:id="6687" w:name="_Toc6791"/>
      <w:bookmarkStart w:id="6688" w:name="_Toc28375"/>
      <w:bookmarkStart w:id="6689" w:name="_Toc13348"/>
      <w:bookmarkStart w:id="6690" w:name="_Toc19276"/>
      <w:bookmarkStart w:id="6691" w:name="_Toc15699"/>
      <w:bookmarkStart w:id="6692" w:name="_Toc6808"/>
      <w:bookmarkStart w:id="6693" w:name="_Toc2832"/>
      <w:bookmarkStart w:id="6694" w:name="_Toc22654"/>
      <w:bookmarkStart w:id="6695" w:name="_Toc19984"/>
      <w:bookmarkStart w:id="6696" w:name="_Toc23586"/>
      <w:bookmarkStart w:id="6697" w:name="_Toc517532302"/>
      <w:bookmarkStart w:id="6698" w:name="_Toc8053"/>
      <w:bookmarkStart w:id="6699" w:name="_Toc14902"/>
      <w:bookmarkStart w:id="6700" w:name="_Toc18327"/>
      <w:r>
        <w:rPr>
          <w:rFonts w:ascii="宋体" w:hAnsi="宋体" w:cs="宋体"/>
          <w:b/>
          <w:bCs/>
          <w:color w:val="auto"/>
          <w:sz w:val="24"/>
          <w:szCs w:val="24"/>
        </w:rPr>
        <w:t>8.1.5为发包人提供交通设施服务</w:t>
      </w:r>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p>
    <w:p>
      <w:pPr>
        <w:snapToGrid w:val="0"/>
        <w:spacing w:line="360" w:lineRule="auto"/>
        <w:ind w:firstLine="570"/>
        <w:jc w:val="left"/>
        <w:rPr>
          <w:rFonts w:ascii="宋体" w:hAnsi="宋体" w:cs="宋体"/>
          <w:color w:val="auto"/>
          <w:szCs w:val="21"/>
          <w:u w:val="single"/>
        </w:rPr>
      </w:pPr>
      <w:r>
        <w:rPr>
          <w:rFonts w:ascii="宋体" w:hAnsi="宋体" w:cs="宋体"/>
          <w:color w:val="auto"/>
          <w:szCs w:val="21"/>
        </w:rPr>
        <w:t>(a)为解决发包人管理人员前往工程现场的交通问题，由承包人提供     部车辆供发包人使用，承包人应在合同签订之日起十五天内将车辆交发包人</w:t>
      </w:r>
      <w:r>
        <w:rPr>
          <w:rFonts w:ascii="宋体" w:hAnsi="宋体" w:cs="宋体"/>
          <w:color w:val="auto"/>
          <w:szCs w:val="21"/>
          <w:u w:val="single"/>
        </w:rPr>
        <w:t>（联系人：          ，电话：        ，地址：                ）。</w:t>
      </w:r>
    </w:p>
    <w:p>
      <w:pPr>
        <w:snapToGrid w:val="0"/>
        <w:spacing w:line="360" w:lineRule="auto"/>
        <w:ind w:firstLine="570"/>
        <w:jc w:val="left"/>
        <w:rPr>
          <w:rFonts w:ascii="宋体" w:hAnsi="宋体" w:cs="宋体"/>
          <w:color w:val="auto"/>
          <w:szCs w:val="21"/>
        </w:rPr>
      </w:pPr>
      <w:r>
        <w:rPr>
          <w:rFonts w:ascii="宋体" w:hAnsi="宋体" w:cs="宋体"/>
          <w:color w:val="auto"/>
          <w:szCs w:val="21"/>
        </w:rPr>
        <w:t>车辆使用期限为：合同签订之日起</w:t>
      </w:r>
      <w:r>
        <w:rPr>
          <w:rFonts w:ascii="宋体" w:hAnsi="宋体" w:cs="宋体"/>
          <w:color w:val="auto"/>
          <w:szCs w:val="21"/>
          <w:u w:val="single"/>
        </w:rPr>
        <w:t>15</w:t>
      </w:r>
      <w:r>
        <w:rPr>
          <w:rFonts w:ascii="宋体" w:hAnsi="宋体" w:cs="宋体"/>
          <w:color w:val="auto"/>
          <w:szCs w:val="21"/>
        </w:rPr>
        <w:t>天内起至合同工程竣工结算完成后3个月（最长不超过项目竣工后2年）为止，如整项工程的竣工以分段形式及以分段竣工证书确认，使用期以最后的分段竣工证书日期为准。在使用期限内，车辆所有权归承包人，发包人拥有车辆的使用权并承担保管责任；使用期后，车辆将归还予承包人。</w:t>
      </w:r>
    </w:p>
    <w:p>
      <w:pPr>
        <w:snapToGrid w:val="0"/>
        <w:spacing w:line="360" w:lineRule="auto"/>
        <w:ind w:firstLine="570"/>
        <w:jc w:val="left"/>
        <w:rPr>
          <w:rFonts w:ascii="宋体" w:hAnsi="宋体" w:cs="宋体"/>
          <w:color w:val="auto"/>
          <w:szCs w:val="21"/>
        </w:rPr>
      </w:pPr>
      <w:r>
        <w:rPr>
          <w:rFonts w:ascii="宋体" w:hAnsi="宋体" w:cs="宋体"/>
          <w:color w:val="auto"/>
          <w:szCs w:val="21"/>
        </w:rPr>
        <w:t>(b)车辆须符合以下要求：</w:t>
      </w:r>
    </w:p>
    <w:p>
      <w:pPr>
        <w:snapToGrid w:val="0"/>
        <w:spacing w:line="360" w:lineRule="auto"/>
        <w:ind w:firstLine="570"/>
        <w:jc w:val="left"/>
        <w:rPr>
          <w:rFonts w:ascii="宋体" w:hAnsi="宋体" w:cs="宋体"/>
          <w:color w:val="auto"/>
          <w:szCs w:val="21"/>
        </w:rPr>
      </w:pPr>
      <w:r>
        <w:rPr>
          <w:rFonts w:ascii="宋体" w:hAnsi="宋体" w:cs="宋体"/>
          <w:color w:val="auto"/>
          <w:szCs w:val="21"/>
        </w:rPr>
        <w:t>越野车，车况良好；</w:t>
      </w:r>
    </w:p>
    <w:p>
      <w:pPr>
        <w:snapToGrid w:val="0"/>
        <w:spacing w:line="360" w:lineRule="auto"/>
        <w:ind w:firstLine="570"/>
        <w:jc w:val="left"/>
        <w:rPr>
          <w:rFonts w:ascii="宋体" w:hAnsi="宋体" w:cs="宋体"/>
          <w:color w:val="auto"/>
          <w:szCs w:val="21"/>
        </w:rPr>
      </w:pPr>
      <w:r>
        <w:rPr>
          <w:rFonts w:ascii="宋体" w:hAnsi="宋体" w:cs="宋体"/>
          <w:color w:val="auto"/>
          <w:szCs w:val="21"/>
        </w:rPr>
        <w:t>车身价不低于16万元；</w:t>
      </w:r>
    </w:p>
    <w:p>
      <w:pPr>
        <w:snapToGrid w:val="0"/>
        <w:spacing w:line="360" w:lineRule="auto"/>
        <w:ind w:firstLine="570"/>
        <w:jc w:val="left"/>
        <w:rPr>
          <w:rFonts w:ascii="宋体" w:hAnsi="宋体" w:cs="宋体"/>
          <w:color w:val="auto"/>
          <w:szCs w:val="21"/>
        </w:rPr>
      </w:pPr>
      <w:r>
        <w:rPr>
          <w:rFonts w:ascii="宋体" w:hAnsi="宋体" w:cs="宋体"/>
          <w:color w:val="auto"/>
          <w:szCs w:val="21"/>
        </w:rPr>
        <w:t>旧车使用年限不超过2年。</w:t>
      </w:r>
    </w:p>
    <w:p>
      <w:pPr>
        <w:snapToGrid w:val="0"/>
        <w:spacing w:line="360" w:lineRule="auto"/>
        <w:ind w:firstLine="570"/>
        <w:jc w:val="left"/>
        <w:rPr>
          <w:rFonts w:ascii="宋体" w:hAnsi="宋体" w:cs="宋体"/>
          <w:color w:val="auto"/>
          <w:szCs w:val="21"/>
        </w:rPr>
      </w:pPr>
      <w:r>
        <w:rPr>
          <w:rFonts w:ascii="宋体" w:hAnsi="宋体" w:cs="宋体"/>
          <w:color w:val="auto"/>
          <w:szCs w:val="21"/>
        </w:rPr>
        <w:t>(c)车辆牌照及保险：</w:t>
      </w:r>
    </w:p>
    <w:p>
      <w:pPr>
        <w:snapToGrid w:val="0"/>
        <w:spacing w:line="360" w:lineRule="auto"/>
        <w:ind w:firstLine="570"/>
        <w:jc w:val="left"/>
        <w:rPr>
          <w:rFonts w:ascii="宋体" w:hAnsi="宋体" w:cs="宋体"/>
          <w:color w:val="auto"/>
          <w:szCs w:val="21"/>
        </w:rPr>
      </w:pPr>
      <w:r>
        <w:rPr>
          <w:rFonts w:ascii="宋体" w:hAnsi="宋体" w:cs="宋体"/>
          <w:color w:val="auto"/>
          <w:szCs w:val="21"/>
        </w:rPr>
        <w:t>①深圳牌照；</w:t>
      </w:r>
    </w:p>
    <w:p>
      <w:pPr>
        <w:snapToGrid w:val="0"/>
        <w:spacing w:line="360" w:lineRule="auto"/>
        <w:ind w:firstLine="570"/>
        <w:jc w:val="left"/>
        <w:rPr>
          <w:rFonts w:ascii="宋体" w:hAnsi="宋体" w:cs="宋体"/>
          <w:color w:val="auto"/>
          <w:szCs w:val="21"/>
        </w:rPr>
      </w:pPr>
      <w:r>
        <w:rPr>
          <w:rFonts w:ascii="宋体" w:hAnsi="宋体" w:cs="宋体"/>
          <w:color w:val="auto"/>
          <w:szCs w:val="21"/>
        </w:rPr>
        <w:t>②承包方须为该车辆购买全保，同时第三者责任险保额不低于50万元。</w:t>
      </w:r>
    </w:p>
    <w:p>
      <w:pPr>
        <w:snapToGrid w:val="0"/>
        <w:spacing w:line="360" w:lineRule="auto"/>
        <w:ind w:firstLine="570"/>
        <w:jc w:val="left"/>
        <w:rPr>
          <w:rFonts w:ascii="宋体" w:hAnsi="宋体" w:cs="宋体"/>
          <w:color w:val="auto"/>
          <w:szCs w:val="21"/>
        </w:rPr>
      </w:pPr>
      <w:r>
        <w:rPr>
          <w:rFonts w:ascii="宋体" w:hAnsi="宋体" w:cs="宋体"/>
          <w:color w:val="auto"/>
          <w:szCs w:val="21"/>
        </w:rPr>
        <w:t>(d)车辆经费及保养：</w:t>
      </w:r>
    </w:p>
    <w:p>
      <w:pPr>
        <w:snapToGrid w:val="0"/>
        <w:spacing w:line="360" w:lineRule="auto"/>
        <w:ind w:firstLine="570"/>
        <w:jc w:val="left"/>
        <w:rPr>
          <w:rFonts w:ascii="宋体" w:hAnsi="宋体" w:cs="宋体"/>
          <w:color w:val="auto"/>
          <w:szCs w:val="21"/>
        </w:rPr>
      </w:pPr>
      <w:r>
        <w:rPr>
          <w:rFonts w:ascii="宋体" w:hAnsi="宋体" w:cs="宋体"/>
          <w:color w:val="auto"/>
          <w:szCs w:val="21"/>
        </w:rPr>
        <w:t>车辆使用期间的油料、养路费、GPS防盗安装费、服务费、保养及维修费、停车费等其他杂费，由承包人负责。承包人需在收到有效报销凭据后7日内办理报销。</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701" w:name="_Toc5323"/>
      <w:bookmarkStart w:id="6702" w:name="_Toc32027"/>
      <w:bookmarkStart w:id="6703" w:name="_Toc465237155"/>
      <w:bookmarkStart w:id="6704" w:name="_Toc6695"/>
      <w:bookmarkStart w:id="6705" w:name="_Toc17202"/>
      <w:bookmarkStart w:id="6706" w:name="_Toc25724"/>
      <w:bookmarkStart w:id="6707" w:name="_Toc31706"/>
      <w:bookmarkStart w:id="6708" w:name="_Toc26479"/>
      <w:bookmarkStart w:id="6709" w:name="_Toc517531027"/>
      <w:bookmarkStart w:id="6710" w:name="_Toc517528796"/>
      <w:bookmarkStart w:id="6711" w:name="_Toc31053"/>
      <w:bookmarkStart w:id="6712" w:name="_Toc22969"/>
      <w:bookmarkStart w:id="6713" w:name="_Toc22820"/>
      <w:bookmarkStart w:id="6714" w:name="_Toc11559"/>
      <w:bookmarkStart w:id="6715" w:name="_Toc517532303"/>
      <w:bookmarkStart w:id="6716" w:name="_Toc20538"/>
      <w:bookmarkStart w:id="6717" w:name="_Toc28422"/>
      <w:bookmarkStart w:id="6718" w:name="_Toc7013"/>
      <w:bookmarkStart w:id="6719" w:name="_Toc10012"/>
      <w:bookmarkStart w:id="6720" w:name="_Toc465237257"/>
      <w:bookmarkStart w:id="6721" w:name="_Toc2968"/>
      <w:bookmarkStart w:id="6722" w:name="_Toc27021"/>
      <w:bookmarkStart w:id="6723" w:name="_Toc32435"/>
      <w:r>
        <w:rPr>
          <w:rFonts w:ascii="宋体" w:hAnsi="宋体" w:cs="宋体"/>
          <w:b/>
          <w:bCs/>
          <w:color w:val="auto"/>
          <w:sz w:val="28"/>
          <w:szCs w:val="28"/>
        </w:rPr>
        <w:t>8.2材料与工程设备的保管与使用</w:t>
      </w:r>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p>
    <w:p>
      <w:pPr>
        <w:keepNext/>
        <w:keepLines/>
        <w:numPr>
          <w:ilvl w:val="0"/>
          <w:numId w:val="0"/>
        </w:numPr>
        <w:spacing w:before="156" w:after="156" w:line="360" w:lineRule="auto"/>
        <w:outlineLvl w:val="3"/>
        <w:rPr>
          <w:rFonts w:ascii="宋体" w:hAnsi="宋体" w:cs="宋体"/>
          <w:b/>
          <w:bCs/>
          <w:color w:val="auto"/>
          <w:sz w:val="24"/>
          <w:szCs w:val="24"/>
        </w:rPr>
      </w:pPr>
      <w:bookmarkStart w:id="6724" w:name="_Toc20957"/>
      <w:bookmarkStart w:id="6725" w:name="_Toc7984"/>
      <w:bookmarkStart w:id="6726" w:name="_Toc24517"/>
      <w:bookmarkStart w:id="6727" w:name="_Toc23013"/>
      <w:bookmarkStart w:id="6728" w:name="_Toc27461"/>
      <w:bookmarkStart w:id="6729" w:name="_Toc20717"/>
      <w:bookmarkStart w:id="6730" w:name="_Toc2526"/>
      <w:bookmarkStart w:id="6731" w:name="_Toc19889"/>
      <w:bookmarkStart w:id="6732" w:name="_Toc7009"/>
      <w:bookmarkStart w:id="6733" w:name="_Toc517532304"/>
      <w:bookmarkStart w:id="6734" w:name="_Toc18442"/>
      <w:bookmarkStart w:id="6735" w:name="_Toc2738"/>
      <w:bookmarkStart w:id="6736" w:name="_Toc19015"/>
      <w:bookmarkStart w:id="6737" w:name="_Toc1176"/>
      <w:bookmarkStart w:id="6738" w:name="_Toc21974"/>
      <w:bookmarkStart w:id="6739" w:name="_Toc517531028"/>
      <w:bookmarkStart w:id="6740" w:name="_Toc6048"/>
      <w:bookmarkStart w:id="6741" w:name="_Toc2578"/>
      <w:bookmarkStart w:id="6742" w:name="_Toc8663"/>
      <w:bookmarkStart w:id="6743" w:name="_Toc26851"/>
      <w:r>
        <w:rPr>
          <w:color w:val="auto"/>
        </w:rPr>
        <w:object>
          <v:shape id="_x0000_i1129" o:spt="201" type="#_x0000_t201" style="height:17.9pt;width:12.5pt;" o:ole="t" filled="f" o:preferrelative="t" stroked="f" coordsize="21600,21600">
            <v:path/>
            <v:fill on="f" focussize="0,0"/>
            <v:stroke on="f" joinstyle="miter"/>
            <v:imagedata o:title=""/>
            <o:lock v:ext="edit"/>
            <w10:wrap type="none"/>
            <w10:anchorlock/>
          </v:shape>
          <w:control r:id="rId201" w:name="CheckBox1305" w:shapeid="_x0000_i1129"/>
        </w:object>
      </w:r>
      <w:r>
        <w:rPr>
          <w:rFonts w:ascii="宋体" w:hAnsi="宋体" w:cs="宋体"/>
          <w:b/>
          <w:bCs/>
          <w:color w:val="auto"/>
          <w:sz w:val="24"/>
          <w:szCs w:val="24"/>
        </w:rPr>
        <w:t>8.2.2</w:t>
      </w:r>
      <w:bookmarkEnd w:id="6724"/>
      <w:bookmarkEnd w:id="6725"/>
      <w:bookmarkEnd w:id="6726"/>
      <w:bookmarkEnd w:id="6727"/>
      <w:bookmarkEnd w:id="6728"/>
      <w:bookmarkEnd w:id="6729"/>
      <w:bookmarkEnd w:id="6730"/>
      <w:bookmarkEnd w:id="6731"/>
      <w:bookmarkEnd w:id="6732"/>
      <w:r>
        <w:rPr>
          <w:rFonts w:ascii="宋体" w:hAnsi="宋体" w:cs="宋体"/>
          <w:b/>
          <w:bCs/>
          <w:color w:val="auto"/>
          <w:sz w:val="24"/>
          <w:szCs w:val="24"/>
        </w:rPr>
        <w:t>承包人在设备、材料管理的责任</w:t>
      </w:r>
      <w:bookmarkEnd w:id="6733"/>
      <w:bookmarkEnd w:id="6734"/>
      <w:bookmarkEnd w:id="6735"/>
      <w:bookmarkEnd w:id="6736"/>
      <w:bookmarkEnd w:id="6737"/>
      <w:bookmarkEnd w:id="6738"/>
      <w:bookmarkEnd w:id="6739"/>
      <w:bookmarkEnd w:id="6740"/>
      <w:bookmarkEnd w:id="6741"/>
      <w:bookmarkEnd w:id="6742"/>
      <w:bookmarkEnd w:id="6743"/>
    </w:p>
    <w:p>
      <w:pPr>
        <w:spacing w:line="360" w:lineRule="auto"/>
        <w:ind w:firstLine="420"/>
        <w:rPr>
          <w:rFonts w:ascii="宋体" w:hAnsi="宋体" w:cs="宋体"/>
          <w:color w:val="auto"/>
          <w:szCs w:val="21"/>
        </w:rPr>
      </w:pPr>
      <w:r>
        <w:rPr>
          <w:rFonts w:ascii="宋体" w:hAnsi="宋体" w:cs="宋体"/>
          <w:bCs/>
          <w:color w:val="auto"/>
          <w:kern w:val="0"/>
          <w:szCs w:val="21"/>
        </w:rPr>
        <w:t>根据工程实际，部分材料或设备（如等）拆除后需要保留利用的，承包人施工时应对材料或设备进行保护性拆除，同时将拆下来的材料或设备采取相应措施妥善保管，保证材料或设备的正常安装和使用。若承包人拆除或保管不当造成损坏引起费用增加，由承包人自行承担。</w:t>
      </w:r>
      <w:bookmarkStart w:id="6744" w:name="_Toc296346664"/>
      <w:bookmarkEnd w:id="6744"/>
      <w:bookmarkStart w:id="6745" w:name="_Toc296890991"/>
      <w:bookmarkEnd w:id="6745"/>
      <w:bookmarkStart w:id="6746" w:name="_Toc296891203"/>
      <w:bookmarkEnd w:id="6746"/>
      <w:bookmarkStart w:id="6747" w:name="_Toc297048349"/>
      <w:bookmarkEnd w:id="6747"/>
      <w:bookmarkStart w:id="6748" w:name="_Toc296944502"/>
      <w:bookmarkEnd w:id="6748"/>
      <w:bookmarkStart w:id="6749" w:name="_Toc297120463"/>
      <w:bookmarkEnd w:id="6749"/>
      <w:bookmarkStart w:id="6750" w:name="_Toc292559872"/>
      <w:bookmarkEnd w:id="6750"/>
      <w:bookmarkStart w:id="6751" w:name="_Toc292559367"/>
      <w:bookmarkEnd w:id="6751"/>
      <w:bookmarkStart w:id="6752" w:name="_Toc296347162"/>
      <w:bookmarkEnd w:id="6752"/>
      <w:bookmarkStart w:id="6753" w:name="_Toc296503163"/>
      <w:bookmarkEnd w:id="6753"/>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754" w:name="_Toc20311"/>
      <w:bookmarkStart w:id="6755" w:name="_Toc517531029"/>
      <w:bookmarkStart w:id="6756" w:name="_Toc30610"/>
      <w:bookmarkStart w:id="6757" w:name="_Toc30312"/>
      <w:bookmarkStart w:id="6758" w:name="_Toc6279"/>
      <w:bookmarkStart w:id="6759" w:name="_Toc31525"/>
      <w:bookmarkStart w:id="6760" w:name="_Toc30693"/>
      <w:bookmarkStart w:id="6761" w:name="_Toc851"/>
      <w:bookmarkStart w:id="6762" w:name="_Toc20281"/>
      <w:bookmarkStart w:id="6763" w:name="_Toc15688"/>
      <w:bookmarkStart w:id="6764" w:name="_Toc26962"/>
      <w:bookmarkStart w:id="6765" w:name="_Toc31195"/>
      <w:bookmarkStart w:id="6766" w:name="_Toc517528797"/>
      <w:bookmarkStart w:id="6767" w:name="_Toc29078"/>
      <w:bookmarkStart w:id="6768" w:name="_Toc23670"/>
      <w:bookmarkStart w:id="6769" w:name="_Toc29942"/>
      <w:bookmarkStart w:id="6770" w:name="_Toc302"/>
      <w:bookmarkStart w:id="6771" w:name="_Toc517529764"/>
      <w:bookmarkStart w:id="6772" w:name="_Toc517532305"/>
      <w:bookmarkStart w:id="6773" w:name="_Toc19061"/>
      <w:bookmarkStart w:id="6774" w:name="_Toc465237258"/>
      <w:bookmarkStart w:id="6775" w:name="_Toc24195"/>
      <w:bookmarkStart w:id="6776" w:name="_Toc14731"/>
      <w:bookmarkStart w:id="6777" w:name="_Toc465237156"/>
      <w:r>
        <w:rPr>
          <w:rFonts w:ascii="宋体" w:hAnsi="宋体" w:cs="宋体"/>
          <w:b/>
          <w:bCs/>
          <w:color w:val="auto"/>
          <w:sz w:val="30"/>
          <w:szCs w:val="30"/>
        </w:rPr>
        <w:t>9. 试验与检验</w:t>
      </w:r>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778" w:name="_Toc29494"/>
      <w:bookmarkStart w:id="6779" w:name="_Toc30908"/>
      <w:bookmarkStart w:id="6780" w:name="_Toc517531030"/>
      <w:bookmarkStart w:id="6781" w:name="_Toc106"/>
      <w:bookmarkStart w:id="6782" w:name="_Toc2926"/>
      <w:bookmarkStart w:id="6783" w:name="_Toc11657"/>
      <w:bookmarkStart w:id="6784" w:name="_Toc10262"/>
      <w:bookmarkStart w:id="6785" w:name="_Toc26137"/>
      <w:bookmarkStart w:id="6786" w:name="_Toc16930"/>
      <w:bookmarkStart w:id="6787" w:name="_Toc28366"/>
      <w:bookmarkStart w:id="6788" w:name="_Toc517532306"/>
      <w:bookmarkStart w:id="6789" w:name="_Toc38"/>
      <w:bookmarkStart w:id="6790" w:name="_Toc7629"/>
      <w:bookmarkStart w:id="6791" w:name="_Toc16601"/>
      <w:bookmarkStart w:id="6792" w:name="_Toc13746"/>
      <w:bookmarkStart w:id="6793" w:name="_Toc18808"/>
      <w:bookmarkStart w:id="6794" w:name="_Toc32362"/>
      <w:bookmarkStart w:id="6795" w:name="_Toc517528798"/>
      <w:r>
        <w:rPr>
          <w:rFonts w:ascii="宋体" w:hAnsi="宋体" w:cs="宋体"/>
          <w:b/>
          <w:bCs/>
          <w:color w:val="auto"/>
          <w:sz w:val="28"/>
          <w:szCs w:val="28"/>
        </w:rPr>
        <w:t>9.7样品</w:t>
      </w:r>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p>
    <w:p>
      <w:pPr>
        <w:keepNext/>
        <w:keepLines/>
        <w:numPr>
          <w:ilvl w:val="0"/>
          <w:numId w:val="0"/>
        </w:numPr>
        <w:spacing w:before="156" w:after="156" w:line="360" w:lineRule="auto"/>
        <w:outlineLvl w:val="3"/>
        <w:rPr>
          <w:rFonts w:ascii="宋体" w:hAnsi="宋体" w:cs="宋体"/>
          <w:b/>
          <w:bCs/>
          <w:color w:val="auto"/>
          <w:sz w:val="24"/>
          <w:szCs w:val="24"/>
        </w:rPr>
      </w:pPr>
      <w:bookmarkStart w:id="6796" w:name="_Toc2586"/>
      <w:bookmarkStart w:id="6797" w:name="_Toc31362"/>
      <w:bookmarkStart w:id="6798" w:name="_Toc31483"/>
      <w:bookmarkStart w:id="6799" w:name="_Toc11093"/>
      <w:bookmarkStart w:id="6800" w:name="_Toc30745"/>
      <w:bookmarkStart w:id="6801" w:name="_Toc23898"/>
      <w:bookmarkStart w:id="6802" w:name="_Toc517532307"/>
      <w:bookmarkStart w:id="6803" w:name="_Toc22634"/>
      <w:bookmarkStart w:id="6804" w:name="_Toc27589"/>
      <w:bookmarkStart w:id="6805" w:name="_Toc2161"/>
      <w:bookmarkStart w:id="6806" w:name="_Toc20604"/>
      <w:bookmarkStart w:id="6807" w:name="_Toc18592"/>
      <w:bookmarkStart w:id="6808" w:name="_Toc517531031"/>
      <w:bookmarkStart w:id="6809" w:name="_Toc4883"/>
      <w:bookmarkStart w:id="6810" w:name="_Toc5895"/>
      <w:bookmarkStart w:id="6811" w:name="_Toc15591"/>
      <w:bookmarkStart w:id="6812" w:name="_Toc15360"/>
      <w:bookmarkStart w:id="6813" w:name="_Toc26367"/>
      <w:bookmarkStart w:id="6814" w:name="_Toc22799"/>
      <w:bookmarkStart w:id="6815" w:name="_Toc2181"/>
      <w:r>
        <w:rPr>
          <w:color w:val="auto"/>
        </w:rPr>
        <w:object>
          <v:shape id="_x0000_i1130" o:spt="201" type="#_x0000_t201" style="height:17.9pt;width:12.5pt;" o:ole="t" filled="f" o:preferrelative="t" stroked="f" coordsize="21600,21600">
            <v:path/>
            <v:fill on="f" focussize="0,0"/>
            <v:stroke on="f" joinstyle="miter"/>
            <v:imagedata o:title=""/>
            <o:lock v:ext="edit"/>
            <w10:wrap type="none"/>
            <w10:anchorlock/>
          </v:shape>
          <w:control r:id="rId202" w:name="CheckBox1306" w:shapeid="_x0000_i1130"/>
        </w:object>
      </w:r>
      <w:r>
        <w:rPr>
          <w:rFonts w:ascii="宋体" w:hAnsi="宋体" w:cs="宋体"/>
          <w:b/>
          <w:bCs/>
          <w:color w:val="auto"/>
          <w:sz w:val="24"/>
          <w:szCs w:val="24"/>
        </w:rPr>
        <w:t>9.7.1施工样板</w:t>
      </w:r>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p>
    <w:p>
      <w:pPr>
        <w:snapToGrid w:val="0"/>
        <w:spacing w:line="360" w:lineRule="auto"/>
        <w:ind w:firstLine="420"/>
        <w:jc w:val="left"/>
        <w:rPr>
          <w:rFonts w:ascii="宋体" w:hAnsi="宋体" w:cs="宋体"/>
          <w:color w:val="auto"/>
          <w:szCs w:val="21"/>
        </w:rPr>
      </w:pPr>
      <w:r>
        <w:rPr>
          <w:rFonts w:ascii="宋体" w:hAnsi="宋体" w:cs="宋体"/>
          <w:color w:val="auto"/>
          <w:szCs w:val="21"/>
        </w:rPr>
        <w:t>根据需要，发包人可要求承包人制作施工样板。承包人制作的样板，经发包人检验合格后，由发包人、承包人双方封存。样板作为发包人竣工验收的实物标准。制作样板的全部费用，由承包人承担。</w:t>
      </w:r>
    </w:p>
    <w:p>
      <w:pPr>
        <w:snapToGrid w:val="0"/>
        <w:spacing w:line="360" w:lineRule="auto"/>
        <w:ind w:firstLine="420"/>
        <w:jc w:val="left"/>
        <w:rPr>
          <w:rFonts w:ascii="宋体" w:hAnsi="宋体" w:cs="宋体"/>
          <w:color w:val="auto"/>
          <w:szCs w:val="21"/>
        </w:rPr>
      </w:pPr>
      <w:r>
        <w:rPr>
          <w:rFonts w:ascii="宋体" w:hAnsi="宋体" w:cs="宋体"/>
          <w:color w:val="auto"/>
          <w:szCs w:val="21"/>
        </w:rPr>
        <w:t>承包人报价时提供的样板，由发包人、承包人双方封存，作为发包人竣工验收的实物标准。</w:t>
      </w:r>
    </w:p>
    <w:p>
      <w:pPr>
        <w:spacing w:line="360" w:lineRule="auto"/>
        <w:ind w:firstLine="420"/>
        <w:jc w:val="left"/>
        <w:rPr>
          <w:rFonts w:ascii="宋体" w:hAnsi="宋体" w:cs="宋体"/>
          <w:color w:val="auto"/>
          <w:szCs w:val="21"/>
        </w:rPr>
      </w:pPr>
      <w:r>
        <w:rPr>
          <w:rFonts w:ascii="宋体" w:hAnsi="宋体" w:cs="宋体"/>
          <w:color w:val="auto"/>
          <w:szCs w:val="21"/>
        </w:rPr>
        <w:t>承包人需要使用代用材料时，材料品质和标准、性能不能低于被代用材料，且须经发包人认可后才能使用，超出部分费用由承包人承担。</w:t>
      </w:r>
    </w:p>
    <w:p>
      <w:pPr>
        <w:keepNext/>
        <w:keepLines/>
        <w:numPr>
          <w:ilvl w:val="0"/>
          <w:numId w:val="0"/>
        </w:numPr>
        <w:spacing w:before="156" w:after="156" w:line="360" w:lineRule="auto"/>
        <w:outlineLvl w:val="3"/>
        <w:rPr>
          <w:rFonts w:ascii="宋体" w:hAnsi="宋体" w:cs="宋体"/>
          <w:b/>
          <w:bCs/>
          <w:color w:val="auto"/>
          <w:sz w:val="24"/>
          <w:szCs w:val="24"/>
        </w:rPr>
      </w:pPr>
      <w:bookmarkStart w:id="6816" w:name="_Toc13146"/>
      <w:bookmarkStart w:id="6817" w:name="_Toc23033"/>
      <w:bookmarkStart w:id="6818" w:name="_Toc23410"/>
      <w:bookmarkStart w:id="6819" w:name="_Toc1846"/>
      <w:bookmarkStart w:id="6820" w:name="_Toc517531032"/>
      <w:bookmarkStart w:id="6821" w:name="_Toc31070"/>
      <w:bookmarkStart w:id="6822" w:name="_Toc15396"/>
      <w:bookmarkStart w:id="6823" w:name="_Toc15675"/>
      <w:bookmarkStart w:id="6824" w:name="_Toc6184"/>
      <w:bookmarkStart w:id="6825" w:name="_Toc13639"/>
      <w:bookmarkStart w:id="6826" w:name="_Toc26874"/>
      <w:bookmarkStart w:id="6827" w:name="_Toc22058"/>
      <w:bookmarkStart w:id="6828" w:name="_Toc19941"/>
      <w:bookmarkStart w:id="6829" w:name="_Toc29803"/>
      <w:bookmarkStart w:id="6830" w:name="_Toc24703"/>
      <w:bookmarkStart w:id="6831" w:name="_Toc11658"/>
      <w:bookmarkStart w:id="6832" w:name="_Toc517532308"/>
      <w:bookmarkStart w:id="6833" w:name="_Toc6335"/>
      <w:bookmarkStart w:id="6834" w:name="_Toc10857"/>
      <w:bookmarkStart w:id="6835" w:name="_Toc9347"/>
      <w:r>
        <w:rPr>
          <w:color w:val="auto"/>
        </w:rPr>
        <w:object>
          <v:shape id="_x0000_i1131" o:spt="201" type="#_x0000_t201" style="height:17.9pt;width:12.5pt;" o:ole="t" filled="f" o:preferrelative="t" stroked="f" coordsize="21600,21600">
            <v:path/>
            <v:fill on="f" focussize="0,0"/>
            <v:stroke on="f" joinstyle="miter"/>
            <v:imagedata o:title=""/>
            <o:lock v:ext="edit"/>
            <w10:wrap type="none"/>
            <w10:anchorlock/>
          </v:shape>
          <w:control r:id="rId203" w:name="CheckBox1307" w:shapeid="_x0000_i1131"/>
        </w:object>
      </w:r>
      <w:r>
        <w:rPr>
          <w:rFonts w:ascii="宋体" w:hAnsi="宋体" w:cs="宋体"/>
          <w:b/>
          <w:bCs/>
          <w:color w:val="auto"/>
          <w:sz w:val="24"/>
          <w:szCs w:val="24"/>
        </w:rPr>
        <w:t>9.7.2样板引路制度</w:t>
      </w:r>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p>
    <w:p>
      <w:pPr>
        <w:snapToGrid w:val="0"/>
        <w:spacing w:line="360" w:lineRule="auto"/>
        <w:ind w:firstLine="420"/>
        <w:jc w:val="left"/>
        <w:rPr>
          <w:rFonts w:ascii="宋体" w:hAnsi="宋体" w:cs="宋体"/>
          <w:color w:val="auto"/>
          <w:szCs w:val="21"/>
        </w:rPr>
      </w:pPr>
      <w:r>
        <w:rPr>
          <w:rFonts w:ascii="宋体" w:hAnsi="宋体" w:cs="宋体"/>
          <w:color w:val="auto"/>
          <w:szCs w:val="21"/>
        </w:rPr>
        <w:t>为了保证操作工艺的质量，实施实物质量样板引路的办法：</w:t>
      </w:r>
    </w:p>
    <w:p>
      <w:pPr>
        <w:snapToGrid w:val="0"/>
        <w:spacing w:line="360" w:lineRule="auto"/>
        <w:ind w:firstLine="420"/>
        <w:jc w:val="left"/>
        <w:rPr>
          <w:rFonts w:ascii="宋体" w:hAnsi="宋体" w:cs="宋体"/>
          <w:color w:val="auto"/>
          <w:szCs w:val="21"/>
        </w:rPr>
      </w:pPr>
      <w:r>
        <w:rPr>
          <w:rFonts w:ascii="宋体" w:hAnsi="宋体" w:cs="宋体"/>
          <w:color w:val="auto"/>
          <w:szCs w:val="21"/>
        </w:rPr>
        <w:t>(a)质量样板引路方案的制定：开工前，承包人要根据工程的特点、施工难点、工序的重点、防治工程质量通病措施等方面的要求，组织参与编制和实施工程施工组织设计和专项施工方案的相关技术管理人员，研究制订工程质量样板引路的工作方案。工作方案内容应包括：工程概况与特点、需制作实物质量样板的工序和部位（含样板间）、制作实物质量样板的技术要点与具体要求、将质量样板用于指导施工和质量验收的具体安排、相关人员的工作职责以及根据工程项目特点所制订的其他内容。工作方案经承包人有关部门批准和送项目总监理工程师批准后实施，并报送发包人。实行专业分包的，分包企业应在施工总承包企业的指导下，制定相关的工程质量样板引路工作方案，经施工总承包企业同意后送项目总监理工程师审批后实施，并报送发包人。</w:t>
      </w:r>
    </w:p>
    <w:p>
      <w:pPr>
        <w:snapToGrid w:val="0"/>
        <w:spacing w:line="360" w:lineRule="auto"/>
        <w:ind w:firstLine="420"/>
        <w:jc w:val="left"/>
        <w:rPr>
          <w:rFonts w:ascii="宋体" w:hAnsi="宋体" w:cs="宋体"/>
          <w:color w:val="auto"/>
          <w:szCs w:val="21"/>
        </w:rPr>
      </w:pPr>
      <w:r>
        <w:rPr>
          <w:rFonts w:ascii="宋体" w:hAnsi="宋体" w:cs="宋体"/>
          <w:color w:val="auto"/>
          <w:szCs w:val="21"/>
        </w:rPr>
        <w:t>(b)制作的实物质量样板应符合有关技术规范和施工图设计文件的要求，质量样板需经承包人相关部门（或委托该工程项目技术负责人）复核确认，发包人和监理人同意后方可用于技术交底、岗前培训和质量验收。</w:t>
      </w:r>
    </w:p>
    <w:p>
      <w:pPr>
        <w:snapToGrid w:val="0"/>
        <w:spacing w:line="360" w:lineRule="auto"/>
        <w:ind w:firstLine="420"/>
        <w:jc w:val="left"/>
        <w:rPr>
          <w:rFonts w:ascii="宋体" w:hAnsi="宋体" w:cs="宋体"/>
          <w:color w:val="auto"/>
          <w:szCs w:val="21"/>
        </w:rPr>
      </w:pPr>
      <w:r>
        <w:rPr>
          <w:rFonts w:ascii="宋体" w:hAnsi="宋体" w:cs="宋体"/>
          <w:color w:val="auto"/>
          <w:szCs w:val="21"/>
        </w:rPr>
        <w:t>(c)制作房屋建筑工程实物质量样板的工序、部位</w:t>
      </w:r>
    </w:p>
    <w:p>
      <w:pPr>
        <w:snapToGrid w:val="0"/>
        <w:spacing w:line="360" w:lineRule="auto"/>
        <w:ind w:firstLine="400"/>
        <w:jc w:val="left"/>
        <w:rPr>
          <w:rFonts w:ascii="宋体" w:hAnsi="宋体" w:cs="宋体"/>
          <w:color w:val="auto"/>
          <w:szCs w:val="21"/>
        </w:rPr>
      </w:pPr>
      <w:r>
        <w:rPr>
          <w:color w:val="auto"/>
        </w:rPr>
        <w:object>
          <v:shape id="_x0000_i1132" o:spt="201" type="#_x0000_t201" style="height:17.9pt;width:12.5pt;" o:ole="t" filled="f" o:preferrelative="t" stroked="f" coordsize="21600,21600">
            <v:path/>
            <v:fill on="f" focussize="0,0"/>
            <v:stroke on="f" joinstyle="miter"/>
            <v:imagedata o:title=""/>
            <o:lock v:ext="edit"/>
            <w10:wrap type="none"/>
            <w10:anchorlock/>
          </v:shape>
          <w:control r:id="rId204" w:name="CheckBox1308" w:shapeid="_x0000_i1132"/>
        </w:object>
      </w:r>
      <w:r>
        <w:rPr>
          <w:rFonts w:ascii="宋体" w:hAnsi="宋体" w:cs="宋体"/>
          <w:color w:val="auto"/>
          <w:szCs w:val="21"/>
        </w:rPr>
        <w:t>①混凝土结构工程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柱、剪力墙、梁、板、楼梯等钢筋的制作、安装、固定；</w:t>
      </w:r>
    </w:p>
    <w:p>
      <w:pPr>
        <w:snapToGrid w:val="0"/>
        <w:spacing w:line="360" w:lineRule="auto"/>
        <w:ind w:firstLine="420"/>
        <w:jc w:val="left"/>
        <w:rPr>
          <w:rFonts w:ascii="宋体" w:hAnsi="宋体" w:cs="宋体"/>
          <w:color w:val="auto"/>
          <w:szCs w:val="21"/>
        </w:rPr>
      </w:pPr>
      <w:r>
        <w:rPr>
          <w:rFonts w:ascii="宋体" w:hAnsi="宋体" w:cs="宋体"/>
          <w:color w:val="auto"/>
          <w:szCs w:val="21"/>
        </w:rPr>
        <w:t>受力纵筋连接（焊接、机械连接等）外观质量；</w:t>
      </w:r>
    </w:p>
    <w:p>
      <w:pPr>
        <w:snapToGrid w:val="0"/>
        <w:spacing w:line="360" w:lineRule="auto"/>
        <w:ind w:firstLine="420"/>
        <w:jc w:val="left"/>
        <w:rPr>
          <w:rFonts w:ascii="宋体" w:hAnsi="宋体" w:cs="宋体"/>
          <w:color w:val="auto"/>
          <w:szCs w:val="21"/>
        </w:rPr>
      </w:pPr>
      <w:r>
        <w:rPr>
          <w:rFonts w:ascii="宋体" w:hAnsi="宋体" w:cs="宋体"/>
          <w:color w:val="auto"/>
          <w:szCs w:val="21"/>
        </w:rPr>
        <w:t>模板安装中支撑体系、安装和加固方法、防止胀模、漏浆的技术措施；</w:t>
      </w:r>
    </w:p>
    <w:p>
      <w:pPr>
        <w:snapToGrid w:val="0"/>
        <w:spacing w:line="360" w:lineRule="auto"/>
        <w:ind w:firstLine="420"/>
        <w:jc w:val="left"/>
        <w:rPr>
          <w:rFonts w:ascii="宋体" w:hAnsi="宋体" w:cs="宋体"/>
          <w:color w:val="auto"/>
          <w:szCs w:val="21"/>
        </w:rPr>
      </w:pPr>
      <w:r>
        <w:rPr>
          <w:rFonts w:ascii="宋体" w:hAnsi="宋体" w:cs="宋体"/>
          <w:color w:val="auto"/>
          <w:szCs w:val="21"/>
        </w:rPr>
        <w:t>模板的垃圾出口孔制作；</w:t>
      </w:r>
    </w:p>
    <w:p>
      <w:pPr>
        <w:snapToGrid w:val="0"/>
        <w:spacing w:line="360" w:lineRule="auto"/>
        <w:ind w:firstLine="420"/>
        <w:jc w:val="left"/>
        <w:rPr>
          <w:rFonts w:ascii="宋体" w:hAnsi="宋体" w:cs="宋体"/>
          <w:color w:val="auto"/>
          <w:szCs w:val="21"/>
        </w:rPr>
      </w:pPr>
      <w:r>
        <w:rPr>
          <w:rFonts w:ascii="宋体" w:hAnsi="宋体" w:cs="宋体"/>
          <w:color w:val="auto"/>
          <w:szCs w:val="21"/>
        </w:rPr>
        <w:t>楼面柱根部清除浮浆、凿毛；</w:t>
      </w:r>
    </w:p>
    <w:p>
      <w:pPr>
        <w:snapToGrid w:val="0"/>
        <w:spacing w:line="360" w:lineRule="auto"/>
        <w:ind w:firstLine="420"/>
        <w:jc w:val="left"/>
        <w:rPr>
          <w:rFonts w:ascii="宋体" w:hAnsi="宋体" w:cs="宋体"/>
          <w:color w:val="auto"/>
          <w:szCs w:val="21"/>
        </w:rPr>
      </w:pPr>
      <w:r>
        <w:rPr>
          <w:rFonts w:ascii="宋体" w:hAnsi="宋体" w:cs="宋体"/>
          <w:color w:val="auto"/>
          <w:szCs w:val="21"/>
        </w:rPr>
        <w:t>混凝土施工缝、后浇带、楼面收光处理及养护。</w:t>
      </w:r>
    </w:p>
    <w:p>
      <w:pPr>
        <w:snapToGrid w:val="0"/>
        <w:spacing w:line="360" w:lineRule="auto"/>
        <w:ind w:firstLine="400"/>
        <w:jc w:val="left"/>
        <w:rPr>
          <w:rFonts w:ascii="宋体" w:hAnsi="宋体" w:cs="宋体"/>
          <w:color w:val="auto"/>
          <w:szCs w:val="21"/>
        </w:rPr>
      </w:pPr>
      <w:r>
        <w:rPr>
          <w:color w:val="auto"/>
        </w:rPr>
        <w:object>
          <v:shape id="_x0000_i1133" o:spt="201" type="#_x0000_t201" style="height:17.9pt;width:12.5pt;" o:ole="t" filled="f" o:preferrelative="t" stroked="f" coordsize="21600,21600">
            <v:path/>
            <v:fill on="f" focussize="0,0"/>
            <v:stroke on="f" joinstyle="miter"/>
            <v:imagedata o:title=""/>
            <o:lock v:ext="edit"/>
            <w10:wrap type="none"/>
            <w10:anchorlock/>
          </v:shape>
          <w:control r:id="rId205" w:name="CheckBox1309" w:shapeid="_x0000_i1133"/>
        </w:object>
      </w:r>
      <w:r>
        <w:rPr>
          <w:rFonts w:ascii="宋体" w:hAnsi="宋体" w:cs="宋体"/>
          <w:color w:val="auto"/>
          <w:szCs w:val="21"/>
        </w:rPr>
        <w:t>②砌体工程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有代表性的部位的砌体的砌筑方法；</w:t>
      </w:r>
    </w:p>
    <w:p>
      <w:pPr>
        <w:snapToGrid w:val="0"/>
        <w:spacing w:line="360" w:lineRule="auto"/>
        <w:ind w:firstLine="420"/>
        <w:jc w:val="left"/>
        <w:rPr>
          <w:rFonts w:ascii="宋体" w:hAnsi="宋体" w:cs="宋体"/>
          <w:color w:val="auto"/>
          <w:szCs w:val="21"/>
        </w:rPr>
      </w:pPr>
      <w:r>
        <w:rPr>
          <w:rFonts w:ascii="宋体" w:hAnsi="宋体" w:cs="宋体"/>
          <w:color w:val="auto"/>
          <w:szCs w:val="21"/>
        </w:rPr>
        <w:t>有代表性的门窗洞口的处理；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填充墙底部、顶部的处理；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构造柱、圈梁、过梁的处理。</w:t>
      </w:r>
    </w:p>
    <w:p>
      <w:pPr>
        <w:snapToGrid w:val="0"/>
        <w:spacing w:line="360" w:lineRule="auto"/>
        <w:ind w:firstLine="400"/>
        <w:jc w:val="left"/>
        <w:rPr>
          <w:rFonts w:ascii="宋体" w:hAnsi="宋体" w:cs="宋体"/>
          <w:color w:val="auto"/>
          <w:szCs w:val="21"/>
        </w:rPr>
      </w:pPr>
      <w:r>
        <w:rPr>
          <w:color w:val="auto"/>
        </w:rPr>
        <w:object>
          <v:shape id="_x0000_i1134" o:spt="201" type="#_x0000_t201" style="height:17.9pt;width:12.5pt;" o:ole="t" filled="f" o:preferrelative="t" stroked="f" coordsize="21600,21600">
            <v:path/>
            <v:fill on="f" focussize="0,0"/>
            <v:stroke on="f" joinstyle="miter"/>
            <v:imagedata o:title=""/>
            <o:lock v:ext="edit"/>
            <w10:wrap type="none"/>
            <w10:anchorlock/>
          </v:shape>
          <w:control r:id="rId206" w:name="CheckBox1310" w:shapeid="_x0000_i1134"/>
        </w:object>
      </w:r>
      <w:r>
        <w:rPr>
          <w:rFonts w:ascii="宋体" w:hAnsi="宋体" w:cs="宋体"/>
          <w:color w:val="auto"/>
          <w:szCs w:val="21"/>
        </w:rPr>
        <w:t>③屋面工程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屋面防水、隔热；</w:t>
      </w:r>
    </w:p>
    <w:p>
      <w:pPr>
        <w:snapToGrid w:val="0"/>
        <w:spacing w:line="360" w:lineRule="auto"/>
        <w:ind w:firstLine="420"/>
        <w:jc w:val="left"/>
        <w:rPr>
          <w:rFonts w:ascii="宋体" w:hAnsi="宋体" w:cs="宋体"/>
          <w:color w:val="auto"/>
          <w:szCs w:val="21"/>
        </w:rPr>
      </w:pPr>
      <w:r>
        <w:rPr>
          <w:rFonts w:ascii="宋体" w:hAnsi="宋体" w:cs="宋体"/>
          <w:color w:val="auto"/>
          <w:szCs w:val="21"/>
        </w:rPr>
        <w:t>屋面排水；</w:t>
      </w:r>
    </w:p>
    <w:p>
      <w:pPr>
        <w:snapToGrid w:val="0"/>
        <w:spacing w:line="360" w:lineRule="auto"/>
        <w:ind w:firstLine="420"/>
        <w:jc w:val="left"/>
        <w:rPr>
          <w:rFonts w:ascii="宋体" w:hAnsi="宋体" w:cs="宋体"/>
          <w:color w:val="auto"/>
          <w:szCs w:val="21"/>
        </w:rPr>
      </w:pPr>
      <w:r>
        <w:rPr>
          <w:rFonts w:ascii="宋体" w:hAnsi="宋体" w:cs="宋体"/>
          <w:color w:val="auto"/>
          <w:szCs w:val="21"/>
        </w:rPr>
        <w:t>屋面细部。</w:t>
      </w:r>
    </w:p>
    <w:p>
      <w:pPr>
        <w:snapToGrid w:val="0"/>
        <w:spacing w:line="360" w:lineRule="auto"/>
        <w:ind w:firstLine="400"/>
        <w:jc w:val="left"/>
        <w:rPr>
          <w:rFonts w:ascii="宋体" w:hAnsi="宋体" w:cs="宋体"/>
          <w:color w:val="auto"/>
          <w:szCs w:val="21"/>
        </w:rPr>
      </w:pPr>
      <w:r>
        <w:rPr>
          <w:color w:val="auto"/>
        </w:rPr>
        <w:object>
          <v:shape id="_x0000_i1135" o:spt="201" type="#_x0000_t201" style="height:17.9pt;width:12.5pt;" o:ole="t" filled="f" o:preferrelative="t" stroked="f" coordsize="21600,21600">
            <v:path/>
            <v:fill on="f" focussize="0,0"/>
            <v:stroke on="f" joinstyle="miter"/>
            <v:imagedata o:title=""/>
            <o:lock v:ext="edit"/>
            <w10:wrap type="none"/>
            <w10:anchorlock/>
          </v:shape>
          <w:control r:id="rId207" w:name="CheckBox1311" w:shapeid="_x0000_i1135"/>
        </w:object>
      </w:r>
      <w:r>
        <w:rPr>
          <w:rFonts w:ascii="宋体" w:hAnsi="宋体" w:cs="宋体"/>
          <w:color w:val="auto"/>
          <w:szCs w:val="21"/>
        </w:rPr>
        <w:t>④门窗和幕墙工程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有代表性的门窗安装；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门窗洞的细部处理；</w:t>
      </w:r>
    </w:p>
    <w:p>
      <w:pPr>
        <w:snapToGrid w:val="0"/>
        <w:spacing w:line="360" w:lineRule="auto"/>
        <w:ind w:firstLine="420"/>
        <w:jc w:val="left"/>
        <w:rPr>
          <w:rFonts w:ascii="宋体" w:hAnsi="宋体" w:cs="宋体"/>
          <w:color w:val="auto"/>
          <w:szCs w:val="21"/>
        </w:rPr>
      </w:pPr>
      <w:r>
        <w:rPr>
          <w:rFonts w:ascii="宋体" w:hAnsi="宋体" w:cs="宋体"/>
          <w:color w:val="auto"/>
          <w:szCs w:val="21"/>
        </w:rPr>
        <w:t>有代表性的幕墙单元安装。</w:t>
      </w:r>
    </w:p>
    <w:p>
      <w:pPr>
        <w:snapToGrid w:val="0"/>
        <w:spacing w:line="360" w:lineRule="auto"/>
        <w:ind w:firstLine="400"/>
        <w:jc w:val="left"/>
        <w:rPr>
          <w:rFonts w:ascii="宋体" w:hAnsi="宋体" w:cs="宋体"/>
          <w:color w:val="auto"/>
          <w:szCs w:val="21"/>
        </w:rPr>
      </w:pPr>
      <w:r>
        <w:rPr>
          <w:color w:val="auto"/>
        </w:rPr>
        <w:object>
          <v:shape id="_x0000_i1136" o:spt="201" type="#_x0000_t201" style="height:17.9pt;width:12.5pt;" o:ole="t" filled="f" o:preferrelative="t" stroked="f" coordsize="21600,21600">
            <v:path/>
            <v:fill on="f" focussize="0,0"/>
            <v:stroke on="f" joinstyle="miter"/>
            <v:imagedata o:title=""/>
            <o:lock v:ext="edit"/>
            <w10:wrap type="none"/>
            <w10:anchorlock/>
          </v:shape>
          <w:control r:id="rId208" w:name="CheckBox1312" w:shapeid="_x0000_i1136"/>
        </w:object>
      </w:r>
      <w:r>
        <w:rPr>
          <w:rFonts w:ascii="宋体" w:hAnsi="宋体" w:cs="宋体"/>
          <w:color w:val="auto"/>
          <w:szCs w:val="21"/>
        </w:rPr>
        <w:t>⑤装饰工程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外墙防水；</w:t>
      </w:r>
    </w:p>
    <w:p>
      <w:pPr>
        <w:snapToGrid w:val="0"/>
        <w:spacing w:line="360" w:lineRule="auto"/>
        <w:ind w:firstLine="420"/>
        <w:jc w:val="left"/>
        <w:rPr>
          <w:rFonts w:ascii="宋体" w:hAnsi="宋体" w:cs="宋体"/>
          <w:color w:val="auto"/>
          <w:szCs w:val="21"/>
        </w:rPr>
      </w:pPr>
      <w:r>
        <w:rPr>
          <w:rFonts w:ascii="宋体" w:hAnsi="宋体" w:cs="宋体"/>
          <w:color w:val="auto"/>
          <w:szCs w:val="21"/>
        </w:rPr>
        <w:t>外墙饰面；</w:t>
      </w:r>
    </w:p>
    <w:p>
      <w:pPr>
        <w:snapToGrid w:val="0"/>
        <w:spacing w:line="360" w:lineRule="auto"/>
        <w:ind w:firstLine="420"/>
        <w:jc w:val="left"/>
        <w:rPr>
          <w:rFonts w:ascii="宋体" w:hAnsi="宋体" w:cs="宋体"/>
          <w:color w:val="auto"/>
          <w:szCs w:val="21"/>
        </w:rPr>
      </w:pPr>
      <w:r>
        <w:rPr>
          <w:rFonts w:ascii="宋体" w:hAnsi="宋体" w:cs="宋体"/>
          <w:color w:val="auto"/>
          <w:szCs w:val="21"/>
        </w:rPr>
        <w:t>内墙抹灰；</w:t>
      </w:r>
    </w:p>
    <w:p>
      <w:pPr>
        <w:snapToGrid w:val="0"/>
        <w:spacing w:line="360" w:lineRule="auto"/>
        <w:ind w:firstLine="420"/>
        <w:jc w:val="left"/>
        <w:rPr>
          <w:rFonts w:ascii="宋体" w:hAnsi="宋体" w:cs="宋体"/>
          <w:color w:val="auto"/>
          <w:szCs w:val="21"/>
        </w:rPr>
      </w:pPr>
      <w:r>
        <w:rPr>
          <w:rFonts w:ascii="宋体" w:hAnsi="宋体" w:cs="宋体"/>
          <w:color w:val="auto"/>
          <w:szCs w:val="21"/>
        </w:rPr>
        <w:t>内墙饰面砖铺贴；</w:t>
      </w:r>
    </w:p>
    <w:p>
      <w:pPr>
        <w:snapToGrid w:val="0"/>
        <w:spacing w:line="360" w:lineRule="auto"/>
        <w:ind w:firstLine="420"/>
        <w:jc w:val="left"/>
        <w:rPr>
          <w:rFonts w:ascii="宋体" w:hAnsi="宋体" w:cs="宋体"/>
          <w:color w:val="auto"/>
          <w:szCs w:val="21"/>
        </w:rPr>
      </w:pPr>
      <w:r>
        <w:rPr>
          <w:rFonts w:ascii="宋体" w:hAnsi="宋体" w:cs="宋体"/>
          <w:color w:val="auto"/>
          <w:szCs w:val="21"/>
        </w:rPr>
        <w:t>天花安装；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厨、厕间防水；</w:t>
      </w:r>
    </w:p>
    <w:p>
      <w:pPr>
        <w:snapToGrid w:val="0"/>
        <w:spacing w:line="360" w:lineRule="auto"/>
        <w:ind w:firstLine="420"/>
        <w:jc w:val="left"/>
        <w:rPr>
          <w:rFonts w:ascii="宋体" w:hAnsi="宋体" w:cs="宋体"/>
          <w:color w:val="auto"/>
          <w:szCs w:val="21"/>
        </w:rPr>
      </w:pPr>
      <w:r>
        <w:rPr>
          <w:rFonts w:ascii="宋体" w:hAnsi="宋体" w:cs="宋体"/>
          <w:color w:val="auto"/>
          <w:szCs w:val="21"/>
        </w:rPr>
        <w:t>有代表性的装饰装修细部。</w:t>
      </w:r>
    </w:p>
    <w:p>
      <w:pPr>
        <w:snapToGrid w:val="0"/>
        <w:spacing w:line="360" w:lineRule="auto"/>
        <w:ind w:firstLine="400"/>
        <w:jc w:val="left"/>
        <w:rPr>
          <w:rFonts w:ascii="宋体" w:hAnsi="宋体" w:cs="宋体"/>
          <w:color w:val="auto"/>
          <w:szCs w:val="21"/>
        </w:rPr>
      </w:pPr>
      <w:r>
        <w:rPr>
          <w:color w:val="auto"/>
        </w:rPr>
        <w:object>
          <v:shape id="_x0000_i1137" o:spt="201" type="#_x0000_t201" style="height:17.9pt;width:12.5pt;" o:ole="t" filled="f" o:preferrelative="t" stroked="f" coordsize="21600,21600">
            <v:path/>
            <v:fill on="f" focussize="0,0"/>
            <v:stroke on="f" joinstyle="miter"/>
            <v:imagedata o:title=""/>
            <o:lock v:ext="edit"/>
            <w10:wrap type="none"/>
            <w10:anchorlock/>
          </v:shape>
          <w:control r:id="rId209" w:name="CheckBox1313" w:shapeid="_x0000_i1137"/>
        </w:object>
      </w:r>
      <w:r>
        <w:rPr>
          <w:rFonts w:ascii="宋体" w:hAnsi="宋体" w:cs="宋体"/>
          <w:color w:val="auto"/>
          <w:szCs w:val="21"/>
        </w:rPr>
        <w:t>⑥建筑节能工程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有关标准规定需制作样板的部位。</w:t>
      </w:r>
    </w:p>
    <w:p>
      <w:pPr>
        <w:snapToGrid w:val="0"/>
        <w:spacing w:line="360" w:lineRule="auto"/>
        <w:ind w:firstLine="400"/>
        <w:jc w:val="left"/>
        <w:rPr>
          <w:rFonts w:ascii="宋体" w:hAnsi="宋体" w:cs="宋体"/>
          <w:color w:val="auto"/>
          <w:szCs w:val="21"/>
        </w:rPr>
      </w:pPr>
      <w:r>
        <w:rPr>
          <w:color w:val="auto"/>
        </w:rPr>
        <w:object>
          <v:shape id="_x0000_i1138" o:spt="201" type="#_x0000_t201" style="height:17.9pt;width:12.5pt;" o:ole="t" filled="f" o:preferrelative="t" stroked="f" coordsize="21600,21600">
            <v:path/>
            <v:fill on="f" focussize="0,0"/>
            <v:stroke on="f" joinstyle="miter"/>
            <v:imagedata o:title=""/>
            <o:lock v:ext="edit"/>
            <w10:wrap type="none"/>
            <w10:anchorlock/>
          </v:shape>
          <w:control r:id="rId210" w:name="CheckBox1314" w:shapeid="_x0000_i1138"/>
        </w:object>
      </w:r>
      <w:r>
        <w:rPr>
          <w:rFonts w:ascii="宋体" w:hAnsi="宋体" w:cs="宋体"/>
          <w:color w:val="auto"/>
          <w:szCs w:val="21"/>
        </w:rPr>
        <w:t>⑦给排水工程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穿楼板管道套管安装；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卫生间给排水支管安装；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卫生间洁具安装；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屋面透气管安装；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管井立管安装。</w:t>
      </w:r>
    </w:p>
    <w:p>
      <w:pPr>
        <w:snapToGrid w:val="0"/>
        <w:spacing w:line="360" w:lineRule="auto"/>
        <w:ind w:firstLine="400"/>
        <w:jc w:val="left"/>
        <w:rPr>
          <w:rFonts w:ascii="宋体" w:hAnsi="宋体" w:cs="宋体"/>
          <w:color w:val="auto"/>
          <w:szCs w:val="21"/>
        </w:rPr>
      </w:pPr>
      <w:r>
        <w:rPr>
          <w:color w:val="auto"/>
        </w:rPr>
        <w:object>
          <v:shape id="_x0000_i1139" o:spt="201" type="#_x0000_t201" style="height:17.9pt;width:12.5pt;" o:ole="t" filled="f" o:preferrelative="t" stroked="f" coordsize="21600,21600">
            <v:path/>
            <v:fill on="f" focussize="0,0"/>
            <v:stroke on="f" joinstyle="miter"/>
            <v:imagedata o:title=""/>
            <o:lock v:ext="edit"/>
            <w10:wrap type="none"/>
            <w10:anchorlock/>
          </v:shape>
          <w:control r:id="rId211" w:name="CheckBox1315" w:shapeid="_x0000_i1139"/>
        </w:object>
      </w:r>
      <w:r>
        <w:rPr>
          <w:rFonts w:ascii="宋体" w:hAnsi="宋体" w:cs="宋体"/>
          <w:color w:val="auto"/>
          <w:szCs w:val="21"/>
        </w:rPr>
        <w:t>⑧建筑电气工程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成套配电柜、控制柜的安装；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照明配电箱的安装；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开关插座、灯具的安装；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电气、防雷接地；</w:t>
      </w:r>
    </w:p>
    <w:p>
      <w:pPr>
        <w:snapToGrid w:val="0"/>
        <w:spacing w:line="360" w:lineRule="auto"/>
        <w:ind w:firstLine="420"/>
        <w:jc w:val="left"/>
        <w:rPr>
          <w:rFonts w:ascii="宋体" w:hAnsi="宋体" w:cs="宋体"/>
          <w:color w:val="auto"/>
          <w:szCs w:val="21"/>
        </w:rPr>
      </w:pPr>
      <w:r>
        <w:rPr>
          <w:rFonts w:ascii="宋体" w:hAnsi="宋体" w:cs="宋体"/>
          <w:color w:val="auto"/>
          <w:szCs w:val="21"/>
        </w:rPr>
        <w:t>线路铺设；</w:t>
      </w:r>
    </w:p>
    <w:p>
      <w:pPr>
        <w:snapToGrid w:val="0"/>
        <w:spacing w:line="360" w:lineRule="auto"/>
        <w:ind w:firstLine="420"/>
        <w:jc w:val="left"/>
        <w:rPr>
          <w:rFonts w:ascii="宋体" w:hAnsi="宋体" w:cs="宋体"/>
          <w:color w:val="auto"/>
          <w:szCs w:val="21"/>
        </w:rPr>
      </w:pPr>
      <w:r>
        <w:rPr>
          <w:rFonts w:ascii="宋体" w:hAnsi="宋体" w:cs="宋体"/>
          <w:color w:val="auto"/>
          <w:szCs w:val="21"/>
        </w:rPr>
        <w:t>金属线槽、桥架铺设。</w:t>
      </w:r>
    </w:p>
    <w:p>
      <w:pPr>
        <w:snapToGrid w:val="0"/>
        <w:spacing w:line="360" w:lineRule="auto"/>
        <w:ind w:firstLine="400"/>
        <w:jc w:val="left"/>
        <w:rPr>
          <w:rFonts w:ascii="宋体" w:hAnsi="宋体" w:cs="宋体"/>
          <w:color w:val="auto"/>
          <w:szCs w:val="21"/>
        </w:rPr>
      </w:pPr>
      <w:r>
        <w:rPr>
          <w:color w:val="auto"/>
        </w:rPr>
        <w:object>
          <v:shape id="_x0000_i1140" o:spt="201" type="#_x0000_t201" style="height:17.9pt;width:12.5pt;" o:ole="t" filled="f" o:preferrelative="t" stroked="f" coordsize="21600,21600">
            <v:path/>
            <v:fill on="f" focussize="0,0"/>
            <v:stroke on="f" joinstyle="miter"/>
            <v:imagedata o:title=""/>
            <o:lock v:ext="edit"/>
            <w10:wrap type="none"/>
            <w10:anchorlock/>
          </v:shape>
          <w:control r:id="rId212" w:name="CheckBox1316" w:shapeid="_x0000_i1140"/>
        </w:object>
      </w:r>
      <w:r>
        <w:rPr>
          <w:rFonts w:ascii="宋体" w:hAnsi="宋体" w:cs="宋体"/>
          <w:color w:val="auto"/>
          <w:szCs w:val="21"/>
        </w:rPr>
        <w:t>⑨通风空调工程</w:t>
      </w:r>
    </w:p>
    <w:p>
      <w:pPr>
        <w:snapToGrid w:val="0"/>
        <w:spacing w:line="360" w:lineRule="auto"/>
        <w:ind w:firstLine="420"/>
        <w:jc w:val="left"/>
        <w:rPr>
          <w:rFonts w:ascii="宋体" w:hAnsi="宋体" w:cs="宋体"/>
          <w:color w:val="auto"/>
          <w:szCs w:val="21"/>
        </w:rPr>
      </w:pPr>
      <w:r>
        <w:rPr>
          <w:rFonts w:ascii="宋体" w:hAnsi="宋体" w:cs="宋体"/>
          <w:color w:val="auto"/>
          <w:szCs w:val="21"/>
        </w:rPr>
        <w:t>标准层风管制作安装；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标准层水管安装；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风机盘管、风口、风阀、百叶安装；</w:t>
      </w:r>
    </w:p>
    <w:p>
      <w:pPr>
        <w:snapToGrid w:val="0"/>
        <w:spacing w:line="360" w:lineRule="auto"/>
        <w:ind w:firstLine="420"/>
        <w:jc w:val="left"/>
        <w:rPr>
          <w:rFonts w:ascii="宋体" w:hAnsi="宋体" w:cs="宋体"/>
          <w:color w:val="auto"/>
          <w:szCs w:val="21"/>
        </w:rPr>
      </w:pPr>
      <w:r>
        <w:rPr>
          <w:rFonts w:ascii="宋体" w:hAnsi="宋体" w:cs="宋体"/>
          <w:color w:val="auto"/>
          <w:szCs w:val="21"/>
        </w:rPr>
        <w:t>风管、水管保温。</w:t>
      </w:r>
    </w:p>
    <w:p>
      <w:pPr>
        <w:snapToGrid w:val="0"/>
        <w:spacing w:line="360" w:lineRule="auto"/>
        <w:ind w:firstLine="420"/>
        <w:jc w:val="left"/>
        <w:rPr>
          <w:rFonts w:ascii="宋体" w:hAnsi="宋体" w:cs="宋体"/>
          <w:color w:val="auto"/>
          <w:szCs w:val="21"/>
        </w:rPr>
      </w:pPr>
      <w:r>
        <w:rPr>
          <w:rFonts w:ascii="宋体" w:hAnsi="宋体" w:cs="宋体"/>
          <w:color w:val="auto"/>
          <w:szCs w:val="21"/>
        </w:rPr>
        <w:t>制作实物质量样板的工序、部位，不限于以上内容，还包括建设单位、施工和监理企业认为需要制作实物质量样板的其他工序、部位。</w:t>
      </w:r>
      <w:bookmarkStart w:id="6836" w:name="_Toc267251424"/>
      <w:bookmarkEnd w:id="6836"/>
      <w:bookmarkStart w:id="6837" w:name="_Toc303539137"/>
      <w:bookmarkEnd w:id="6837"/>
      <w:bookmarkStart w:id="6838" w:name="_Toc280868655"/>
      <w:bookmarkEnd w:id="6838"/>
      <w:bookmarkStart w:id="6839" w:name="_Toc296944507"/>
      <w:bookmarkEnd w:id="6839"/>
      <w:bookmarkStart w:id="6840" w:name="_Toc296891208"/>
      <w:bookmarkEnd w:id="6840"/>
      <w:bookmarkStart w:id="6841" w:name="_Toc304295557"/>
      <w:bookmarkEnd w:id="6841"/>
      <w:bookmarkStart w:id="6842" w:name="_Toc297123528"/>
      <w:bookmarkEnd w:id="6842"/>
      <w:bookmarkStart w:id="6843" w:name="_Toc300934980"/>
      <w:bookmarkEnd w:id="6843"/>
      <w:bookmarkStart w:id="6844" w:name="_Toc296347167"/>
      <w:bookmarkEnd w:id="6844"/>
      <w:bookmarkStart w:id="6845" w:name="_Toc318581173"/>
      <w:bookmarkEnd w:id="6845"/>
      <w:bookmarkStart w:id="6846" w:name="_Toc312678020"/>
      <w:bookmarkEnd w:id="6846"/>
      <w:bookmarkStart w:id="6847" w:name="_Toc312677494"/>
      <w:bookmarkEnd w:id="6847"/>
      <w:bookmarkStart w:id="6848" w:name="_Toc296346669"/>
      <w:bookmarkEnd w:id="6848"/>
      <w:bookmarkStart w:id="6849" w:name="_Toc280868656"/>
      <w:bookmarkEnd w:id="6849"/>
      <w:bookmarkStart w:id="6850" w:name="_Toc296890996"/>
      <w:bookmarkEnd w:id="6850"/>
      <w:bookmarkStart w:id="6851" w:name="_Toc296503168"/>
      <w:bookmarkEnd w:id="6851"/>
      <w:bookmarkStart w:id="6852" w:name="_Toc297216187"/>
      <w:bookmarkEnd w:id="6852"/>
      <w:bookmarkStart w:id="6853" w:name="_Toc297120468"/>
      <w:bookmarkEnd w:id="6853"/>
      <w:bookmarkStart w:id="6854" w:name="_Toc297048354"/>
      <w:bookmarkEnd w:id="6854"/>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855" w:name="_Toc292559398"/>
      <w:bookmarkStart w:id="6856" w:name="_Toc20238"/>
      <w:bookmarkStart w:id="6857" w:name="_Toc30254"/>
      <w:bookmarkStart w:id="6858" w:name="_Toc292559903"/>
      <w:bookmarkStart w:id="6859" w:name="_Toc134"/>
      <w:bookmarkStart w:id="6860" w:name="_Toc296891233"/>
      <w:bookmarkStart w:id="6861" w:name="_Toc31145"/>
      <w:bookmarkStart w:id="6862" w:name="_Toc16049"/>
      <w:bookmarkStart w:id="6863" w:name="_Toc300934989"/>
      <w:bookmarkStart w:id="6864" w:name="_Toc15026"/>
      <w:bookmarkStart w:id="6865" w:name="_Toc517529765"/>
      <w:bookmarkStart w:id="6866" w:name="_Toc297123540"/>
      <w:bookmarkStart w:id="6867" w:name="_Toc297216199"/>
      <w:bookmarkStart w:id="6868" w:name="_Toc303539146"/>
      <w:bookmarkStart w:id="6869" w:name="_Toc304295566"/>
      <w:bookmarkStart w:id="6870" w:name="_Toc465237157"/>
      <w:bookmarkStart w:id="6871" w:name="_Toc296944532"/>
      <w:bookmarkStart w:id="6872" w:name="_Toc8858"/>
      <w:bookmarkStart w:id="6873" w:name="_Toc465237259"/>
      <w:bookmarkStart w:id="6874" w:name="_Toc30873"/>
      <w:bookmarkStart w:id="6875" w:name="_Toc296346694"/>
      <w:bookmarkStart w:id="6876" w:name="_Toc12698"/>
      <w:bookmarkStart w:id="6877" w:name="_Toc517528799"/>
      <w:bookmarkStart w:id="6878" w:name="_Toc20246"/>
      <w:bookmarkStart w:id="6879" w:name="_Toc13985"/>
      <w:bookmarkStart w:id="6880" w:name="_Toc517532309"/>
      <w:bookmarkStart w:id="6881" w:name="_Toc909"/>
      <w:bookmarkStart w:id="6882" w:name="_Toc351203642"/>
      <w:bookmarkStart w:id="6883" w:name="_Toc296347192"/>
      <w:bookmarkStart w:id="6884" w:name="_Toc24680"/>
      <w:bookmarkStart w:id="6885" w:name="_Toc297120493"/>
      <w:bookmarkStart w:id="6886" w:name="_Toc18371"/>
      <w:bookmarkStart w:id="6887" w:name="_Toc297048379"/>
      <w:bookmarkStart w:id="6888" w:name="_Toc26242"/>
      <w:bookmarkStart w:id="6889" w:name="_Toc517531033"/>
      <w:bookmarkStart w:id="6890" w:name="_Toc296503193"/>
      <w:bookmarkStart w:id="6891" w:name="_Toc32484"/>
      <w:bookmarkStart w:id="6892" w:name="_Toc6935"/>
      <w:bookmarkStart w:id="6893" w:name="_Toc296891021"/>
      <w:bookmarkStart w:id="6894" w:name="_Toc4675"/>
      <w:r>
        <w:rPr>
          <w:rFonts w:ascii="宋体" w:hAnsi="宋体" w:cs="宋体"/>
          <w:b/>
          <w:bCs/>
          <w:color w:val="auto"/>
          <w:sz w:val="30"/>
          <w:szCs w:val="30"/>
        </w:rPr>
        <w:t>10. 变更</w:t>
      </w:r>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Start w:id="6895" w:name="_Toc312677499"/>
      <w:bookmarkEnd w:id="6895"/>
      <w:bookmarkStart w:id="6896" w:name="_Toc312678025"/>
      <w:bookmarkEnd w:id="6896"/>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897" w:name="_Toc22206"/>
      <w:bookmarkStart w:id="6898" w:name="_Toc26462"/>
      <w:bookmarkStart w:id="6899" w:name="_Toc23836"/>
      <w:bookmarkStart w:id="6900" w:name="_Toc4497"/>
      <w:bookmarkStart w:id="6901" w:name="_Toc25405"/>
      <w:bookmarkStart w:id="6902" w:name="_Toc31980"/>
      <w:bookmarkStart w:id="6903" w:name="_Toc2388"/>
      <w:bookmarkStart w:id="6904" w:name="_Toc25180"/>
      <w:bookmarkStart w:id="6905" w:name="_Toc3852"/>
      <w:bookmarkStart w:id="6906" w:name="_Toc3696"/>
      <w:bookmarkStart w:id="6907" w:name="_Toc19431"/>
      <w:bookmarkStart w:id="6908" w:name="_Toc174"/>
      <w:bookmarkStart w:id="6909" w:name="_Toc517532310"/>
      <w:bookmarkStart w:id="6910" w:name="_Toc16121"/>
      <w:bookmarkStart w:id="6911" w:name="_Toc8825"/>
      <w:bookmarkStart w:id="6912" w:name="_Toc28566"/>
      <w:bookmarkStart w:id="6913" w:name="_Toc517531034"/>
      <w:bookmarkStart w:id="6914" w:name="_Toc517528800"/>
      <w:bookmarkStart w:id="6915" w:name="_Toc20966"/>
      <w:bookmarkStart w:id="6916" w:name="_Toc19371"/>
      <w:bookmarkStart w:id="6917" w:name="_Toc3310"/>
      <w:r>
        <w:rPr>
          <w:color w:val="auto"/>
        </w:rPr>
        <w:object>
          <v:shape id="_x0000_i1141" o:spt="201" type="#_x0000_t201" style="height:17.9pt;width:12.5pt;" o:ole="t" filled="f" o:preferrelative="t" stroked="f" coordsize="21600,21600">
            <v:path/>
            <v:fill on="f" focussize="0,0"/>
            <v:stroke on="f" joinstyle="miter"/>
            <v:imagedata o:title=""/>
            <o:lock v:ext="edit"/>
            <w10:wrap type="none"/>
            <w10:anchorlock/>
          </v:shape>
          <w:control r:id="rId213" w:name="CheckBox1317" w:shapeid="_x0000_i1141"/>
        </w:object>
      </w:r>
      <w:r>
        <w:rPr>
          <w:rFonts w:ascii="宋体" w:hAnsi="宋体" w:cs="宋体"/>
          <w:b/>
          <w:bCs/>
          <w:color w:val="auto"/>
          <w:sz w:val="28"/>
          <w:szCs w:val="28"/>
        </w:rPr>
        <w:t>10.3变更的估价</w:t>
      </w:r>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p>
    <w:p>
      <w:pPr>
        <w:snapToGrid w:val="0"/>
        <w:spacing w:line="360" w:lineRule="auto"/>
        <w:ind w:firstLine="420"/>
        <w:jc w:val="left"/>
        <w:rPr>
          <w:rFonts w:ascii="宋体" w:hAnsi="宋体" w:cs="宋体"/>
          <w:color w:val="auto"/>
          <w:szCs w:val="21"/>
        </w:rPr>
      </w:pPr>
      <w:r>
        <w:rPr>
          <w:rFonts w:ascii="宋体" w:hAnsi="宋体" w:cs="宋体"/>
          <w:color w:val="auto"/>
          <w:szCs w:val="21"/>
        </w:rPr>
        <w:t>对于实际测出的工程量超过招标清单所列数量25%的（工程量清单漏项、新增工程、设计变更等项目的工程量不计入此项），对超出25%以上的工程量承包人可申请重新确定结算价格。重新确定价格的方法：经监理人审核，发包人审批，报评审中心或发包人指定的第三方审定，以评审中心或发包人指定的第三方审定的综合单价为基准，下浮投标总价净下浮率后作为合同结算价。</w:t>
      </w:r>
    </w:p>
    <w:p>
      <w:pPr>
        <w:snapToGrid w:val="0"/>
        <w:spacing w:line="360" w:lineRule="auto"/>
        <w:ind w:firstLine="420"/>
        <w:jc w:val="left"/>
        <w:rPr>
          <w:rFonts w:ascii="宋体" w:hAnsi="宋体" w:cs="宋体"/>
          <w:color w:val="auto"/>
          <w:szCs w:val="21"/>
        </w:rPr>
      </w:pPr>
      <w:r>
        <w:rPr>
          <w:rFonts w:ascii="宋体" w:hAnsi="宋体" w:cs="宋体"/>
          <w:color w:val="auto"/>
          <w:szCs w:val="21"/>
        </w:rPr>
        <w:t>以上涉及工程量清单漏项的内容，不适用于固定总价合同。</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6918" w:name="_Toc517528801"/>
      <w:bookmarkStart w:id="6919" w:name="_Toc1077"/>
      <w:bookmarkStart w:id="6920" w:name="_Toc517529766"/>
      <w:bookmarkStart w:id="6921" w:name="_Toc1000"/>
      <w:bookmarkStart w:id="6922" w:name="_Toc14776"/>
      <w:bookmarkStart w:id="6923" w:name="_Toc517531035"/>
      <w:bookmarkStart w:id="6924" w:name="_Toc13347"/>
      <w:bookmarkStart w:id="6925" w:name="_Toc14715"/>
      <w:bookmarkStart w:id="6926" w:name="_Toc26626"/>
      <w:bookmarkStart w:id="6927" w:name="_Toc12862"/>
      <w:bookmarkStart w:id="6928" w:name="_Toc19249"/>
      <w:bookmarkStart w:id="6929" w:name="_Toc30410"/>
      <w:bookmarkStart w:id="6930" w:name="_Toc25913"/>
      <w:bookmarkStart w:id="6931" w:name="_Toc6226"/>
      <w:bookmarkStart w:id="6932" w:name="_Toc3009"/>
      <w:bookmarkStart w:id="6933" w:name="_Toc8904"/>
      <w:bookmarkStart w:id="6934" w:name="_Toc30121"/>
      <w:bookmarkStart w:id="6935" w:name="_Toc6704"/>
      <w:bookmarkStart w:id="6936" w:name="_Toc517532311"/>
      <w:r>
        <w:rPr>
          <w:rFonts w:ascii="宋体" w:hAnsi="宋体" w:cs="宋体"/>
          <w:b/>
          <w:bCs/>
          <w:color w:val="auto"/>
          <w:sz w:val="30"/>
          <w:szCs w:val="30"/>
        </w:rPr>
        <w:t>11. 价格调整</w:t>
      </w:r>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937" w:name="_Toc19023"/>
      <w:bookmarkStart w:id="6938" w:name="_Toc2215"/>
      <w:bookmarkStart w:id="6939" w:name="_Toc12496"/>
      <w:bookmarkStart w:id="6940" w:name="_Toc2053"/>
      <w:bookmarkStart w:id="6941" w:name="_Toc517532312"/>
      <w:bookmarkStart w:id="6942" w:name="_Toc10551"/>
      <w:bookmarkStart w:id="6943" w:name="_Toc8821"/>
      <w:bookmarkStart w:id="6944" w:name="_Toc21275"/>
      <w:bookmarkStart w:id="6945" w:name="_Toc16546"/>
      <w:bookmarkStart w:id="6946" w:name="_Toc517531036"/>
      <w:bookmarkStart w:id="6947" w:name="_Toc13819"/>
      <w:bookmarkStart w:id="6948" w:name="_Toc8927"/>
      <w:bookmarkStart w:id="6949" w:name="_Toc21263"/>
      <w:bookmarkStart w:id="6950" w:name="_Toc517528802"/>
      <w:bookmarkStart w:id="6951" w:name="_Toc16988"/>
      <w:bookmarkStart w:id="6952" w:name="_Toc24283"/>
      <w:bookmarkStart w:id="6953" w:name="_Toc30469"/>
      <w:bookmarkStart w:id="6954" w:name="_Toc2884"/>
      <w:r>
        <w:rPr>
          <w:rFonts w:ascii="宋体" w:hAnsi="宋体" w:cs="宋体"/>
          <w:b/>
          <w:bCs/>
          <w:color w:val="auto"/>
          <w:sz w:val="28"/>
          <w:szCs w:val="28"/>
        </w:rPr>
        <w:t>11.1市场变化引起的费用的增加或减少</w:t>
      </w:r>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p>
    <w:p>
      <w:pPr>
        <w:tabs>
          <w:tab w:val="left" w:pos="1260"/>
        </w:tabs>
        <w:snapToGrid w:val="0"/>
        <w:spacing w:before="0" w:after="120" w:line="480" w:lineRule="auto"/>
        <w:ind w:left="420" w:firstLine="210"/>
        <w:jc w:val="left"/>
        <w:rPr>
          <w:rFonts w:ascii="宋体" w:hAnsi="宋体"/>
          <w:color w:val="auto"/>
        </w:rPr>
      </w:pPr>
      <w:r>
        <w:rPr>
          <w:rFonts w:ascii="宋体" w:hAnsi="宋体"/>
          <w:color w:val="auto"/>
        </w:rPr>
        <w:t xml:space="preserve"> </w:t>
      </w:r>
      <w:r>
        <w:rPr>
          <w:color w:val="auto"/>
        </w:rPr>
        <w:object>
          <v:shape id="_x0000_i1142" o:spt="201" type="#_x0000_t201" style="height:14.3pt;width:11.9pt;" o:ole="t" filled="f" o:preferrelative="t" stroked="f" coordsize="21600,21600">
            <v:path/>
            <v:fill on="f" focussize="0,0"/>
            <v:stroke on="f" joinstyle="miter"/>
            <v:imagedata o:title=""/>
            <o:lock v:ext="edit"/>
            <w10:wrap type="none"/>
            <w10:anchorlock/>
          </v:shape>
          <w:control r:id="rId214" w:name="CheckBox119646" w:shapeid="_x0000_i1142"/>
        </w:object>
      </w:r>
      <w:r>
        <w:rPr>
          <w:rFonts w:ascii="宋体" w:hAnsi="宋体"/>
          <w:color w:val="auto"/>
        </w:rPr>
        <w:t>承包人在投标时应考虑到在招标期间及合同有效期间内，由于劳务和（或）材料价格的上涨，以及任何其他事项的价格上涨而引起工程施工成本增加的风险，合同价款不会因此而调整（政府有明文规定的外）。</w:t>
      </w:r>
    </w:p>
    <w:p>
      <w:pPr>
        <w:tabs>
          <w:tab w:val="left" w:pos="945"/>
        </w:tabs>
        <w:snapToGrid w:val="0"/>
        <w:spacing w:line="360" w:lineRule="auto"/>
        <w:ind w:firstLine="630"/>
        <w:jc w:val="left"/>
        <w:rPr>
          <w:rFonts w:ascii="宋体" w:hAnsi="宋体"/>
          <w:color w:val="auto"/>
        </w:rPr>
      </w:pPr>
      <w:r>
        <w:rPr>
          <w:color w:val="auto"/>
        </w:rPr>
        <w:object>
          <v:shape id="_x0000_i1143" o:spt="201" type="#_x0000_t201" style="height:14.3pt;width:11.9pt;" o:ole="t" filled="f" o:preferrelative="t" stroked="f" coordsize="21600,21600">
            <v:path/>
            <v:fill on="f" focussize="0,0"/>
            <v:stroke on="f" joinstyle="miter"/>
            <v:imagedata o:title=""/>
            <o:lock v:ext="edit"/>
            <w10:wrap type="none"/>
            <w10:anchorlock/>
          </v:shape>
          <w:control r:id="rId215" w:name="CheckBox1196461" w:shapeid="_x0000_i1143"/>
        </w:object>
      </w:r>
      <w:r>
        <w:rPr>
          <w:rFonts w:hint="eastAsia" w:ascii="宋体" w:hAnsi="宋体" w:cs="宋体"/>
          <w:color w:val="auto"/>
          <w:kern w:val="0"/>
          <w:sz w:val="22"/>
          <w:szCs w:val="22"/>
        </w:rPr>
        <w:sym w:font="Wingdings 2" w:char="0052"/>
      </w:r>
      <w:r>
        <w:rPr>
          <w:rFonts w:ascii="宋体" w:hAnsi="宋体"/>
          <w:color w:val="auto"/>
          <w:szCs w:val="20"/>
        </w:rPr>
        <w:t>本款适用于固定单价合同的调差。在合同履行过程中，</w:t>
      </w:r>
      <w:r>
        <w:rPr>
          <w:color w:val="auto"/>
        </w:rPr>
        <w:object>
          <v:shape id="_x0000_i1144" o:spt="201" type="#_x0000_t201" style="height:14.3pt;width:11.9pt;" o:ole="t" filled="f" o:preferrelative="t" stroked="f" coordsize="21600,21600">
            <v:path/>
            <v:fill on="f" focussize="0,0"/>
            <v:stroke on="f" joinstyle="miter"/>
            <v:imagedata o:title=""/>
            <o:lock v:ext="edit"/>
            <w10:wrap type="none"/>
            <w10:anchorlock/>
          </v:shape>
          <w:control r:id="rId216" w:name="CheckBox119648" w:shapeid="_x0000_i1144"/>
        </w:object>
      </w:r>
      <w:r>
        <w:rPr>
          <w:rFonts w:hint="eastAsia" w:ascii="宋体" w:hAnsi="宋体" w:cs="宋体"/>
          <w:color w:val="auto"/>
          <w:kern w:val="0"/>
          <w:sz w:val="22"/>
          <w:szCs w:val="22"/>
        </w:rPr>
        <w:sym w:font="Wingdings 2" w:char="0052"/>
      </w:r>
      <w:r>
        <w:rPr>
          <w:rFonts w:ascii="宋体" w:hAnsi="宋体"/>
          <w:color w:val="auto"/>
          <w:szCs w:val="20"/>
        </w:rPr>
        <w:t>人工、</w:t>
      </w:r>
      <w:r>
        <w:rPr>
          <w:color w:val="auto"/>
        </w:rPr>
        <w:object>
          <v:shape id="_x0000_i1145" o:spt="201" type="#_x0000_t201" style="height:14.3pt;width:11.9pt;" o:ole="t" filled="f" o:preferrelative="t" stroked="f" coordsize="21600,21600">
            <v:path/>
            <v:fill on="f" focussize="0,0"/>
            <v:stroke on="f" joinstyle="miter"/>
            <v:imagedata o:title=""/>
            <o:lock v:ext="edit"/>
            <w10:wrap type="none"/>
            <w10:anchorlock/>
          </v:shape>
          <w:control r:id="rId217" w:name="CheckBox119649" w:shapeid="_x0000_i1145"/>
        </w:object>
      </w:r>
      <w:r>
        <w:rPr>
          <w:rFonts w:hint="eastAsia" w:ascii="宋体" w:hAnsi="宋体" w:cs="宋体"/>
          <w:color w:val="auto"/>
          <w:kern w:val="0"/>
          <w:sz w:val="22"/>
          <w:szCs w:val="22"/>
        </w:rPr>
        <w:t>□</w:t>
      </w:r>
      <w:r>
        <w:rPr>
          <w:rFonts w:ascii="宋体" w:hAnsi="宋体"/>
          <w:color w:val="auto"/>
          <w:szCs w:val="20"/>
        </w:rPr>
        <w:t>结构用钢材、</w:t>
      </w:r>
      <w:r>
        <w:rPr>
          <w:color w:val="auto"/>
        </w:rPr>
        <w:object>
          <v:shape id="_x0000_i1146" o:spt="201" type="#_x0000_t201" style="height:14.3pt;width:11.9pt;" o:ole="t" filled="f" o:preferrelative="t" stroked="f" coordsize="21600,21600">
            <v:path/>
            <v:fill on="f" focussize="0,0"/>
            <v:stroke on="f" joinstyle="miter"/>
            <v:imagedata o:title=""/>
            <o:lock v:ext="edit"/>
            <w10:wrap type="none"/>
            <w10:anchorlock/>
          </v:shape>
          <w:control r:id="rId218" w:name="CheckBox119650" w:shapeid="_x0000_i1146"/>
        </w:object>
      </w:r>
      <w:r>
        <w:rPr>
          <w:rFonts w:hint="eastAsia" w:ascii="宋体" w:hAnsi="宋体" w:cs="宋体"/>
          <w:color w:val="auto"/>
          <w:kern w:val="0"/>
          <w:sz w:val="22"/>
          <w:szCs w:val="22"/>
        </w:rPr>
        <w:t>□</w:t>
      </w:r>
      <w:r>
        <w:rPr>
          <w:rFonts w:ascii="宋体" w:hAnsi="宋体"/>
          <w:color w:val="auto"/>
          <w:szCs w:val="20"/>
        </w:rPr>
        <w:t>混凝土、</w:t>
      </w:r>
      <w:r>
        <w:rPr>
          <w:color w:val="auto"/>
        </w:rPr>
        <w:object>
          <v:shape id="_x0000_i1147" o:spt="201" type="#_x0000_t201" style="height:14.3pt;width:11.9pt;" o:ole="t" filled="f" o:preferrelative="t" stroked="f" coordsize="21600,21600">
            <v:path/>
            <v:fill on="f" focussize="0,0"/>
            <v:stroke on="f" joinstyle="miter"/>
            <v:imagedata o:title=""/>
            <o:lock v:ext="edit"/>
            <w10:wrap type="none"/>
            <w10:anchorlock/>
          </v:shape>
          <w:control r:id="rId219" w:name="CheckBox1196501" w:shapeid="_x0000_i1147"/>
        </w:object>
      </w:r>
      <w:r>
        <w:rPr>
          <w:rFonts w:hint="eastAsia" w:ascii="宋体" w:hAnsi="宋体" w:cs="宋体"/>
          <w:color w:val="auto"/>
          <w:kern w:val="0"/>
          <w:sz w:val="22"/>
          <w:szCs w:val="22"/>
        </w:rPr>
        <w:t>□</w:t>
      </w:r>
      <w:r>
        <w:rPr>
          <w:rFonts w:ascii="宋体" w:hAnsi="宋体"/>
          <w:color w:val="auto"/>
          <w:szCs w:val="20"/>
        </w:rPr>
        <w:t>沥青混凝土、</w:t>
      </w:r>
      <w:r>
        <w:rPr>
          <w:color w:val="auto"/>
        </w:rPr>
        <w:object>
          <v:shape id="_x0000_i1148" o:spt="201" type="#_x0000_t201" style="height:14.3pt;width:11.9pt;" o:ole="t" filled="f" o:preferrelative="t" stroked="f" coordsize="21600,21600">
            <v:path/>
            <v:fill on="f" focussize="0,0"/>
            <v:stroke on="f" joinstyle="miter"/>
            <v:imagedata o:title=""/>
            <o:lock v:ext="edit"/>
            <w10:wrap type="none"/>
            <w10:anchorlock/>
          </v:shape>
          <w:control r:id="rId220" w:name="CheckBox119651" w:shapeid="_x0000_i1148"/>
        </w:object>
      </w:r>
      <w:r>
        <w:rPr>
          <w:rFonts w:hint="eastAsia" w:ascii="宋体" w:hAnsi="宋体" w:cs="宋体"/>
          <w:color w:val="auto"/>
          <w:kern w:val="0"/>
          <w:sz w:val="22"/>
          <w:szCs w:val="22"/>
        </w:rPr>
        <w:t>□</w:t>
      </w:r>
      <w:r>
        <w:rPr>
          <w:rFonts w:ascii="宋体" w:hAnsi="宋体"/>
          <w:color w:val="auto"/>
          <w:szCs w:val="20"/>
        </w:rPr>
        <w:t>电</w:t>
      </w:r>
      <w:r>
        <w:rPr>
          <w:rFonts w:ascii="宋体" w:hAnsi="宋体"/>
          <w:color w:val="auto"/>
        </w:rPr>
        <w:t>缆、</w:t>
      </w:r>
      <w:r>
        <w:rPr>
          <w:color w:val="auto"/>
        </w:rPr>
        <w:object>
          <v:shape id="_x0000_i1149" o:spt="201" type="#_x0000_t201" style="height:14.3pt;width:11.9pt;" o:ole="t" filled="f" o:preferrelative="t" stroked="f" coordsize="21600,21600">
            <v:path/>
            <v:fill on="f" focussize="0,0"/>
            <v:stroke on="f" joinstyle="miter"/>
            <v:imagedata o:title=""/>
            <o:lock v:ext="edit"/>
            <w10:wrap type="none"/>
            <w10:anchorlock/>
          </v:shape>
          <w:control r:id="rId221" w:name="CheckBox119652" w:shapeid="_x0000_i1149"/>
        </w:object>
      </w:r>
      <w:r>
        <w:rPr>
          <w:rFonts w:hint="eastAsia" w:ascii="宋体" w:hAnsi="宋体" w:cs="宋体"/>
          <w:color w:val="auto"/>
          <w:kern w:val="0"/>
          <w:sz w:val="22"/>
          <w:szCs w:val="22"/>
        </w:rPr>
        <w:t>□</w:t>
      </w:r>
      <w:r>
        <w:rPr>
          <w:rFonts w:ascii="宋体" w:hAnsi="宋体"/>
          <w:color w:val="auto"/>
        </w:rPr>
        <w:t>预拌砂浆、</w:t>
      </w:r>
      <w:r>
        <w:rPr>
          <w:color w:val="auto"/>
        </w:rPr>
        <w:object>
          <v:shape id="_x0000_i1150" o:spt="201" type="#_x0000_t201" style="height:14.3pt;width:11.9pt;" o:ole="t" filled="f" o:preferrelative="t" stroked="f" coordsize="21600,21600">
            <v:path/>
            <v:fill on="f" focussize="0,0"/>
            <v:stroke on="f" joinstyle="miter"/>
            <v:imagedata o:title=""/>
            <o:lock v:ext="edit"/>
            <w10:wrap type="none"/>
            <w10:anchorlock/>
          </v:shape>
          <w:control r:id="rId222" w:name="CheckBox119653" w:shapeid="_x0000_i1150"/>
        </w:object>
      </w:r>
      <w:r>
        <w:rPr>
          <w:rFonts w:hint="eastAsia" w:ascii="宋体" w:hAnsi="宋体" w:cs="宋体"/>
          <w:color w:val="auto"/>
          <w:kern w:val="0"/>
          <w:sz w:val="22"/>
          <w:szCs w:val="22"/>
        </w:rPr>
        <w:t>□</w:t>
      </w:r>
      <w:r>
        <w:rPr>
          <w:rFonts w:ascii="宋体" w:hAnsi="宋体"/>
          <w:color w:val="auto"/>
        </w:rPr>
        <w:t>柴油、</w:t>
      </w:r>
      <w:bookmarkStart w:id="6955" w:name="_1636186720"/>
      <w:bookmarkEnd w:id="6955"/>
      <w:r>
        <w:rPr>
          <w:color w:val="auto"/>
        </w:rPr>
        <w:object>
          <v:shape id="_x0000_i1151" o:spt="201" type="#_x0000_t201" style="height:14.3pt;width:11.9pt;" o:ole="t" filled="f" o:preferrelative="t" stroked="f" coordsize="21600,21600">
            <v:path/>
            <v:fill on="f" focussize="0,0"/>
            <v:stroke on="f" joinstyle="miter"/>
            <v:imagedata o:title=""/>
            <o:lock v:ext="edit"/>
            <w10:wrap type="none"/>
            <w10:anchorlock/>
          </v:shape>
          <w:control r:id="rId223" w:name="CheckBox119654" w:shapeid="_x0000_i1151"/>
        </w:object>
      </w:r>
      <w:r>
        <w:rPr>
          <w:rFonts w:hint="eastAsia" w:ascii="宋体" w:hAnsi="宋体" w:cs="宋体"/>
          <w:color w:val="auto"/>
          <w:kern w:val="0"/>
          <w:sz w:val="22"/>
          <w:szCs w:val="22"/>
        </w:rPr>
        <w:t>□</w:t>
      </w:r>
      <w:r>
        <w:rPr>
          <w:rFonts w:ascii="宋体" w:hAnsi="宋体"/>
          <w:color w:val="auto"/>
        </w:rPr>
        <w:t>汽油、</w:t>
      </w:r>
      <w:r>
        <w:rPr>
          <w:color w:val="auto"/>
        </w:rPr>
        <w:object>
          <v:shape id="_x0000_i1152" o:spt="201" type="#_x0000_t201" style="height:14.3pt;width:11.9pt;" o:ole="t" filled="f" o:preferrelative="t" stroked="f" coordsize="21600,21600">
            <v:path/>
            <v:fill on="f" focussize="0,0"/>
            <v:stroke on="f" joinstyle="miter"/>
            <v:imagedata o:title=""/>
            <o:lock v:ext="edit"/>
            <w10:wrap type="none"/>
            <w10:anchorlock/>
          </v:shape>
          <w:control r:id="rId224" w:name="CheckBox1196541" w:shapeid="_x0000_i1152"/>
        </w:object>
      </w:r>
      <w:r>
        <w:rPr>
          <w:rFonts w:hint="eastAsia" w:ascii="宋体" w:hAnsi="宋体" w:cs="宋体"/>
          <w:color w:val="auto"/>
          <w:kern w:val="0"/>
          <w:sz w:val="22"/>
          <w:szCs w:val="22"/>
        </w:rPr>
        <w:t>□</w:t>
      </w:r>
      <w:r>
        <w:rPr>
          <w:rFonts w:ascii="宋体" w:hAnsi="宋体"/>
          <w:color w:val="auto"/>
        </w:rPr>
        <w:t>砌块【含有大型土石方招标时，柴油、汽油调差】价格比截标期信息价格（详见调整公式）涨落超过</w:t>
      </w:r>
      <w:r>
        <w:rPr>
          <w:rFonts w:ascii="宋体" w:hAnsi="宋体"/>
          <w:b/>
          <w:color w:val="auto"/>
          <w:u w:val="single"/>
        </w:rPr>
        <w:t>±5%</w:t>
      </w:r>
      <w:r>
        <w:rPr>
          <w:rFonts w:ascii="宋体" w:hAnsi="宋体"/>
          <w:color w:val="auto"/>
        </w:rPr>
        <w:t>（不含本数）时，其超过部分的人工、材料价格可给予调整。采用施工期信息价或通过市场询价定价的材料，以及措施费中包含的人工、材料，不再进行调差，不适用本款。</w:t>
      </w:r>
    </w:p>
    <w:p>
      <w:pPr>
        <w:tabs>
          <w:tab w:val="left" w:pos="945"/>
        </w:tabs>
        <w:snapToGrid w:val="0"/>
        <w:spacing w:line="360" w:lineRule="auto"/>
        <w:ind w:firstLine="420"/>
        <w:jc w:val="left"/>
        <w:rPr>
          <w:rFonts w:ascii="宋体" w:hAnsi="宋体" w:cs="宋体"/>
          <w:color w:val="auto"/>
          <w:szCs w:val="21"/>
        </w:rPr>
      </w:pPr>
      <w:r>
        <w:rPr>
          <w:rFonts w:ascii="宋体" w:hAnsi="宋体"/>
          <w:color w:val="auto"/>
        </w:rPr>
        <w:t>上述人工、材料的调整在与其相关的工程完工后一次性进行，调差比例以施工期内人工、材料加权变动幅度进行计算。调整的金额经确认后，可在随后及时进行支付。例如：房屋建筑总承包工程在主体结构封顶之后，与钢材、混凝土有关的工程就全部完成，之后不再有工程需要使用钢材、混凝土时，就可进行本合同钢材、混凝土的价格调整并办理支付手续；其他人工、材料的价格调整参照上述方法进行。具体调差公式为：</w:t>
      </w:r>
      <w:r>
        <w:rPr>
          <w:rFonts w:ascii="宋体" w:hAnsi="宋体" w:cs="宋体"/>
          <w:b/>
          <w:bCs/>
          <w:color w:val="auto"/>
          <w:sz w:val="28"/>
          <w:szCs w:val="28"/>
        </w:rPr>
        <w:t xml:space="preserve"> </w:t>
      </w:r>
    </w:p>
    <w:p>
      <w:pPr>
        <w:keepNext/>
        <w:keepLines/>
        <w:numPr>
          <w:ilvl w:val="0"/>
          <w:numId w:val="16"/>
        </w:numPr>
        <w:spacing w:before="156" w:after="156" w:line="360" w:lineRule="auto"/>
        <w:ind w:firstLine="728"/>
        <w:outlineLvl w:val="3"/>
        <w:rPr>
          <w:rFonts w:ascii="宋体" w:hAnsi="宋体" w:cs="宋体"/>
          <w:b/>
          <w:bCs/>
          <w:color w:val="auto"/>
          <w:sz w:val="24"/>
          <w:szCs w:val="24"/>
        </w:rPr>
      </w:pPr>
      <w:bookmarkStart w:id="6956" w:name="_Toc2803"/>
      <w:bookmarkStart w:id="6957" w:name="_Toc11852"/>
      <w:bookmarkStart w:id="6958" w:name="_Toc26855"/>
      <w:bookmarkStart w:id="6959" w:name="_Toc30781"/>
      <w:bookmarkStart w:id="6960" w:name="_Toc25982"/>
      <w:bookmarkStart w:id="6961" w:name="_Toc517531037"/>
      <w:bookmarkStart w:id="6962" w:name="_Toc517532313"/>
      <w:bookmarkStart w:id="6963" w:name="_Toc9598"/>
      <w:bookmarkStart w:id="6964" w:name="_Toc11096"/>
      <w:r>
        <w:rPr>
          <w:rFonts w:ascii="宋体" w:hAnsi="宋体" w:cs="宋体"/>
          <w:b/>
          <w:bCs/>
          <w:color w:val="auto"/>
          <w:sz w:val="24"/>
          <w:szCs w:val="24"/>
        </w:rPr>
        <w:t>11.1.1材料调差方法</w:t>
      </w:r>
      <w:bookmarkEnd w:id="6956"/>
      <w:bookmarkEnd w:id="6957"/>
      <w:bookmarkEnd w:id="6958"/>
      <w:bookmarkEnd w:id="6959"/>
      <w:bookmarkEnd w:id="6960"/>
      <w:bookmarkEnd w:id="6961"/>
      <w:bookmarkEnd w:id="6962"/>
      <w:bookmarkEnd w:id="6963"/>
      <w:bookmarkEnd w:id="6964"/>
    </w:p>
    <w:p>
      <w:pPr>
        <w:tabs>
          <w:tab w:val="left" w:pos="1620"/>
          <w:tab w:val="left" w:pos="2340"/>
        </w:tabs>
        <w:snapToGrid w:val="0"/>
        <w:spacing w:line="360" w:lineRule="auto"/>
        <w:ind w:firstLine="1050"/>
        <w:rPr>
          <w:rFonts w:ascii="宋体" w:hAnsi="宋体"/>
          <w:color w:val="auto"/>
        </w:rPr>
      </w:pPr>
      <w:r>
        <w:rPr>
          <w:rFonts w:ascii="宋体" w:hAnsi="宋体"/>
          <w:color w:val="auto"/>
        </w:rPr>
        <w:t>当</w:t>
      </w:r>
      <w:r>
        <w:rPr>
          <w:rFonts w:ascii="Symbol" w:hAnsi="Symbol" w:eastAsia="Symbol" w:cs="Symbol"/>
          <w:i/>
          <w:color w:val="auto"/>
          <w:sz w:val="24"/>
        </w:rPr>
        <w:t></w:t>
      </w:r>
      <w:r>
        <w:rPr>
          <w:rFonts w:ascii="Cambria" w:hAnsi="Cambria"/>
          <w:i/>
          <w:color w:val="auto"/>
          <w:sz w:val="24"/>
        </w:rPr>
        <w:t>P</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宋体" w:hAnsi="宋体"/>
          <w:color w:val="auto"/>
        </w:rPr>
        <w:t>时：</w:t>
      </w:r>
    </w:p>
    <w:p>
      <w:pPr>
        <w:tabs>
          <w:tab w:val="left" w:pos="1620"/>
          <w:tab w:val="left" w:pos="2340"/>
        </w:tabs>
        <w:snapToGrid w:val="0"/>
        <w:spacing w:line="360" w:lineRule="auto"/>
        <w:ind w:firstLine="1200"/>
        <w:rPr>
          <w:rFonts w:ascii="宋体" w:hAnsi="宋体"/>
          <w:color w:val="auto"/>
        </w:rPr>
      </w:pPr>
      <w:r>
        <w:rPr>
          <w:rFonts w:ascii="Cambria" w:hAnsi="Cambria"/>
          <w:color w:val="auto"/>
          <w:sz w:val="24"/>
        </w:rPr>
        <w:t>①</w:t>
      </w:r>
      <w:r>
        <w:rPr>
          <w:rFonts w:ascii="Cambria" w:hAnsi="Cambria"/>
          <w:i/>
          <w:color w:val="auto"/>
          <w:sz w:val="24"/>
        </w:rPr>
        <w:t>P</w:t>
      </w:r>
      <w:r>
        <w:rPr>
          <w:rFonts w:ascii="Cambria" w:hAnsi="Cambria"/>
          <w:i/>
          <w:color w:val="auto"/>
          <w:sz w:val="24"/>
          <w:vertAlign w:val="subscript"/>
        </w:rPr>
        <w:t>t</w:t>
      </w:r>
      <w:r>
        <w:rPr>
          <w:rFonts w:ascii="Cambria" w:hAnsi="Cambria"/>
          <w:i/>
          <w:color w:val="auto"/>
          <w:sz w:val="24"/>
        </w:rPr>
        <w:t>＜P</w:t>
      </w:r>
      <w:r>
        <w:rPr>
          <w:rFonts w:ascii="Cambria" w:hAnsi="Cambria"/>
          <w:i/>
          <w:color w:val="auto"/>
          <w:sz w:val="24"/>
          <w:vertAlign w:val="subscript"/>
        </w:rPr>
        <w:t>0</w:t>
      </w:r>
      <w:r>
        <w:rPr>
          <w:rFonts w:ascii="Cambria" w:hAnsi="Cambria"/>
          <w:i/>
          <w:color w:val="auto"/>
          <w:sz w:val="24"/>
        </w:rPr>
        <w:t>，</w:t>
      </w:r>
      <w:r>
        <w:rPr>
          <w:rFonts w:ascii="宋体" w:hAnsi="宋体"/>
          <w:color w:val="auto"/>
        </w:rPr>
        <w:t>且</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宋体" w:hAnsi="宋体"/>
          <w:color w:val="auto"/>
          <w:sz w:val="24"/>
        </w:rPr>
        <w:t>＞1.05</w:t>
      </w:r>
      <w:r>
        <w:rPr>
          <w:rFonts w:ascii="宋体" w:hAnsi="宋体"/>
          <w:color w:val="auto"/>
        </w:rPr>
        <w:t>，则：</w:t>
      </w:r>
    </w:p>
    <w:p>
      <w:pPr>
        <w:tabs>
          <w:tab w:val="left" w:pos="1620"/>
          <w:tab w:val="left" w:pos="2340"/>
        </w:tabs>
        <w:snapToGrid w:val="0"/>
        <w:spacing w:line="360" w:lineRule="auto"/>
        <w:ind w:firstLine="1200"/>
        <w:rPr>
          <w:rFonts w:ascii="宋体" w:hAnsi="宋体"/>
          <w:color w:val="auto"/>
          <w:sz w:val="24"/>
        </w:rPr>
      </w:pPr>
      <w:r>
        <w:rPr>
          <w:rFonts w:ascii="宋体" w:hAnsi="宋体"/>
          <w:color w:val="auto"/>
          <w:sz w:val="24"/>
        </w:rPr>
        <w:t>C</w:t>
      </w:r>
      <w:r>
        <w:rPr>
          <w:rFonts w:ascii="宋体" w:hAnsi="宋体"/>
          <w:color w:val="auto"/>
          <w:sz w:val="24"/>
          <w:vertAlign w:val="subscript"/>
        </w:rPr>
        <w:t>增</w:t>
      </w:r>
      <w:r>
        <w:rPr>
          <w:rFonts w:ascii="宋体" w:hAnsi="宋体"/>
          <w:color w:val="auto"/>
          <w:sz w:val="24"/>
        </w:rPr>
        <w:t>=</w:t>
      </w:r>
      <w:r>
        <w:rPr>
          <w:rFonts w:ascii="Cambria" w:hAnsi="Cambria"/>
          <w:i/>
          <w:color w:val="auto"/>
          <w:sz w:val="24"/>
        </w:rPr>
        <w:t>Q</w:t>
      </w:r>
      <w:r>
        <w:rPr>
          <w:rFonts w:ascii="宋体" w:hAnsi="宋体"/>
          <w:color w:val="auto"/>
          <w:sz w:val="24"/>
          <w:vertAlign w:val="subscript"/>
        </w:rPr>
        <w:t>总</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宋体" w:hAnsi="宋体"/>
          <w:color w:val="auto"/>
          <w:sz w:val="24"/>
        </w:rPr>
        <w:t>－1.05)</w:t>
      </w:r>
    </w:p>
    <w:p>
      <w:pPr>
        <w:tabs>
          <w:tab w:val="left" w:pos="1620"/>
          <w:tab w:val="left" w:pos="2340"/>
        </w:tabs>
        <w:snapToGrid w:val="0"/>
        <w:spacing w:line="360" w:lineRule="auto"/>
        <w:ind w:firstLine="1200"/>
        <w:rPr>
          <w:rFonts w:ascii="宋体" w:hAnsi="宋体"/>
          <w:color w:val="auto"/>
        </w:rPr>
      </w:pPr>
      <w:r>
        <w:rPr>
          <w:rFonts w:ascii="Cambria" w:hAnsi="Cambria"/>
          <w:color w:val="auto"/>
          <w:sz w:val="24"/>
        </w:rPr>
        <w:t>②</w:t>
      </w:r>
      <w:r>
        <w:rPr>
          <w:rFonts w:ascii="Cambria" w:hAnsi="Cambria"/>
          <w:i/>
          <w:color w:val="auto"/>
          <w:sz w:val="24"/>
        </w:rPr>
        <w:t>P</w:t>
      </w:r>
      <w:r>
        <w:rPr>
          <w:rFonts w:ascii="Cambria" w:hAnsi="Cambria"/>
          <w:i/>
          <w:color w:val="auto"/>
          <w:sz w:val="24"/>
          <w:vertAlign w:val="subscript"/>
        </w:rPr>
        <w:t>t</w:t>
      </w:r>
      <w:r>
        <w:rPr>
          <w:rFonts w:ascii="Cambria" w:hAnsi="Cambria"/>
          <w:i/>
          <w:color w:val="auto"/>
          <w:sz w:val="24"/>
        </w:rPr>
        <w:t>≥P</w:t>
      </w:r>
      <w:r>
        <w:rPr>
          <w:rFonts w:ascii="Cambria" w:hAnsi="Cambria"/>
          <w:i/>
          <w:color w:val="auto"/>
          <w:sz w:val="24"/>
          <w:vertAlign w:val="subscript"/>
        </w:rPr>
        <w:t>0</w:t>
      </w:r>
      <w:r>
        <w:rPr>
          <w:rFonts w:ascii="宋体" w:hAnsi="宋体"/>
          <w:color w:val="auto"/>
        </w:rPr>
        <w:t>，且</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＞1.05</w:t>
      </w:r>
      <w:r>
        <w:rPr>
          <w:rFonts w:ascii="宋体" w:hAnsi="宋体"/>
          <w:color w:val="auto"/>
        </w:rPr>
        <w:t>，则：</w:t>
      </w:r>
    </w:p>
    <w:p>
      <w:pPr>
        <w:tabs>
          <w:tab w:val="left" w:pos="1620"/>
          <w:tab w:val="left" w:pos="2340"/>
        </w:tabs>
        <w:snapToGrid w:val="0"/>
        <w:spacing w:line="360" w:lineRule="auto"/>
        <w:ind w:firstLine="1200"/>
        <w:rPr>
          <w:rFonts w:ascii="宋体" w:hAnsi="宋体"/>
          <w:color w:val="auto"/>
          <w:sz w:val="24"/>
        </w:rPr>
      </w:pPr>
      <w:r>
        <w:rPr>
          <w:rFonts w:ascii="宋体" w:hAnsi="宋体"/>
          <w:color w:val="auto"/>
          <w:sz w:val="24"/>
        </w:rPr>
        <w:t>C</w:t>
      </w:r>
      <w:r>
        <w:rPr>
          <w:rFonts w:ascii="宋体" w:hAnsi="宋体"/>
          <w:color w:val="auto"/>
          <w:sz w:val="24"/>
          <w:vertAlign w:val="subscript"/>
        </w:rPr>
        <w:t>增</w:t>
      </w:r>
      <w:r>
        <w:rPr>
          <w:rFonts w:ascii="宋体" w:hAnsi="宋体"/>
          <w:color w:val="auto"/>
          <w:sz w:val="24"/>
        </w:rPr>
        <w:t>=Q</w:t>
      </w:r>
      <w:r>
        <w:rPr>
          <w:rFonts w:ascii="宋体" w:hAnsi="宋体"/>
          <w:color w:val="auto"/>
          <w:sz w:val="24"/>
          <w:vertAlign w:val="subscript"/>
        </w:rPr>
        <w:t>总</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－1.05)</w:t>
      </w:r>
    </w:p>
    <w:p>
      <w:pPr>
        <w:tabs>
          <w:tab w:val="left" w:pos="1620"/>
          <w:tab w:val="left" w:pos="2340"/>
        </w:tabs>
        <w:snapToGrid w:val="0"/>
        <w:spacing w:before="156" w:after="0" w:line="360" w:lineRule="auto"/>
        <w:ind w:firstLine="1050"/>
        <w:rPr>
          <w:rFonts w:ascii="宋体" w:hAnsi="宋体"/>
          <w:color w:val="auto"/>
        </w:rPr>
      </w:pPr>
      <w:r>
        <w:rPr>
          <w:rFonts w:ascii="宋体" w:hAnsi="宋体"/>
          <w:color w:val="auto"/>
        </w:rPr>
        <w:t>当</w:t>
      </w:r>
      <w:r>
        <w:rPr>
          <w:rFonts w:ascii="Symbol" w:hAnsi="Symbol" w:eastAsia="Symbol" w:cs="Symbol"/>
          <w:i/>
          <w:color w:val="auto"/>
          <w:sz w:val="24"/>
        </w:rPr>
        <w:t></w:t>
      </w:r>
      <w:r>
        <w:rPr>
          <w:rFonts w:ascii="Cambria" w:hAnsi="Cambria"/>
          <w:i/>
          <w:color w:val="auto"/>
          <w:sz w:val="24"/>
        </w:rPr>
        <w:t>P＜P</w:t>
      </w:r>
      <w:r>
        <w:rPr>
          <w:rFonts w:ascii="Cambria" w:hAnsi="Cambria"/>
          <w:i/>
          <w:color w:val="auto"/>
          <w:sz w:val="24"/>
          <w:vertAlign w:val="subscript"/>
        </w:rPr>
        <w:t>0</w:t>
      </w:r>
      <w:r>
        <w:rPr>
          <w:rFonts w:ascii="宋体" w:hAnsi="宋体"/>
          <w:color w:val="auto"/>
        </w:rPr>
        <w:t>时：</w:t>
      </w:r>
    </w:p>
    <w:p>
      <w:pPr>
        <w:tabs>
          <w:tab w:val="left" w:pos="1620"/>
          <w:tab w:val="left" w:pos="2340"/>
        </w:tabs>
        <w:snapToGrid w:val="0"/>
        <w:spacing w:line="360" w:lineRule="auto"/>
        <w:ind w:firstLine="1200"/>
        <w:rPr>
          <w:rFonts w:ascii="宋体" w:hAnsi="宋体"/>
          <w:color w:val="auto"/>
        </w:rPr>
      </w:pPr>
      <w:r>
        <w:rPr>
          <w:rFonts w:ascii="Cambria" w:hAnsi="Cambria"/>
          <w:color w:val="auto"/>
          <w:sz w:val="24"/>
        </w:rPr>
        <w:t>①</w:t>
      </w:r>
      <w:r>
        <w:rPr>
          <w:rFonts w:ascii="Cambria" w:hAnsi="Cambria"/>
          <w:i/>
          <w:color w:val="auto"/>
          <w:sz w:val="24"/>
        </w:rPr>
        <w:t>P</w:t>
      </w:r>
      <w:r>
        <w:rPr>
          <w:rFonts w:ascii="Cambria" w:hAnsi="Cambria"/>
          <w:i/>
          <w:color w:val="auto"/>
          <w:sz w:val="24"/>
          <w:vertAlign w:val="subscript"/>
        </w:rPr>
        <w:t>t</w:t>
      </w:r>
      <w:r>
        <w:rPr>
          <w:rFonts w:ascii="Cambria" w:hAnsi="Cambria"/>
          <w:i/>
          <w:color w:val="auto"/>
          <w:sz w:val="24"/>
        </w:rPr>
        <w:t>＜P</w:t>
      </w:r>
      <w:r>
        <w:rPr>
          <w:rFonts w:ascii="Cambria" w:hAnsi="Cambria"/>
          <w:i/>
          <w:color w:val="auto"/>
          <w:sz w:val="24"/>
          <w:vertAlign w:val="subscript"/>
        </w:rPr>
        <w:t>0</w:t>
      </w:r>
      <w:r>
        <w:rPr>
          <w:rFonts w:ascii="宋体" w:hAnsi="宋体"/>
          <w:color w:val="auto"/>
        </w:rPr>
        <w:t>，且</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Cambria" w:hAnsi="Cambria"/>
          <w:color w:val="auto"/>
          <w:sz w:val="24"/>
        </w:rPr>
        <w:t>＜</w:t>
      </w:r>
      <w:r>
        <w:rPr>
          <w:rFonts w:ascii="宋体" w:hAnsi="宋体"/>
          <w:color w:val="auto"/>
          <w:sz w:val="24"/>
        </w:rPr>
        <w:t>0.95</w:t>
      </w:r>
      <w:r>
        <w:rPr>
          <w:rFonts w:ascii="宋体" w:hAnsi="宋体"/>
          <w:color w:val="auto"/>
        </w:rPr>
        <w:t>，则：</w:t>
      </w:r>
    </w:p>
    <w:p>
      <w:pPr>
        <w:tabs>
          <w:tab w:val="left" w:pos="1620"/>
          <w:tab w:val="left" w:pos="2340"/>
        </w:tabs>
        <w:snapToGrid w:val="0"/>
        <w:spacing w:line="360" w:lineRule="auto"/>
        <w:ind w:firstLine="1200"/>
        <w:rPr>
          <w:rFonts w:ascii="宋体" w:hAnsi="宋体"/>
          <w:color w:val="auto"/>
          <w:sz w:val="24"/>
        </w:rPr>
      </w:pPr>
      <w:r>
        <w:rPr>
          <w:rFonts w:ascii="宋体" w:hAnsi="宋体"/>
          <w:color w:val="auto"/>
          <w:sz w:val="24"/>
        </w:rPr>
        <w:t>C</w:t>
      </w:r>
      <w:r>
        <w:rPr>
          <w:rFonts w:ascii="宋体" w:hAnsi="宋体"/>
          <w:color w:val="auto"/>
          <w:sz w:val="24"/>
          <w:vertAlign w:val="subscript"/>
        </w:rPr>
        <w:t>减</w:t>
      </w:r>
      <w:r>
        <w:rPr>
          <w:rFonts w:ascii="宋体" w:hAnsi="宋体"/>
          <w:color w:val="auto"/>
          <w:sz w:val="24"/>
        </w:rPr>
        <w:t>=</w:t>
      </w:r>
      <w:r>
        <w:rPr>
          <w:rFonts w:ascii="Cambria" w:hAnsi="Cambria"/>
          <w:i/>
          <w:color w:val="auto"/>
          <w:sz w:val="24"/>
        </w:rPr>
        <w:t>Q</w:t>
      </w:r>
      <w:r>
        <w:rPr>
          <w:rFonts w:ascii="宋体" w:hAnsi="宋体"/>
          <w:color w:val="auto"/>
          <w:sz w:val="24"/>
          <w:vertAlign w:val="subscript"/>
        </w:rPr>
        <w:t>总</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×(0.95－</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w:t>
      </w:r>
    </w:p>
    <w:p>
      <w:pPr>
        <w:tabs>
          <w:tab w:val="left" w:pos="1620"/>
          <w:tab w:val="left" w:pos="2340"/>
        </w:tabs>
        <w:snapToGrid w:val="0"/>
        <w:spacing w:line="360" w:lineRule="auto"/>
        <w:ind w:firstLine="1200"/>
        <w:rPr>
          <w:rFonts w:ascii="宋体" w:hAnsi="宋体"/>
          <w:color w:val="auto"/>
        </w:rPr>
      </w:pPr>
      <w:r>
        <w:rPr>
          <w:rFonts w:ascii="Cambria" w:hAnsi="Cambria"/>
          <w:color w:val="auto"/>
          <w:sz w:val="24"/>
        </w:rPr>
        <w:t>②</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宋体" w:hAnsi="宋体"/>
          <w:color w:val="auto"/>
        </w:rPr>
        <w:t>，且</w:t>
      </w:r>
      <w:r>
        <w:rPr>
          <w:rFonts w:ascii="Symbol" w:hAnsi="Symbol" w:eastAsia="Symbol" w:cs="Symbol"/>
          <w:i/>
          <w:color w:val="auto"/>
          <w:sz w:val="24"/>
        </w:rPr>
        <w:t></w:t>
      </w:r>
      <w:r>
        <w:rPr>
          <w:rFonts w:ascii="Cambria" w:hAnsi="Cambria"/>
          <w:i/>
          <w:color w:val="auto"/>
          <w:sz w:val="24"/>
        </w:rPr>
        <w:t>P</w:t>
      </w:r>
      <w:r>
        <w:rPr>
          <w:color w:val="auto"/>
        </w:rPr>
        <w:t xml:space="preserve">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Cambria" w:hAnsi="Cambria"/>
          <w:color w:val="auto"/>
          <w:sz w:val="24"/>
        </w:rPr>
        <w:t>＜</w:t>
      </w:r>
      <w:r>
        <w:rPr>
          <w:rFonts w:ascii="宋体" w:hAnsi="宋体"/>
          <w:color w:val="auto"/>
          <w:sz w:val="24"/>
        </w:rPr>
        <w:t>0.95</w:t>
      </w:r>
      <w:r>
        <w:rPr>
          <w:rFonts w:ascii="宋体" w:hAnsi="宋体"/>
          <w:color w:val="auto"/>
        </w:rPr>
        <w:t>，则：</w:t>
      </w:r>
    </w:p>
    <w:p>
      <w:pPr>
        <w:tabs>
          <w:tab w:val="left" w:pos="1620"/>
          <w:tab w:val="left" w:pos="2340"/>
        </w:tabs>
        <w:snapToGrid w:val="0"/>
        <w:spacing w:line="360" w:lineRule="auto"/>
        <w:ind w:firstLine="1200"/>
        <w:rPr>
          <w:rFonts w:ascii="宋体" w:hAnsi="宋体"/>
          <w:color w:val="auto"/>
          <w:sz w:val="24"/>
        </w:rPr>
      </w:pPr>
      <w:r>
        <w:rPr>
          <w:rFonts w:ascii="宋体" w:hAnsi="宋体"/>
          <w:color w:val="auto"/>
          <w:sz w:val="24"/>
        </w:rPr>
        <w:t>C</w:t>
      </w:r>
      <w:r>
        <w:rPr>
          <w:rFonts w:ascii="宋体" w:hAnsi="宋体"/>
          <w:color w:val="auto"/>
          <w:sz w:val="24"/>
          <w:vertAlign w:val="subscript"/>
        </w:rPr>
        <w:t>减</w:t>
      </w:r>
      <w:r>
        <w:rPr>
          <w:rFonts w:ascii="宋体" w:hAnsi="宋体"/>
          <w:color w:val="auto"/>
          <w:sz w:val="24"/>
        </w:rPr>
        <w:t>=</w:t>
      </w:r>
      <w:r>
        <w:rPr>
          <w:rFonts w:ascii="Cambria" w:hAnsi="Cambria"/>
          <w:i/>
          <w:color w:val="auto"/>
          <w:sz w:val="24"/>
        </w:rPr>
        <w:t>Q</w:t>
      </w:r>
      <w:r>
        <w:rPr>
          <w:rFonts w:ascii="宋体" w:hAnsi="宋体"/>
          <w:color w:val="auto"/>
          <w:sz w:val="24"/>
          <w:vertAlign w:val="subscript"/>
        </w:rPr>
        <w:t>总</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t</w:t>
      </w:r>
      <w:r>
        <w:rPr>
          <w:rFonts w:ascii="宋体" w:hAnsi="宋体"/>
          <w:color w:val="auto"/>
          <w:sz w:val="24"/>
        </w:rPr>
        <w:t>×(0.95－</w:t>
      </w:r>
      <w:r>
        <w:rPr>
          <w:rFonts w:ascii="Symbol" w:hAnsi="Symbol" w:eastAsia="Symbol" w:cs="Symbol"/>
          <w:i/>
          <w:color w:val="auto"/>
          <w:sz w:val="24"/>
        </w:rPr>
        <w:t></w:t>
      </w:r>
      <w:r>
        <w:rPr>
          <w:rFonts w:ascii="Cambria" w:hAnsi="Cambria"/>
          <w:i/>
          <w:color w:val="auto"/>
          <w:sz w:val="24"/>
        </w:rPr>
        <w:t xml:space="preserve">P </w:t>
      </w:r>
      <w:r>
        <w:rPr>
          <w:rFonts w:ascii="宋体" w:hAnsi="宋体"/>
          <w:color w:val="auto"/>
          <w:sz w:val="24"/>
        </w:rPr>
        <w:t>/</w:t>
      </w:r>
      <w:r>
        <w:rPr>
          <w:rFonts w:ascii="Cambria" w:hAnsi="Cambria"/>
          <w:i/>
          <w:color w:val="auto"/>
          <w:sz w:val="24"/>
        </w:rPr>
        <w:t>P</w:t>
      </w:r>
      <w:r>
        <w:rPr>
          <w:rFonts w:ascii="Cambria" w:hAnsi="Cambria"/>
          <w:i/>
          <w:color w:val="auto"/>
          <w:sz w:val="24"/>
          <w:vertAlign w:val="subscript"/>
        </w:rPr>
        <w:t>0</w:t>
      </w:r>
      <w:r>
        <w:rPr>
          <w:rFonts w:ascii="宋体" w:hAnsi="宋体"/>
          <w:color w:val="auto"/>
          <w:sz w:val="24"/>
        </w:rPr>
        <w:t>)</w:t>
      </w:r>
    </w:p>
    <w:p>
      <w:pPr>
        <w:tabs>
          <w:tab w:val="left" w:pos="1620"/>
          <w:tab w:val="left" w:pos="2340"/>
        </w:tabs>
        <w:spacing w:before="156" w:after="0" w:line="360" w:lineRule="auto"/>
        <w:ind w:left="1260" w:firstLine="0"/>
        <w:rPr>
          <w:rFonts w:ascii="宋体" w:hAnsi="宋体"/>
          <w:color w:val="auto"/>
        </w:rPr>
      </w:pPr>
      <w:r>
        <w:rPr>
          <w:rFonts w:ascii="宋体" w:hAnsi="宋体"/>
          <w:color w:val="auto"/>
        </w:rPr>
        <w:t>式中：</w:t>
      </w:r>
    </w:p>
    <w:p>
      <w:pPr>
        <w:tabs>
          <w:tab w:val="left" w:pos="1620"/>
          <w:tab w:val="left" w:pos="2340"/>
        </w:tabs>
        <w:snapToGrid w:val="0"/>
        <w:spacing w:line="360" w:lineRule="auto"/>
        <w:ind w:left="1440" w:firstLine="0"/>
        <w:rPr>
          <w:rFonts w:ascii="宋体" w:hAnsi="宋体"/>
          <w:color w:val="auto"/>
        </w:rPr>
      </w:pPr>
      <w:r>
        <w:rPr>
          <w:rFonts w:ascii="宋体" w:hAnsi="宋体"/>
          <w:color w:val="auto"/>
          <w:sz w:val="24"/>
        </w:rPr>
        <w:t>P</w:t>
      </w:r>
      <w:r>
        <w:rPr>
          <w:rFonts w:ascii="宋体" w:hAnsi="宋体"/>
          <w:color w:val="auto"/>
          <w:sz w:val="24"/>
          <w:vertAlign w:val="subscript"/>
        </w:rPr>
        <w:t>0</w:t>
      </w:r>
      <w:r>
        <w:rPr>
          <w:rFonts w:ascii="宋体" w:hAnsi="宋体"/>
          <w:color w:val="auto"/>
        </w:rPr>
        <w:t>－投标截止日期已出版的最新一期或约定一期《深圳市建设工程价格信息》发布的某材料价格。示例：如《深圳市建设工程价格信息》2015年第6期出版时间是2015年6月5日，投标截止日期如果是2015年6月4日或6月5日，则</w:t>
      </w:r>
      <w:r>
        <w:rPr>
          <w:rFonts w:ascii="宋体" w:hAnsi="宋体"/>
          <w:color w:val="auto"/>
          <w:sz w:val="24"/>
        </w:rPr>
        <w:t>P</w:t>
      </w:r>
      <w:r>
        <w:rPr>
          <w:rFonts w:ascii="宋体" w:hAnsi="宋体"/>
          <w:color w:val="auto"/>
          <w:sz w:val="24"/>
          <w:vertAlign w:val="subscript"/>
        </w:rPr>
        <w:t>0</w:t>
      </w:r>
      <w:r>
        <w:rPr>
          <w:rFonts w:ascii="宋体" w:hAnsi="宋体"/>
          <w:color w:val="auto"/>
        </w:rPr>
        <w:t>对应的信息价是指2015年第5期《深圳市建设工程价格信息》，投标截止日期如果是2015年6月6日，则</w:t>
      </w:r>
      <w:r>
        <w:rPr>
          <w:rFonts w:ascii="宋体" w:hAnsi="宋体"/>
          <w:color w:val="auto"/>
          <w:sz w:val="24"/>
        </w:rPr>
        <w:t>P</w:t>
      </w:r>
      <w:r>
        <w:rPr>
          <w:rFonts w:ascii="宋体" w:hAnsi="宋体"/>
          <w:color w:val="auto"/>
          <w:sz w:val="24"/>
          <w:vertAlign w:val="subscript"/>
        </w:rPr>
        <w:t>0</w:t>
      </w:r>
      <w:r>
        <w:rPr>
          <w:rFonts w:ascii="宋体" w:hAnsi="宋体"/>
          <w:color w:val="auto"/>
        </w:rPr>
        <w:t>对应的信息价是指2015年第6期《深圳市建设工程价格信息》。</w:t>
      </w:r>
    </w:p>
    <w:p>
      <w:pPr>
        <w:tabs>
          <w:tab w:val="left" w:pos="1620"/>
          <w:tab w:val="left" w:pos="2340"/>
        </w:tabs>
        <w:snapToGrid w:val="0"/>
        <w:spacing w:line="360" w:lineRule="auto"/>
        <w:ind w:left="1440" w:firstLine="0"/>
        <w:rPr>
          <w:rFonts w:ascii="宋体" w:hAnsi="宋体"/>
          <w:color w:val="auto"/>
        </w:rPr>
      </w:pPr>
      <w:r>
        <w:rPr>
          <w:rFonts w:ascii="宋体" w:hAnsi="宋体"/>
          <w:color w:val="auto"/>
          <w:sz w:val="24"/>
        </w:rPr>
        <w:t>P</w:t>
      </w:r>
      <w:r>
        <w:rPr>
          <w:rFonts w:ascii="宋体" w:hAnsi="宋体"/>
          <w:color w:val="auto"/>
          <w:sz w:val="24"/>
          <w:vertAlign w:val="subscript"/>
        </w:rPr>
        <w:t>t</w:t>
      </w:r>
      <w:r>
        <w:rPr>
          <w:rFonts w:ascii="宋体" w:hAnsi="宋体"/>
          <w:color w:val="auto"/>
        </w:rPr>
        <w:t>－承包人投标文件商务标书中某材料的投标单价，如投标报价中无法确认某材料的单价时，则P</w:t>
      </w:r>
      <w:r>
        <w:rPr>
          <w:rFonts w:ascii="宋体" w:hAnsi="宋体"/>
          <w:color w:val="auto"/>
          <w:vertAlign w:val="subscript"/>
        </w:rPr>
        <w:t>t</w:t>
      </w:r>
      <w:r>
        <w:rPr>
          <w:rFonts w:ascii="宋体" w:hAnsi="宋体"/>
          <w:color w:val="auto"/>
        </w:rPr>
        <w:t>取值为P</w:t>
      </w:r>
      <w:r>
        <w:rPr>
          <w:rFonts w:ascii="宋体" w:hAnsi="宋体"/>
          <w:color w:val="auto"/>
          <w:vertAlign w:val="subscript"/>
        </w:rPr>
        <w:t>0</w:t>
      </w:r>
      <w:r>
        <w:rPr>
          <w:rFonts w:ascii="宋体" w:hAnsi="宋体"/>
          <w:color w:val="auto"/>
          <w:sz w:val="24"/>
        </w:rPr>
        <w:t>×</w:t>
      </w:r>
      <w:r>
        <w:rPr>
          <w:rFonts w:ascii="宋体" w:hAnsi="宋体"/>
          <w:color w:val="auto"/>
        </w:rPr>
        <w:t>（1-投标总价净下浮率）；</w:t>
      </w:r>
    </w:p>
    <w:p>
      <w:pPr>
        <w:tabs>
          <w:tab w:val="left" w:pos="1620"/>
          <w:tab w:val="left" w:pos="2340"/>
        </w:tabs>
        <w:snapToGrid w:val="0"/>
        <w:spacing w:line="360" w:lineRule="auto"/>
        <w:ind w:left="1440" w:firstLine="0"/>
        <w:rPr>
          <w:rFonts w:ascii="宋体" w:hAnsi="宋体"/>
          <w:color w:val="auto"/>
        </w:rPr>
      </w:pPr>
      <w:r>
        <w:rPr>
          <w:rFonts w:ascii="宋体" w:hAnsi="宋体"/>
          <w:color w:val="auto"/>
          <w:sz w:val="24"/>
        </w:rPr>
        <w:t>C</w:t>
      </w:r>
      <w:r>
        <w:rPr>
          <w:rFonts w:ascii="宋体" w:hAnsi="宋体"/>
          <w:color w:val="auto"/>
          <w:sz w:val="24"/>
          <w:vertAlign w:val="subscript"/>
        </w:rPr>
        <w:t>增</w:t>
      </w:r>
      <w:r>
        <w:rPr>
          <w:rFonts w:ascii="宋体" w:hAnsi="宋体"/>
          <w:color w:val="auto"/>
        </w:rPr>
        <w:t>－调增合同价格；</w:t>
      </w:r>
    </w:p>
    <w:p>
      <w:pPr>
        <w:tabs>
          <w:tab w:val="left" w:pos="1620"/>
          <w:tab w:val="left" w:pos="2340"/>
        </w:tabs>
        <w:snapToGrid w:val="0"/>
        <w:spacing w:line="360" w:lineRule="auto"/>
        <w:ind w:left="1440" w:firstLine="0"/>
        <w:rPr>
          <w:rFonts w:ascii="宋体" w:hAnsi="宋体"/>
          <w:color w:val="auto"/>
        </w:rPr>
      </w:pPr>
      <w:r>
        <w:rPr>
          <w:rFonts w:ascii="宋体" w:hAnsi="宋体"/>
          <w:color w:val="auto"/>
          <w:sz w:val="24"/>
        </w:rPr>
        <w:t>C</w:t>
      </w:r>
      <w:r>
        <w:rPr>
          <w:rFonts w:ascii="宋体" w:hAnsi="宋体"/>
          <w:color w:val="auto"/>
          <w:sz w:val="24"/>
          <w:vertAlign w:val="subscript"/>
        </w:rPr>
        <w:t>减</w:t>
      </w:r>
      <w:r>
        <w:rPr>
          <w:rFonts w:ascii="宋体" w:hAnsi="宋体"/>
          <w:color w:val="auto"/>
        </w:rPr>
        <w:t>－调减合同价格；</w:t>
      </w:r>
    </w:p>
    <w:p>
      <w:pPr>
        <w:tabs>
          <w:tab w:val="left" w:pos="1620"/>
          <w:tab w:val="left" w:pos="2340"/>
        </w:tabs>
        <w:snapToGrid w:val="0"/>
        <w:spacing w:line="360" w:lineRule="auto"/>
        <w:ind w:left="1440" w:firstLine="0"/>
        <w:rPr>
          <w:rFonts w:ascii="宋体" w:hAnsi="宋体"/>
          <w:color w:val="auto"/>
        </w:rPr>
      </w:pPr>
      <w:r>
        <w:rPr>
          <w:rFonts w:ascii="宋体" w:hAnsi="宋体"/>
          <w:color w:val="auto"/>
          <w:sz w:val="24"/>
        </w:rPr>
        <w:t>Q</w:t>
      </w:r>
      <w:r>
        <w:rPr>
          <w:rFonts w:ascii="宋体" w:hAnsi="宋体"/>
          <w:color w:val="auto"/>
          <w:sz w:val="24"/>
          <w:vertAlign w:val="subscript"/>
        </w:rPr>
        <w:t>总</w:t>
      </w:r>
      <w:r>
        <w:rPr>
          <w:rFonts w:ascii="宋体" w:hAnsi="宋体"/>
          <w:color w:val="auto"/>
        </w:rPr>
        <w:t>－本工程某材料根据图纸计算并考虑投标报价中材料消耗量之后的总工程量。</w:t>
      </w:r>
    </w:p>
    <w:p>
      <w:pPr>
        <w:tabs>
          <w:tab w:val="left" w:pos="1620"/>
          <w:tab w:val="left" w:pos="2340"/>
        </w:tabs>
        <w:snapToGrid w:val="0"/>
        <w:spacing w:before="156" w:after="0" w:line="360" w:lineRule="auto"/>
        <w:ind w:firstLine="1050"/>
        <w:rPr>
          <w:rFonts w:ascii="宋体" w:hAnsi="宋体"/>
          <w:color w:val="auto"/>
          <w:kern w:val="0"/>
        </w:rPr>
      </w:pPr>
      <w:r>
        <w:rPr>
          <w:color w:val="auto"/>
        </w:rPr>
        <w:t xml:space="preserve">   </w:t>
      </w:r>
      <w:r>
        <w:rPr>
          <w:rFonts w:ascii="Symbol" w:hAnsi="Symbol" w:eastAsia="Symbol" w:cs="Symbol"/>
          <w:i/>
          <w:color w:val="auto"/>
          <w:sz w:val="24"/>
        </w:rPr>
        <w:t></w:t>
      </w:r>
      <w:r>
        <w:rPr>
          <w:rFonts w:ascii="Cambria" w:hAnsi="Cambria"/>
          <w:i/>
          <w:color w:val="auto"/>
          <w:sz w:val="24"/>
        </w:rPr>
        <w:t>P</w:t>
      </w:r>
      <w:r>
        <w:rPr>
          <w:rFonts w:ascii="宋体" w:hAnsi="宋体"/>
          <w:color w:val="auto"/>
        </w:rPr>
        <w:t>－</w:t>
      </w:r>
      <w:r>
        <w:rPr>
          <w:color w:val="auto"/>
        </w:rPr>
        <w:t>计算方式如下（或按另行约定的方法）：</w:t>
      </w:r>
    </w:p>
    <w:p>
      <w:pPr>
        <w:tabs>
          <w:tab w:val="left" w:pos="1620"/>
          <w:tab w:val="left" w:pos="2340"/>
        </w:tabs>
        <w:snapToGrid w:val="0"/>
        <w:spacing w:before="156" w:after="0" w:line="360" w:lineRule="auto"/>
        <w:ind w:firstLine="1200"/>
        <w:rPr>
          <w:rFonts w:ascii="宋体" w:hAnsi="宋体"/>
          <w:color w:val="auto"/>
          <w:kern w:val="0"/>
        </w:rPr>
      </w:pPr>
      <w:r>
        <w:rPr>
          <w:rFonts w:ascii="Cambria" w:hAnsi="Cambria"/>
          <w:color w:val="auto"/>
          <w:sz w:val="24"/>
        </w:rPr>
        <w:t>①</w:t>
      </w:r>
      <w:r>
        <w:rPr>
          <w:rFonts w:ascii="宋体" w:hAnsi="宋体"/>
          <w:color w:val="auto"/>
          <w:kern w:val="0"/>
        </w:rPr>
        <w:t>加权平均法：</w:t>
      </w:r>
    </w:p>
    <w:p>
      <w:pPr>
        <w:snapToGrid w:val="0"/>
        <w:spacing w:line="360" w:lineRule="auto"/>
        <w:ind w:left="1440" w:firstLine="0"/>
        <w:rPr>
          <w:rFonts w:ascii="宋体" w:hAnsi="宋体"/>
          <w:color w:val="auto"/>
          <w:kern w:val="0"/>
        </w:rPr>
      </w:pPr>
      <w:r>
        <w:rPr>
          <w:rFonts w:ascii="Symbol" w:hAnsi="Symbol" w:eastAsia="Symbol" w:cs="Symbol"/>
          <w:i/>
          <w:color w:val="auto"/>
          <w:sz w:val="24"/>
        </w:rPr>
        <w:t></w:t>
      </w:r>
      <w:r>
        <w:rPr>
          <w:rFonts w:ascii="Cambria" w:hAnsi="Cambria"/>
          <w:i/>
          <w:color w:val="auto"/>
          <w:sz w:val="24"/>
        </w:rPr>
        <w:t>P</w:t>
      </w:r>
      <w:r>
        <w:rPr>
          <w:color w:val="auto"/>
        </w:rPr>
        <w:t xml:space="preserve"> </w:t>
      </w:r>
      <w:r>
        <w:rPr>
          <w:rFonts w:ascii="宋体" w:hAnsi="宋体"/>
          <w:color w:val="auto"/>
          <w:sz w:val="24"/>
        </w:rPr>
        <w:t>-</w:t>
      </w:r>
      <w:r>
        <w:rPr>
          <w:rFonts w:ascii="宋体" w:hAnsi="宋体"/>
          <w:color w:val="auto"/>
        </w:rPr>
        <w:t>施工期加权平均价格，即</w:t>
      </w:r>
      <w:r>
        <w:rPr>
          <w:rFonts w:ascii="宋体" w:hAnsi="宋体"/>
          <w:color w:val="auto"/>
          <w:sz w:val="24"/>
        </w:rPr>
        <w:t>∑(Q</w:t>
      </w:r>
      <w:r>
        <w:rPr>
          <w:rFonts w:ascii="宋体" w:hAnsi="宋体"/>
          <w:color w:val="auto"/>
          <w:sz w:val="24"/>
          <w:vertAlign w:val="subscript"/>
        </w:rPr>
        <w:t>i</w:t>
      </w:r>
      <w:r>
        <w:rPr>
          <w:rFonts w:ascii="宋体" w:hAnsi="宋体"/>
          <w:color w:val="auto"/>
          <w:sz w:val="24"/>
        </w:rPr>
        <w:t>×P</w:t>
      </w:r>
      <w:r>
        <w:rPr>
          <w:rFonts w:ascii="宋体" w:hAnsi="宋体"/>
          <w:color w:val="auto"/>
          <w:sz w:val="24"/>
          <w:vertAlign w:val="subscript"/>
        </w:rPr>
        <w:t>i</w:t>
      </w:r>
      <w:r>
        <w:rPr>
          <w:rFonts w:ascii="宋体" w:hAnsi="宋体"/>
          <w:color w:val="auto"/>
          <w:sz w:val="24"/>
        </w:rPr>
        <w:t>)/Q</w:t>
      </w:r>
      <w:r>
        <w:rPr>
          <w:rFonts w:ascii="宋体" w:hAnsi="宋体"/>
          <w:color w:val="auto"/>
          <w:sz w:val="24"/>
          <w:vertAlign w:val="subscript"/>
        </w:rPr>
        <w:t>总</w:t>
      </w:r>
      <w:r>
        <w:rPr>
          <w:rFonts w:ascii="宋体" w:hAnsi="宋体"/>
          <w:color w:val="auto"/>
          <w:sz w:val="24"/>
        </w:rPr>
        <w:t>，其中Q</w:t>
      </w:r>
      <w:r>
        <w:rPr>
          <w:rFonts w:ascii="宋体" w:hAnsi="宋体"/>
          <w:color w:val="auto"/>
          <w:sz w:val="24"/>
          <w:vertAlign w:val="subscript"/>
        </w:rPr>
        <w:t>i</w:t>
      </w:r>
      <w:r>
        <w:rPr>
          <w:rFonts w:ascii="宋体" w:hAnsi="宋体"/>
          <w:color w:val="auto"/>
        </w:rPr>
        <w:t>为施工期第i个月某材料用量，该用量为当月已计量工程中，某材料根据图纸计算并考虑投标报价中材料消耗量之后的工程量；</w:t>
      </w:r>
      <w:r>
        <w:rPr>
          <w:rFonts w:ascii="宋体" w:hAnsi="宋体"/>
          <w:color w:val="auto"/>
          <w:sz w:val="24"/>
        </w:rPr>
        <w:t>P</w:t>
      </w:r>
      <w:r>
        <w:rPr>
          <w:rFonts w:ascii="宋体" w:hAnsi="宋体"/>
          <w:color w:val="auto"/>
          <w:sz w:val="24"/>
          <w:vertAlign w:val="subscript"/>
        </w:rPr>
        <w:t>i</w:t>
      </w:r>
      <w:r>
        <w:rPr>
          <w:rFonts w:ascii="宋体" w:hAnsi="宋体"/>
          <w:color w:val="auto"/>
        </w:rPr>
        <w:t>为施工期第i个月当期《深圳市建设工程价格信息》发布的某材料价格。例如施工期第i个月是2015年7月，则对应《深圳市建设工程价格信息》2015年第7期。</w:t>
      </w:r>
    </w:p>
    <w:p>
      <w:pPr>
        <w:tabs>
          <w:tab w:val="left" w:pos="1620"/>
          <w:tab w:val="left" w:pos="2340"/>
        </w:tabs>
        <w:snapToGrid w:val="0"/>
        <w:spacing w:before="156" w:after="0" w:line="360" w:lineRule="auto"/>
        <w:ind w:firstLine="1200"/>
        <w:rPr>
          <w:rFonts w:ascii="宋体" w:hAnsi="宋体"/>
          <w:color w:val="auto"/>
        </w:rPr>
      </w:pPr>
      <w:r>
        <w:rPr>
          <w:rFonts w:ascii="Cambria" w:hAnsi="Cambria"/>
          <w:color w:val="auto"/>
          <w:sz w:val="24"/>
        </w:rPr>
        <w:t>或者②</w:t>
      </w:r>
      <w:r>
        <w:rPr>
          <w:rFonts w:ascii="宋体" w:hAnsi="宋体"/>
          <w:color w:val="auto"/>
        </w:rPr>
        <w:t>算术平均法：</w:t>
      </w:r>
    </w:p>
    <w:p>
      <w:pPr>
        <w:snapToGrid w:val="0"/>
        <w:spacing w:line="360" w:lineRule="auto"/>
        <w:ind w:left="1440" w:firstLine="0"/>
        <w:rPr>
          <w:rFonts w:ascii="宋体" w:hAnsi="宋体"/>
          <w:color w:val="auto"/>
        </w:rPr>
      </w:pPr>
      <w:r>
        <w:rPr>
          <w:rFonts w:ascii="Symbol" w:hAnsi="Symbol" w:eastAsia="Symbol" w:cs="Symbol"/>
          <w:i/>
          <w:color w:val="auto"/>
          <w:sz w:val="24"/>
        </w:rPr>
        <w:t></w:t>
      </w:r>
      <w:r>
        <w:rPr>
          <w:rFonts w:ascii="Cambria" w:hAnsi="Cambria"/>
          <w:i/>
          <w:color w:val="auto"/>
          <w:sz w:val="24"/>
        </w:rPr>
        <w:t>P</w:t>
      </w:r>
      <w:r>
        <w:rPr>
          <w:color w:val="auto"/>
        </w:rPr>
        <w:t xml:space="preserve"> </w:t>
      </w:r>
      <w:r>
        <w:rPr>
          <w:rFonts w:ascii="宋体" w:hAnsi="宋体"/>
          <w:color w:val="auto"/>
          <w:sz w:val="24"/>
        </w:rPr>
        <w:t>-</w:t>
      </w:r>
      <w:r>
        <w:rPr>
          <w:rFonts w:ascii="宋体" w:hAnsi="宋体"/>
          <w:color w:val="auto"/>
        </w:rPr>
        <w:t>本工程有某材料投入月份对应《深圳市建设工程价格信息》发布某材料价格的算术平均值。例如有某材料投入月份是指2015年5至7月，则对应《深圳市建设工程价格信息》2015年第5至7期价格信息之和除以3。</w:t>
      </w:r>
    </w:p>
    <w:p>
      <w:pPr>
        <w:keepNext/>
        <w:keepLines/>
        <w:numPr>
          <w:ilvl w:val="0"/>
          <w:numId w:val="0"/>
        </w:numPr>
        <w:spacing w:before="156" w:after="156" w:line="360" w:lineRule="auto"/>
        <w:outlineLvl w:val="3"/>
        <w:rPr>
          <w:rFonts w:ascii="宋体" w:hAnsi="宋体" w:cs="宋体"/>
          <w:b/>
          <w:bCs/>
          <w:color w:val="auto"/>
          <w:sz w:val="24"/>
          <w:szCs w:val="24"/>
        </w:rPr>
      </w:pPr>
      <w:bookmarkStart w:id="6965" w:name="_Toc517531038"/>
      <w:bookmarkStart w:id="6966" w:name="_Toc15953"/>
      <w:bookmarkStart w:id="6967" w:name="_Toc22242"/>
      <w:bookmarkStart w:id="6968" w:name="_Toc7106"/>
      <w:bookmarkStart w:id="6969" w:name="_Toc10236"/>
      <w:bookmarkStart w:id="6970" w:name="_Toc27156"/>
      <w:bookmarkStart w:id="6971" w:name="_Toc21637"/>
      <w:bookmarkStart w:id="6972" w:name="_Toc517532314"/>
      <w:bookmarkStart w:id="6973" w:name="_Toc9880"/>
      <w:r>
        <w:rPr>
          <w:rFonts w:ascii="宋体" w:hAnsi="宋体" w:cs="宋体"/>
          <w:b/>
          <w:bCs/>
          <w:color w:val="auto"/>
          <w:sz w:val="24"/>
          <w:szCs w:val="24"/>
        </w:rPr>
        <w:t>11.1.2人工、机械使用调差方法</w:t>
      </w:r>
      <w:bookmarkEnd w:id="6965"/>
      <w:bookmarkEnd w:id="6966"/>
      <w:bookmarkEnd w:id="6967"/>
      <w:bookmarkEnd w:id="6968"/>
      <w:bookmarkEnd w:id="6969"/>
      <w:bookmarkEnd w:id="6970"/>
      <w:bookmarkEnd w:id="6971"/>
      <w:bookmarkEnd w:id="6972"/>
      <w:bookmarkEnd w:id="6973"/>
    </w:p>
    <w:p>
      <w:pPr>
        <w:tabs>
          <w:tab w:val="left" w:pos="1620"/>
          <w:tab w:val="left" w:pos="2340"/>
        </w:tabs>
        <w:spacing w:before="156" w:after="156" w:line="360" w:lineRule="auto"/>
        <w:ind w:left="899" w:firstLine="0"/>
        <w:jc w:val="left"/>
        <w:rPr>
          <w:rFonts w:ascii="宋体" w:hAnsi="宋体"/>
          <w:color w:val="auto"/>
          <w:kern w:val="0"/>
        </w:rPr>
      </w:pPr>
      <w:r>
        <w:rPr>
          <w:rFonts w:ascii="宋体" w:hAnsi="宋体"/>
          <w:color w:val="auto"/>
          <w:kern w:val="0"/>
        </w:rPr>
        <w:t>⑴用于本工程的机械使用发生价格波动时，按照11.1.1款调差公式，将公式中的材料价格替换为机械使用价格，调整合同价格。</w:t>
      </w:r>
    </w:p>
    <w:p>
      <w:pPr>
        <w:tabs>
          <w:tab w:val="left" w:pos="1620"/>
          <w:tab w:val="left" w:pos="2340"/>
        </w:tabs>
        <w:spacing w:before="156" w:after="156" w:line="360" w:lineRule="auto"/>
        <w:ind w:left="899" w:firstLine="0"/>
        <w:jc w:val="left"/>
        <w:rPr>
          <w:rFonts w:ascii="宋体" w:hAnsi="宋体"/>
          <w:color w:val="auto"/>
          <w:kern w:val="0"/>
        </w:rPr>
      </w:pPr>
      <w:r>
        <w:rPr>
          <w:rFonts w:ascii="宋体" w:hAnsi="宋体"/>
          <w:color w:val="auto"/>
          <w:kern w:val="0"/>
        </w:rPr>
        <w:t>⑵用于本工程的人工发生价格波动时，调差方式：</w:t>
      </w:r>
    </w:p>
    <w:p>
      <w:pPr>
        <w:tabs>
          <w:tab w:val="left" w:pos="1620"/>
          <w:tab w:val="left" w:pos="2340"/>
        </w:tabs>
        <w:spacing w:before="156" w:after="156" w:line="360" w:lineRule="auto"/>
        <w:ind w:left="899" w:firstLine="0"/>
        <w:jc w:val="left"/>
        <w:rPr>
          <w:rFonts w:ascii="宋体" w:hAnsi="宋体"/>
          <w:color w:val="auto"/>
          <w:kern w:val="0"/>
        </w:rPr>
      </w:pPr>
      <w:r>
        <w:rPr>
          <w:rFonts w:ascii="宋体" w:hAnsi="宋体"/>
          <w:color w:val="auto"/>
          <w:kern w:val="0"/>
        </w:rPr>
        <w:t>①按照11.1.1款调差公式，将公式中的材料价格替换为人工价格，即</w:t>
      </w:r>
      <w:r>
        <w:rPr>
          <w:rFonts w:ascii="宋体" w:hAnsi="宋体"/>
          <w:color w:val="auto"/>
          <w:sz w:val="24"/>
        </w:rPr>
        <w:t>P</w:t>
      </w:r>
      <w:r>
        <w:rPr>
          <w:rFonts w:ascii="宋体" w:hAnsi="宋体"/>
          <w:color w:val="auto"/>
          <w:sz w:val="24"/>
          <w:vertAlign w:val="subscript"/>
        </w:rPr>
        <w:t>0</w:t>
      </w:r>
      <w:r>
        <w:rPr>
          <w:rFonts w:ascii="宋体" w:hAnsi="宋体"/>
          <w:color w:val="auto"/>
          <w:sz w:val="24"/>
        </w:rPr>
        <w:t>、P</w:t>
      </w:r>
      <w:r>
        <w:rPr>
          <w:rFonts w:ascii="宋体" w:hAnsi="宋体"/>
          <w:color w:val="auto"/>
          <w:sz w:val="24"/>
          <w:vertAlign w:val="subscript"/>
        </w:rPr>
        <w:t>i</w:t>
      </w:r>
      <w:r>
        <w:rPr>
          <w:rFonts w:ascii="宋体" w:hAnsi="宋体"/>
          <w:color w:val="auto"/>
          <w:kern w:val="0"/>
        </w:rPr>
        <w:t>分别为投标截止日期、施工期第i个月《深圳建设工程价格信息》发布的某人工工日单价</w:t>
      </w:r>
      <w:r>
        <w:rPr>
          <w:rFonts w:ascii="宋体" w:hAnsi="宋体"/>
          <w:color w:val="auto"/>
        </w:rPr>
        <w:t>，</w:t>
      </w:r>
      <w:r>
        <w:rPr>
          <w:rFonts w:ascii="宋体" w:hAnsi="宋体"/>
          <w:color w:val="auto"/>
          <w:kern w:val="0"/>
        </w:rPr>
        <w:t>调整合同价格。</w:t>
      </w:r>
    </w:p>
    <w:p>
      <w:pPr>
        <w:tabs>
          <w:tab w:val="left" w:pos="1620"/>
          <w:tab w:val="left" w:pos="2340"/>
        </w:tabs>
        <w:spacing w:before="156" w:after="156" w:line="360" w:lineRule="auto"/>
        <w:ind w:left="899" w:firstLine="0"/>
        <w:jc w:val="left"/>
        <w:rPr>
          <w:rFonts w:ascii="宋体" w:hAnsi="宋体"/>
          <w:color w:val="auto"/>
          <w:kern w:val="0"/>
        </w:rPr>
      </w:pPr>
      <w:r>
        <w:rPr>
          <w:rFonts w:ascii="宋体" w:hAnsi="宋体"/>
          <w:color w:val="auto"/>
          <w:kern w:val="0"/>
        </w:rPr>
        <w:t>或</w:t>
      </w:r>
    </w:p>
    <w:p>
      <w:pPr>
        <w:snapToGrid w:val="0"/>
        <w:spacing w:line="360" w:lineRule="auto"/>
        <w:ind w:firstLine="945"/>
        <w:rPr>
          <w:color w:val="auto"/>
        </w:rPr>
      </w:pPr>
      <w:r>
        <w:rPr>
          <w:rFonts w:ascii="宋体" w:hAnsi="宋体"/>
          <w:color w:val="auto"/>
          <w:szCs w:val="21"/>
        </w:rPr>
        <w:t>②按照人工费指数调差：</w:t>
      </w:r>
    </w:p>
    <w:p>
      <w:pPr>
        <w:snapToGrid w:val="0"/>
        <w:spacing w:line="360" w:lineRule="auto"/>
        <w:ind w:firstLine="945"/>
        <w:rPr>
          <w:rFonts w:ascii="宋体" w:hAnsi="宋体"/>
          <w:color w:val="auto"/>
          <w:szCs w:val="21"/>
        </w:rPr>
      </w:pPr>
      <w:r>
        <w:rPr>
          <w:rFonts w:ascii="宋体" w:hAnsi="宋体"/>
          <w:color w:val="auto"/>
          <w:szCs w:val="21"/>
        </w:rPr>
        <w:t>当</w:t>
      </w:r>
      <w:r>
        <w:rPr>
          <w:rFonts w:ascii="Symbol" w:hAnsi="Symbol" w:eastAsia="Symbol" w:cs="Symbol"/>
          <w:color w:val="auto"/>
          <w:szCs w:val="21"/>
        </w:rPr>
        <w:t></w:t>
      </w:r>
      <w:r>
        <w:rPr>
          <w:rFonts w:ascii="Cambria" w:hAnsi="Cambria"/>
          <w:i/>
          <w:color w:val="auto"/>
          <w:szCs w:val="21"/>
        </w:rPr>
        <w:t xml:space="preserve">I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﹥1.05时，则：C</w:t>
      </w:r>
      <w:r>
        <w:rPr>
          <w:rFonts w:ascii="宋体" w:hAnsi="宋体"/>
          <w:color w:val="auto"/>
          <w:szCs w:val="21"/>
          <w:vertAlign w:val="subscript"/>
        </w:rPr>
        <w:t>增</w:t>
      </w:r>
      <w:r>
        <w:rPr>
          <w:rFonts w:ascii="宋体" w:hAnsi="宋体"/>
          <w:color w:val="auto"/>
          <w:szCs w:val="21"/>
        </w:rPr>
        <w:t>=L</w:t>
      </w:r>
      <w:r>
        <w:rPr>
          <w:rFonts w:ascii="宋体" w:hAnsi="宋体"/>
          <w:color w:val="auto"/>
          <w:szCs w:val="21"/>
          <w:vertAlign w:val="subscript"/>
        </w:rPr>
        <w:t>总</w:t>
      </w:r>
      <w:r>
        <w:rPr>
          <w:rFonts w:ascii="宋体" w:hAnsi="宋体"/>
          <w:color w:val="auto"/>
          <w:szCs w:val="21"/>
        </w:rPr>
        <w:t>×(</w:t>
      </w:r>
      <w:r>
        <w:rPr>
          <w:rFonts w:ascii="Symbol" w:hAnsi="Symbol" w:eastAsia="Symbol" w:cs="Symbol"/>
          <w:color w:val="auto"/>
          <w:szCs w:val="21"/>
        </w:rPr>
        <w:t></w:t>
      </w:r>
      <w:r>
        <w:rPr>
          <w:rFonts w:ascii="Cambria" w:hAnsi="Cambria"/>
          <w:i/>
          <w:color w:val="auto"/>
          <w:szCs w:val="21"/>
        </w:rPr>
        <w:t xml:space="preserve">I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-1.05)；</w:t>
      </w:r>
    </w:p>
    <w:p>
      <w:pPr>
        <w:snapToGrid w:val="0"/>
        <w:spacing w:line="360" w:lineRule="auto"/>
        <w:ind w:firstLine="945"/>
        <w:rPr>
          <w:rFonts w:ascii="宋体" w:hAnsi="宋体"/>
          <w:color w:val="auto"/>
          <w:szCs w:val="21"/>
        </w:rPr>
      </w:pPr>
      <w:r>
        <w:rPr>
          <w:rFonts w:ascii="宋体" w:hAnsi="宋体"/>
          <w:color w:val="auto"/>
          <w:szCs w:val="21"/>
        </w:rPr>
        <w:t>当</w:t>
      </w:r>
      <w:r>
        <w:rPr>
          <w:rFonts w:ascii="Symbol" w:hAnsi="Symbol" w:eastAsia="Symbol" w:cs="Symbol"/>
          <w:color w:val="auto"/>
          <w:szCs w:val="21"/>
        </w:rPr>
        <w:t></w:t>
      </w:r>
      <w:r>
        <w:rPr>
          <w:rFonts w:ascii="Cambria" w:hAnsi="Cambria"/>
          <w:i/>
          <w:color w:val="auto"/>
          <w:szCs w:val="21"/>
        </w:rPr>
        <w:t xml:space="preserve">I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﹤0.95时，则：C</w:t>
      </w:r>
      <w:r>
        <w:rPr>
          <w:rFonts w:ascii="宋体" w:hAnsi="宋体"/>
          <w:color w:val="auto"/>
          <w:szCs w:val="21"/>
          <w:vertAlign w:val="subscript"/>
        </w:rPr>
        <w:t>减</w:t>
      </w:r>
      <w:r>
        <w:rPr>
          <w:rFonts w:ascii="宋体" w:hAnsi="宋体"/>
          <w:color w:val="auto"/>
          <w:szCs w:val="21"/>
        </w:rPr>
        <w:t>=L</w:t>
      </w:r>
      <w:r>
        <w:rPr>
          <w:rFonts w:ascii="宋体" w:hAnsi="宋体"/>
          <w:color w:val="auto"/>
          <w:szCs w:val="21"/>
          <w:vertAlign w:val="subscript"/>
        </w:rPr>
        <w:t>总</w:t>
      </w:r>
      <w:r>
        <w:rPr>
          <w:rFonts w:ascii="宋体" w:hAnsi="宋体"/>
          <w:color w:val="auto"/>
          <w:szCs w:val="21"/>
        </w:rPr>
        <w:t>×(0.95-</w:t>
      </w:r>
      <w:r>
        <w:rPr>
          <w:rFonts w:ascii="Symbol" w:hAnsi="Symbol" w:eastAsia="Symbol" w:cs="Symbol"/>
          <w:color w:val="auto"/>
          <w:szCs w:val="21"/>
        </w:rPr>
        <w:t></w:t>
      </w:r>
      <w:r>
        <w:rPr>
          <w:rFonts w:ascii="Cambria" w:hAnsi="Cambria"/>
          <w:i/>
          <w:color w:val="auto"/>
          <w:szCs w:val="21"/>
        </w:rPr>
        <w:t xml:space="preserve">I </w:t>
      </w:r>
      <w:r>
        <w:rPr>
          <w:rFonts w:ascii="宋体" w:hAnsi="宋体"/>
          <w:color w:val="auto"/>
          <w:szCs w:val="21"/>
        </w:rPr>
        <w:t>/I</w:t>
      </w:r>
      <w:r>
        <w:rPr>
          <w:rFonts w:ascii="宋体" w:hAnsi="宋体"/>
          <w:color w:val="auto"/>
          <w:szCs w:val="21"/>
          <w:vertAlign w:val="subscript"/>
        </w:rPr>
        <w:t>o</w:t>
      </w:r>
      <w:r>
        <w:rPr>
          <w:rFonts w:ascii="宋体" w:hAnsi="宋体"/>
          <w:color w:val="auto"/>
          <w:szCs w:val="21"/>
        </w:rPr>
        <w:t>)</w:t>
      </w:r>
    </w:p>
    <w:p>
      <w:pPr>
        <w:spacing w:line="360" w:lineRule="auto"/>
        <w:ind w:firstLine="945"/>
        <w:rPr>
          <w:rFonts w:ascii="宋体" w:hAnsi="宋体"/>
          <w:color w:val="auto"/>
          <w:szCs w:val="21"/>
        </w:rPr>
      </w:pPr>
      <w:r>
        <w:rPr>
          <w:rFonts w:ascii="宋体" w:hAnsi="宋体"/>
          <w:color w:val="auto"/>
          <w:szCs w:val="21"/>
        </w:rPr>
        <w:t>式中：</w:t>
      </w:r>
    </w:p>
    <w:p>
      <w:pPr>
        <w:snapToGrid w:val="0"/>
        <w:spacing w:line="360" w:lineRule="auto"/>
        <w:ind w:left="1050" w:firstLine="0"/>
        <w:rPr>
          <w:color w:val="auto"/>
        </w:rPr>
      </w:pPr>
      <w:r>
        <w:rPr>
          <w:rFonts w:ascii="Symbol" w:hAnsi="Symbol" w:eastAsia="Symbol" w:cs="Symbol"/>
          <w:color w:val="auto"/>
          <w:szCs w:val="21"/>
        </w:rPr>
        <w:t></w:t>
      </w:r>
      <w:r>
        <w:rPr>
          <w:rFonts w:ascii="Cambria" w:hAnsi="Cambria"/>
          <w:i/>
          <w:color w:val="auto"/>
          <w:szCs w:val="21"/>
        </w:rPr>
        <w:t xml:space="preserve">I </w:t>
      </w:r>
      <w:r>
        <w:rPr>
          <w:color w:val="auto"/>
        </w:rPr>
        <w:fldChar w:fldCharType="begin"/>
      </w:r>
      <w:r>
        <w:rPr>
          <w:color w:val="auto"/>
        </w:rPr>
        <w:instrText xml:space="preserve">QUOTE</w:instrText>
      </w:r>
      <w:r>
        <w:rPr>
          <w:color w:val="auto"/>
        </w:rPr>
        <w:fldChar w:fldCharType="separate"/>
      </w:r>
      <w:bookmarkStart w:id="6974" w:name="Bookmark"/>
      <w:r>
        <w:rPr>
          <w:color w:val="auto"/>
        </w:rPr>
        <w:fldChar w:fldCharType="end"/>
      </w:r>
      <w:bookmarkEnd w:id="6974"/>
      <w:bookmarkStart w:id="6975" w:name="Bookmark1"/>
      <w:bookmarkEnd w:id="6975"/>
      <w:r>
        <w:rPr>
          <w:b/>
          <w:bCs/>
          <w:color w:val="auto"/>
        </w:rPr>
        <w:t>错误!未找到引用源。</w:t>
      </w:r>
      <w:r>
        <w:rPr>
          <w:color w:val="auto"/>
        </w:rPr>
        <w:drawing>
          <wp:inline distT="0" distB="0" distL="0" distR="0">
            <wp:extent cx="95250" cy="200025"/>
            <wp:effectExtent l="0" t="0" r="0" b="0"/>
            <wp:docPr id="1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02"/>
                    <pic:cNvPicPr>
                      <a:picLocks noChangeAspect="1" noChangeArrowheads="1"/>
                    </pic:cNvPicPr>
                  </pic:nvPicPr>
                  <pic:blipFill>
                    <a:blip r:embed="rId225"/>
                    <a:stretch>
                      <a:fillRect/>
                    </a:stretch>
                  </pic:blipFill>
                  <pic:spPr>
                    <a:xfrm>
                      <a:off x="0" y="0"/>
                      <a:ext cx="95250" cy="200025"/>
                    </a:xfrm>
                    <a:prstGeom prst="rect">
                      <a:avLst/>
                    </a:prstGeom>
                  </pic:spPr>
                </pic:pic>
              </a:graphicData>
            </a:graphic>
          </wp:inline>
        </w:drawing>
      </w:r>
      <w:r>
        <w:rPr>
          <w:rFonts w:ascii="宋体" w:hAnsi="宋体"/>
          <w:color w:val="auto"/>
          <w:sz w:val="24"/>
        </w:rPr>
        <w:t>-</w:t>
      </w:r>
      <w:r>
        <w:rPr>
          <w:rFonts w:ascii="宋体" w:hAnsi="宋体"/>
          <w:color w:val="auto"/>
        </w:rPr>
        <w:t>施工期平均人工费指数（即</w:t>
      </w:r>
      <w:r>
        <w:rPr>
          <w:rFonts w:ascii="宋体" w:hAnsi="宋体"/>
          <w:color w:val="auto"/>
          <w:sz w:val="24"/>
        </w:rPr>
        <w:t>∑</w:t>
      </w:r>
      <w:r>
        <w:rPr>
          <w:rFonts w:ascii="宋体" w:hAnsi="宋体"/>
          <w:color w:val="auto"/>
          <w:szCs w:val="21"/>
        </w:rPr>
        <w:t>(L</w:t>
      </w:r>
      <w:r>
        <w:rPr>
          <w:rFonts w:ascii="宋体" w:hAnsi="宋体"/>
          <w:color w:val="auto"/>
          <w:szCs w:val="21"/>
          <w:vertAlign w:val="subscript"/>
        </w:rPr>
        <w:t>i</w:t>
      </w:r>
      <w:r>
        <w:rPr>
          <w:rFonts w:ascii="宋体" w:hAnsi="宋体"/>
          <w:color w:val="auto"/>
          <w:szCs w:val="21"/>
        </w:rPr>
        <w:t>×I</w:t>
      </w:r>
      <w:r>
        <w:rPr>
          <w:rFonts w:ascii="宋体" w:hAnsi="宋体"/>
          <w:color w:val="auto"/>
          <w:szCs w:val="21"/>
          <w:vertAlign w:val="subscript"/>
        </w:rPr>
        <w:t>i</w:t>
      </w:r>
      <w:r>
        <w:rPr>
          <w:rFonts w:ascii="宋体" w:hAnsi="宋体"/>
          <w:color w:val="auto"/>
          <w:szCs w:val="21"/>
        </w:rPr>
        <w:t>)/L</w:t>
      </w:r>
      <w:r>
        <w:rPr>
          <w:rFonts w:ascii="宋体" w:hAnsi="宋体"/>
          <w:color w:val="auto"/>
          <w:szCs w:val="21"/>
          <w:vertAlign w:val="subscript"/>
        </w:rPr>
        <w:t>总</w:t>
      </w:r>
      <w:r>
        <w:rPr>
          <w:rFonts w:ascii="宋体" w:hAnsi="宋体"/>
          <w:color w:val="auto"/>
          <w:szCs w:val="21"/>
        </w:rPr>
        <w:t>，L</w:t>
      </w:r>
      <w:r>
        <w:rPr>
          <w:rFonts w:ascii="宋体" w:hAnsi="宋体"/>
          <w:color w:val="auto"/>
          <w:szCs w:val="21"/>
          <w:vertAlign w:val="subscript"/>
        </w:rPr>
        <w:t>i</w:t>
      </w:r>
      <w:r>
        <w:rPr>
          <w:rFonts w:ascii="宋体" w:hAnsi="宋体"/>
          <w:color w:val="auto"/>
          <w:szCs w:val="21"/>
        </w:rPr>
        <w:t>为施工期第i个月某工种人工费（调差前）</w:t>
      </w:r>
      <w:r>
        <w:rPr>
          <w:rFonts w:ascii="宋体" w:hAnsi="宋体"/>
          <w:color w:val="auto"/>
          <w:sz w:val="24"/>
        </w:rPr>
        <w:t>，</w:t>
      </w:r>
      <w:r>
        <w:rPr>
          <w:rFonts w:ascii="宋体" w:hAnsi="宋体"/>
          <w:color w:val="auto"/>
          <w:szCs w:val="21"/>
        </w:rPr>
        <w:t>I</w:t>
      </w:r>
      <w:r>
        <w:rPr>
          <w:rFonts w:ascii="宋体" w:hAnsi="宋体"/>
          <w:color w:val="auto"/>
          <w:szCs w:val="21"/>
          <w:vertAlign w:val="subscript"/>
        </w:rPr>
        <w:t>i</w:t>
      </w:r>
      <w:r>
        <w:rPr>
          <w:rFonts w:ascii="宋体" w:hAnsi="宋体"/>
          <w:color w:val="auto"/>
          <w:szCs w:val="21"/>
        </w:rPr>
        <w:t>为施工期第i个月当期《深圳市建设工程价格信息》发布的某工种人工费指数</w:t>
      </w:r>
      <w:r>
        <w:rPr>
          <w:rFonts w:ascii="宋体" w:hAnsi="宋体"/>
          <w:color w:val="auto"/>
        </w:rPr>
        <w:t>）；</w:t>
      </w:r>
    </w:p>
    <w:p>
      <w:pPr>
        <w:spacing w:line="360" w:lineRule="auto"/>
        <w:ind w:left="1050" w:firstLine="0"/>
        <w:rPr>
          <w:rFonts w:ascii="宋体" w:hAnsi="宋体"/>
          <w:color w:val="auto"/>
          <w:szCs w:val="21"/>
        </w:rPr>
      </w:pPr>
      <w:r>
        <w:rPr>
          <w:rFonts w:ascii="宋体" w:hAnsi="宋体"/>
          <w:color w:val="auto"/>
          <w:szCs w:val="21"/>
        </w:rPr>
        <w:t>I</w:t>
      </w:r>
      <w:r>
        <w:rPr>
          <w:rFonts w:ascii="宋体" w:hAnsi="宋体"/>
          <w:color w:val="auto"/>
          <w:szCs w:val="21"/>
          <w:vertAlign w:val="subscript"/>
        </w:rPr>
        <w:t>o</w:t>
      </w:r>
      <w:r>
        <w:rPr>
          <w:rFonts w:ascii="宋体" w:hAnsi="宋体"/>
          <w:color w:val="auto"/>
          <w:szCs w:val="21"/>
        </w:rPr>
        <w:t>─投标截止日期已出版的最新一期或</w:t>
      </w:r>
      <w:r>
        <w:rPr>
          <w:rFonts w:ascii="宋体" w:hAnsi="宋体"/>
          <w:b/>
          <w:i/>
          <w:color w:val="auto"/>
          <w:szCs w:val="21"/>
        </w:rPr>
        <w:t>专用条款</w:t>
      </w:r>
      <w:r>
        <w:rPr>
          <w:rFonts w:ascii="宋体" w:hAnsi="宋体"/>
          <w:color w:val="auto"/>
          <w:szCs w:val="21"/>
        </w:rPr>
        <w:t>约定的一期《深圳市建设工程价格信息》发布的某工种人工费指数；</w:t>
      </w:r>
    </w:p>
    <w:p>
      <w:pPr>
        <w:spacing w:line="360" w:lineRule="auto"/>
        <w:ind w:firstLine="1050"/>
        <w:rPr>
          <w:rFonts w:ascii="宋体" w:hAnsi="宋体"/>
          <w:color w:val="auto"/>
          <w:szCs w:val="21"/>
        </w:rPr>
      </w:pPr>
      <w:r>
        <w:rPr>
          <w:rFonts w:ascii="宋体" w:hAnsi="宋体"/>
          <w:color w:val="auto"/>
          <w:szCs w:val="21"/>
        </w:rPr>
        <w:t>C</w:t>
      </w:r>
      <w:r>
        <w:rPr>
          <w:rFonts w:ascii="宋体" w:hAnsi="宋体"/>
          <w:color w:val="auto"/>
          <w:szCs w:val="21"/>
          <w:vertAlign w:val="subscript"/>
        </w:rPr>
        <w:t>增</w:t>
      </w:r>
      <w:r>
        <w:rPr>
          <w:rFonts w:ascii="宋体" w:hAnsi="宋体"/>
          <w:color w:val="auto"/>
          <w:szCs w:val="21"/>
        </w:rPr>
        <w:t>─调增合同价格；</w:t>
      </w:r>
    </w:p>
    <w:p>
      <w:pPr>
        <w:spacing w:line="360" w:lineRule="auto"/>
        <w:ind w:firstLine="1050"/>
        <w:rPr>
          <w:rFonts w:ascii="宋体" w:hAnsi="宋体"/>
          <w:color w:val="auto"/>
          <w:szCs w:val="21"/>
        </w:rPr>
      </w:pPr>
      <w:r>
        <w:rPr>
          <w:rFonts w:ascii="宋体" w:hAnsi="宋体"/>
          <w:color w:val="auto"/>
          <w:szCs w:val="21"/>
        </w:rPr>
        <w:t>C</w:t>
      </w:r>
      <w:r>
        <w:rPr>
          <w:rFonts w:ascii="宋体" w:hAnsi="宋体"/>
          <w:color w:val="auto"/>
          <w:szCs w:val="21"/>
          <w:vertAlign w:val="subscript"/>
        </w:rPr>
        <w:t>减</w:t>
      </w:r>
      <w:r>
        <w:rPr>
          <w:rFonts w:ascii="宋体" w:hAnsi="宋体"/>
          <w:color w:val="auto"/>
          <w:szCs w:val="21"/>
        </w:rPr>
        <w:t>─调减合同价格；</w:t>
      </w:r>
    </w:p>
    <w:p>
      <w:pPr>
        <w:tabs>
          <w:tab w:val="left" w:pos="1620"/>
          <w:tab w:val="left" w:pos="2340"/>
        </w:tabs>
        <w:spacing w:before="0" w:after="156" w:line="360" w:lineRule="auto"/>
        <w:ind w:firstLine="1050"/>
        <w:jc w:val="left"/>
        <w:rPr>
          <w:rFonts w:ascii="宋体" w:hAnsi="宋体"/>
          <w:color w:val="auto"/>
          <w:kern w:val="0"/>
        </w:rPr>
      </w:pPr>
      <w:r>
        <w:rPr>
          <w:rFonts w:ascii="宋体" w:hAnsi="宋体"/>
          <w:color w:val="auto"/>
          <w:szCs w:val="21"/>
        </w:rPr>
        <w:t>L</w:t>
      </w:r>
      <w:r>
        <w:rPr>
          <w:rFonts w:ascii="宋体" w:hAnsi="宋体"/>
          <w:color w:val="auto"/>
          <w:szCs w:val="21"/>
          <w:vertAlign w:val="subscript"/>
        </w:rPr>
        <w:t>总</w:t>
      </w:r>
      <w:r>
        <w:rPr>
          <w:rFonts w:ascii="宋体" w:hAnsi="宋体"/>
          <w:color w:val="auto"/>
          <w:szCs w:val="21"/>
        </w:rPr>
        <w:t>─承包人投标文件商务标书中某工种总人工费。</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976" w:name="_Toc21574"/>
      <w:bookmarkStart w:id="6977" w:name="_Toc19539"/>
      <w:bookmarkStart w:id="6978" w:name="_Toc25965"/>
      <w:bookmarkStart w:id="6979" w:name="_Toc11441"/>
      <w:bookmarkStart w:id="6980" w:name="_Toc517528803"/>
      <w:bookmarkStart w:id="6981" w:name="_Toc27260"/>
      <w:bookmarkStart w:id="6982" w:name="_Toc3855"/>
      <w:bookmarkStart w:id="6983" w:name="_Toc25340"/>
      <w:bookmarkStart w:id="6984" w:name="_Toc24778"/>
      <w:bookmarkStart w:id="6985" w:name="_Toc28697"/>
      <w:bookmarkStart w:id="6986" w:name="_Toc28952"/>
      <w:bookmarkStart w:id="6987" w:name="_Toc517531039"/>
      <w:bookmarkStart w:id="6988" w:name="_Toc4542"/>
      <w:bookmarkStart w:id="6989" w:name="_Toc28274"/>
      <w:bookmarkStart w:id="6990" w:name="_Toc517532315"/>
      <w:bookmarkStart w:id="6991" w:name="_Toc25510"/>
      <w:bookmarkStart w:id="6992" w:name="_Toc26357"/>
      <w:bookmarkStart w:id="6993" w:name="_Toc27954"/>
      <w:r>
        <w:rPr>
          <w:color w:val="auto"/>
        </w:rPr>
        <w:object>
          <v:shape id="_x0000_i1153" o:spt="201" type="#_x0000_t201" style="height:17.9pt;width:12.5pt;" o:ole="t" filled="f" o:preferrelative="t" stroked="f" coordsize="21600,21600">
            <v:path/>
            <v:fill on="f" focussize="0,0"/>
            <v:stroke on="f" joinstyle="miter"/>
            <v:imagedata o:title=""/>
            <o:lock v:ext="edit"/>
            <w10:wrap type="none"/>
            <w10:anchorlock/>
          </v:shape>
          <w:control r:id="rId226" w:name="CheckBox1318" w:shapeid="_x0000_i1153"/>
        </w:object>
      </w:r>
      <w:r>
        <w:rPr>
          <w:rFonts w:ascii="宋体" w:hAnsi="宋体" w:cs="宋体"/>
          <w:b/>
          <w:bCs/>
          <w:color w:val="auto"/>
          <w:sz w:val="28"/>
          <w:szCs w:val="28"/>
        </w:rPr>
        <w:t>11.2法规变更的影响</w:t>
      </w:r>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r>
        <w:rPr>
          <w:rFonts w:ascii="宋体" w:hAnsi="宋体" w:cs="宋体"/>
          <w:b/>
          <w:bCs/>
          <w:color w:val="auto"/>
          <w:sz w:val="28"/>
          <w:szCs w:val="28"/>
        </w:rPr>
        <w:t xml:space="preserve"> </w:t>
      </w:r>
    </w:p>
    <w:p>
      <w:pPr>
        <w:snapToGrid w:val="0"/>
        <w:spacing w:line="360" w:lineRule="auto"/>
        <w:ind w:firstLine="420"/>
        <w:jc w:val="left"/>
        <w:rPr>
          <w:rFonts w:ascii="宋体" w:hAnsi="宋体" w:cs="宋体"/>
          <w:bCs/>
          <w:color w:val="auto"/>
          <w:szCs w:val="21"/>
        </w:rPr>
      </w:pPr>
      <w:r>
        <w:rPr>
          <w:rFonts w:ascii="宋体" w:hAnsi="宋体" w:cs="宋体"/>
          <w:bCs/>
          <w:color w:val="auto"/>
          <w:szCs w:val="21"/>
        </w:rPr>
        <w:t>承包人在投标报价中应考虑到国家和(或)本市颁布的法律、法规、法令、规章或条例在合同执行期间发生变更而产生的费用增加的风险，合同价款不会因此而调整。</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6994" w:name="_Toc31350"/>
      <w:bookmarkStart w:id="6995" w:name="_Toc839"/>
      <w:bookmarkStart w:id="6996" w:name="_Toc3407"/>
      <w:bookmarkStart w:id="6997" w:name="_Toc6493"/>
      <w:bookmarkStart w:id="6998" w:name="_Toc15860"/>
      <w:bookmarkStart w:id="6999" w:name="_Toc517531040"/>
      <w:bookmarkStart w:id="7000" w:name="_Toc17115"/>
      <w:bookmarkStart w:id="7001" w:name="_Toc517532316"/>
      <w:bookmarkStart w:id="7002" w:name="_Toc517528804"/>
      <w:bookmarkStart w:id="7003" w:name="_Toc6759"/>
      <w:bookmarkStart w:id="7004" w:name="_Toc15728"/>
      <w:r>
        <w:rPr>
          <w:rFonts w:ascii="宋体" w:hAnsi="宋体" w:cs="宋体"/>
          <w:b/>
          <w:bCs/>
          <w:color w:val="auto"/>
          <w:sz w:val="28"/>
          <w:szCs w:val="28"/>
        </w:rPr>
        <w:t>11.3合同价格的调整方式</w:t>
      </w:r>
      <w:bookmarkEnd w:id="6994"/>
      <w:bookmarkEnd w:id="6995"/>
      <w:bookmarkEnd w:id="6996"/>
      <w:bookmarkEnd w:id="6997"/>
      <w:bookmarkEnd w:id="6998"/>
      <w:bookmarkEnd w:id="6999"/>
      <w:bookmarkEnd w:id="7000"/>
      <w:bookmarkEnd w:id="7001"/>
      <w:bookmarkEnd w:id="7002"/>
      <w:bookmarkEnd w:id="7003"/>
      <w:bookmarkEnd w:id="7004"/>
    </w:p>
    <w:p>
      <w:pPr>
        <w:snapToGrid w:val="0"/>
        <w:spacing w:line="360" w:lineRule="auto"/>
        <w:ind w:firstLine="428"/>
        <w:jc w:val="left"/>
        <w:rPr>
          <w:rFonts w:ascii="宋体" w:hAnsi="宋体" w:cs="宋体"/>
          <w:bCs/>
          <w:color w:val="auto"/>
          <w:spacing w:val="2"/>
          <w:szCs w:val="21"/>
        </w:rPr>
      </w:pPr>
      <w:r>
        <w:rPr>
          <w:rFonts w:ascii="宋体" w:hAnsi="宋体" w:cs="宋体"/>
          <w:bCs/>
          <w:color w:val="auto"/>
          <w:spacing w:val="2"/>
          <w:szCs w:val="21"/>
        </w:rPr>
        <w:t>固定总价合同或固定单价合同中包含的分项固定合价工程存在下列情况的，还应从固定总价或固定合价中扣减相应的价款：</w:t>
      </w:r>
    </w:p>
    <w:p>
      <w:pPr>
        <w:snapToGrid w:val="0"/>
        <w:spacing w:line="360" w:lineRule="auto"/>
        <w:ind w:firstLine="400"/>
        <w:jc w:val="left"/>
        <w:rPr>
          <w:rFonts w:ascii="宋体" w:hAnsi="宋体" w:cs="宋体"/>
          <w:color w:val="auto"/>
          <w:szCs w:val="21"/>
        </w:rPr>
      </w:pPr>
      <w:r>
        <w:rPr>
          <w:color w:val="auto"/>
        </w:rPr>
        <w:object>
          <v:shape id="_x0000_i1154" o:spt="201" type="#_x0000_t201" style="height:17.9pt;width:12.5pt;" o:ole="t" filled="f" o:preferrelative="t" stroked="f" coordsize="21600,21600">
            <v:path/>
            <v:fill on="f" focussize="0,0"/>
            <v:stroke on="f" joinstyle="miter"/>
            <v:imagedata o:title=""/>
            <o:lock v:ext="edit"/>
            <w10:wrap type="none"/>
            <w10:anchorlock/>
          </v:shape>
          <w:control r:id="rId227" w:name="CheckBox12831" w:shapeid="_x0000_i1154"/>
        </w:object>
      </w:r>
      <w:r>
        <w:rPr>
          <w:rFonts w:ascii="宋体" w:hAnsi="宋体" w:cs="宋体"/>
          <w:color w:val="auto"/>
          <w:szCs w:val="21"/>
        </w:rPr>
        <w:t>（a）发包人取消的发包内容；</w:t>
      </w:r>
    </w:p>
    <w:p>
      <w:pPr>
        <w:snapToGrid w:val="0"/>
        <w:spacing w:line="360" w:lineRule="auto"/>
        <w:ind w:firstLine="400"/>
        <w:jc w:val="left"/>
        <w:rPr>
          <w:rFonts w:ascii="宋体" w:hAnsi="宋体" w:cs="宋体"/>
          <w:color w:val="auto"/>
          <w:szCs w:val="21"/>
        </w:rPr>
      </w:pPr>
      <w:r>
        <w:rPr>
          <w:color w:val="auto"/>
        </w:rPr>
        <w:object>
          <v:shape id="_x0000_i1155" o:spt="201" type="#_x0000_t201" style="height:17.9pt;width:12.5pt;" o:ole="t" filled="f" o:preferrelative="t" stroked="f" coordsize="21600,21600">
            <v:path/>
            <v:fill on="f" focussize="0,0"/>
            <v:stroke on="f" joinstyle="miter"/>
            <v:imagedata o:title=""/>
            <o:lock v:ext="edit"/>
            <w10:wrap type="none"/>
            <w10:anchorlock/>
          </v:shape>
          <w:control r:id="rId228" w:name="CheckBox12832" w:shapeid="_x0000_i1155"/>
        </w:object>
      </w:r>
      <w:r>
        <w:rPr>
          <w:rFonts w:ascii="宋体" w:hAnsi="宋体" w:cs="宋体"/>
          <w:color w:val="auto"/>
          <w:szCs w:val="21"/>
        </w:rPr>
        <w:t>（b）设计变更减少的承包内容；</w:t>
      </w:r>
    </w:p>
    <w:p>
      <w:pPr>
        <w:snapToGrid w:val="0"/>
        <w:spacing w:line="360" w:lineRule="auto"/>
        <w:ind w:firstLine="400"/>
        <w:jc w:val="left"/>
        <w:rPr>
          <w:rFonts w:ascii="宋体" w:hAnsi="宋体" w:cs="宋体"/>
          <w:color w:val="auto"/>
          <w:szCs w:val="21"/>
        </w:rPr>
      </w:pPr>
      <w:r>
        <w:rPr>
          <w:color w:val="auto"/>
        </w:rPr>
        <w:object>
          <v:shape id="_x0000_i1156" o:spt="201" type="#_x0000_t201" style="height:17.9pt;width:12.5pt;" o:ole="t" filled="f" o:preferrelative="t" stroked="f" coordsize="21600,21600">
            <v:path/>
            <v:fill on="f" focussize="0,0"/>
            <v:stroke on="f" joinstyle="miter"/>
            <v:imagedata o:title=""/>
            <o:lock v:ext="edit"/>
            <w10:wrap type="none"/>
            <w10:anchorlock/>
          </v:shape>
          <w:control r:id="rId229" w:name="CheckBox12833" w:shapeid="_x0000_i1156"/>
        </w:object>
      </w:r>
      <w:r>
        <w:rPr>
          <w:rFonts w:ascii="宋体" w:hAnsi="宋体" w:cs="宋体"/>
          <w:color w:val="auto"/>
          <w:szCs w:val="21"/>
        </w:rPr>
        <w:t>（c）承包人未按招标文件或招标图纸完成相应承包内容。</w:t>
      </w:r>
    </w:p>
    <w:p>
      <w:pPr>
        <w:snapToGrid w:val="0"/>
        <w:spacing w:line="360" w:lineRule="auto"/>
        <w:ind w:firstLine="420"/>
        <w:jc w:val="left"/>
        <w:rPr>
          <w:rFonts w:ascii="宋体" w:hAnsi="宋体" w:cs="宋体"/>
          <w:color w:val="auto"/>
          <w:szCs w:val="21"/>
        </w:rPr>
      </w:pPr>
      <w:r>
        <w:rPr>
          <w:rFonts w:ascii="宋体" w:hAnsi="宋体" w:cs="宋体"/>
          <w:color w:val="auto"/>
          <w:szCs w:val="21"/>
        </w:rPr>
        <w:t>固定总价合同或固定单价合同中包含的分项固定合价工程的调价原则：</w:t>
      </w:r>
    </w:p>
    <w:p>
      <w:pPr>
        <w:snapToGrid w:val="0"/>
        <w:spacing w:line="360" w:lineRule="auto"/>
        <w:ind w:firstLine="400"/>
        <w:jc w:val="left"/>
        <w:rPr>
          <w:rFonts w:ascii="宋体" w:hAnsi="宋体" w:cs="宋体"/>
          <w:color w:val="auto"/>
          <w:szCs w:val="21"/>
        </w:rPr>
      </w:pPr>
      <w:r>
        <w:rPr>
          <w:color w:val="auto"/>
        </w:rPr>
        <w:object>
          <v:shape id="_x0000_i1157" o:spt="201" type="#_x0000_t201" style="height:17.9pt;width:12.5pt;" o:ole="t" filled="f" o:preferrelative="t" stroked="f" coordsize="21600,21600">
            <v:path/>
            <v:fill on="f" focussize="0,0"/>
            <v:stroke on="f" joinstyle="miter"/>
            <v:imagedata o:title=""/>
            <o:lock v:ext="edit"/>
            <w10:wrap type="none"/>
            <w10:anchorlock/>
          </v:shape>
          <w:control r:id="rId230" w:name="CheckBox12834" w:shapeid="_x0000_i1157"/>
        </w:object>
      </w:r>
      <w:r>
        <w:rPr>
          <w:rFonts w:ascii="宋体" w:hAnsi="宋体" w:cs="宋体"/>
          <w:color w:val="auto"/>
          <w:szCs w:val="21"/>
        </w:rPr>
        <w:t>（a）深化设计不予调价；</w:t>
      </w:r>
    </w:p>
    <w:p>
      <w:pPr>
        <w:snapToGrid w:val="0"/>
        <w:spacing w:line="360" w:lineRule="auto"/>
        <w:ind w:firstLine="400"/>
        <w:jc w:val="left"/>
        <w:rPr>
          <w:rFonts w:ascii="宋体" w:hAnsi="宋体" w:cs="宋体"/>
          <w:color w:val="auto"/>
          <w:szCs w:val="21"/>
        </w:rPr>
      </w:pPr>
      <w:r>
        <w:rPr>
          <w:color w:val="auto"/>
        </w:rPr>
        <w:object>
          <v:shape id="_x0000_i1158" o:spt="201" type="#_x0000_t201" style="height:17.9pt;width:12.5pt;" o:ole="t" filled="f" o:preferrelative="t" stroked="f" coordsize="21600,21600">
            <v:path/>
            <v:fill on="f" focussize="0,0"/>
            <v:stroke on="f" joinstyle="miter"/>
            <v:imagedata o:title=""/>
            <o:lock v:ext="edit"/>
            <w10:wrap type="none"/>
            <w10:anchorlock/>
          </v:shape>
          <w:control r:id="rId231" w:name="CheckBox12835" w:shapeid="_x0000_i1158"/>
        </w:object>
      </w:r>
      <w:r>
        <w:rPr>
          <w:rFonts w:ascii="宋体" w:hAnsi="宋体" w:cs="宋体"/>
          <w:color w:val="auto"/>
          <w:szCs w:val="21"/>
        </w:rPr>
        <w:t>（b）优化设计不予调价；</w:t>
      </w:r>
    </w:p>
    <w:p>
      <w:pPr>
        <w:snapToGrid w:val="0"/>
        <w:spacing w:line="360" w:lineRule="auto"/>
        <w:ind w:firstLine="400"/>
        <w:jc w:val="left"/>
        <w:rPr>
          <w:rFonts w:ascii="宋体" w:hAnsi="宋体" w:cs="宋体"/>
          <w:color w:val="auto"/>
          <w:szCs w:val="21"/>
        </w:rPr>
      </w:pPr>
      <w:r>
        <w:rPr>
          <w:color w:val="auto"/>
        </w:rPr>
        <w:object>
          <v:shape id="_x0000_i1159" o:spt="201" type="#_x0000_t201" style="height:17.9pt;width:12.5pt;" o:ole="t" filled="f" o:preferrelative="t" stroked="f" coordsize="21600,21600">
            <v:path/>
            <v:fill on="f" focussize="0,0"/>
            <v:stroke on="f" joinstyle="miter"/>
            <v:imagedata o:title=""/>
            <o:lock v:ext="edit"/>
            <w10:wrap type="none"/>
            <w10:anchorlock/>
          </v:shape>
          <w:control r:id="rId232" w:name="CheckBox12836" w:shapeid="_x0000_i1159"/>
        </w:object>
      </w:r>
      <w:r>
        <w:rPr>
          <w:rFonts w:ascii="宋体" w:hAnsi="宋体" w:cs="宋体"/>
          <w:color w:val="auto"/>
          <w:szCs w:val="21"/>
        </w:rPr>
        <w:t>（c）增加或减少承包范围的予以调价；</w:t>
      </w:r>
    </w:p>
    <w:p>
      <w:pPr>
        <w:snapToGrid w:val="0"/>
        <w:spacing w:line="360" w:lineRule="auto"/>
        <w:ind w:firstLine="400"/>
        <w:jc w:val="left"/>
        <w:rPr>
          <w:rFonts w:ascii="宋体" w:hAnsi="宋体" w:cs="宋体"/>
          <w:color w:val="auto"/>
          <w:szCs w:val="21"/>
        </w:rPr>
      </w:pPr>
      <w:r>
        <w:rPr>
          <w:color w:val="auto"/>
        </w:rPr>
        <w:object>
          <v:shape id="_x0000_i1160" o:spt="201" type="#_x0000_t201" style="height:17.9pt;width:12.5pt;" o:ole="t" filled="f" o:preferrelative="t" stroked="f" coordsize="21600,21600">
            <v:path/>
            <v:fill on="f" focussize="0,0"/>
            <v:stroke on="f" joinstyle="miter"/>
            <v:imagedata o:title=""/>
            <o:lock v:ext="edit"/>
            <w10:wrap type="none"/>
            <w10:anchorlock/>
          </v:shape>
          <w:control r:id="rId233" w:name="CheckBox12837" w:shapeid="_x0000_i1160"/>
        </w:object>
      </w:r>
      <w:r>
        <w:rPr>
          <w:rFonts w:ascii="宋体" w:hAnsi="宋体" w:cs="宋体"/>
          <w:color w:val="auto"/>
          <w:szCs w:val="21"/>
        </w:rPr>
        <w:t>（d）发包人确认的设计变更予以调价；</w:t>
      </w:r>
    </w:p>
    <w:p>
      <w:pPr>
        <w:snapToGrid w:val="0"/>
        <w:spacing w:line="360" w:lineRule="auto"/>
        <w:ind w:firstLine="1050"/>
        <w:jc w:val="left"/>
        <w:rPr>
          <w:rFonts w:ascii="宋体" w:hAnsi="宋体" w:cs="宋体"/>
          <w:color w:val="auto"/>
          <w:szCs w:val="21"/>
        </w:rPr>
      </w:pPr>
      <w:r>
        <w:rPr>
          <w:rFonts w:ascii="宋体" w:hAnsi="宋体" w:cs="宋体"/>
          <w:color w:val="auto"/>
          <w:szCs w:val="21"/>
        </w:rPr>
        <w:t>（c）、（d）款扣减项目执行投标报价，增加项目价格执行10.3条。</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005" w:name="_Toc12916"/>
      <w:bookmarkStart w:id="7006" w:name="_Toc517532317"/>
      <w:bookmarkStart w:id="7007" w:name="_Toc21937"/>
      <w:bookmarkStart w:id="7008" w:name="_Toc28553"/>
      <w:bookmarkStart w:id="7009" w:name="_Toc21540"/>
      <w:bookmarkStart w:id="7010" w:name="_Toc3989"/>
      <w:bookmarkStart w:id="7011" w:name="_Toc3200"/>
      <w:bookmarkStart w:id="7012" w:name="_Toc4329"/>
      <w:bookmarkStart w:id="7013" w:name="_Toc17601"/>
      <w:bookmarkStart w:id="7014" w:name="_Toc19071"/>
      <w:bookmarkStart w:id="7015" w:name="_Toc12433"/>
      <w:bookmarkStart w:id="7016" w:name="_Toc27924"/>
      <w:bookmarkStart w:id="7017" w:name="_Toc23147"/>
      <w:bookmarkStart w:id="7018" w:name="_Toc517528805"/>
      <w:bookmarkStart w:id="7019" w:name="_Toc28522"/>
      <w:bookmarkStart w:id="7020" w:name="_Toc23322"/>
      <w:bookmarkStart w:id="7021" w:name="_Toc6099"/>
      <w:bookmarkStart w:id="7022" w:name="_Toc517531041"/>
      <w:r>
        <w:rPr>
          <w:color w:val="auto"/>
        </w:rPr>
        <w:object>
          <v:shape id="_x0000_i1161" o:spt="201" type="#_x0000_t201" style="height:17.9pt;width:12.5pt;" o:ole="t" filled="f" o:preferrelative="t" stroked="f" coordsize="21600,21600">
            <v:path/>
            <v:fill on="f" focussize="0,0"/>
            <v:stroke on="f" joinstyle="miter"/>
            <v:imagedata o:title=""/>
            <o:lock v:ext="edit"/>
            <w10:wrap type="none"/>
            <w10:anchorlock/>
          </v:shape>
          <w:control r:id="rId234" w:name="CheckBox1326" w:shapeid="_x0000_i1161"/>
        </w:object>
      </w:r>
      <w:r>
        <w:rPr>
          <w:rFonts w:ascii="宋体" w:hAnsi="宋体" w:cs="宋体"/>
          <w:b/>
          <w:bCs/>
          <w:color w:val="auto"/>
          <w:sz w:val="28"/>
          <w:szCs w:val="28"/>
        </w:rPr>
        <w:t>11.4不平衡报价的调整</w:t>
      </w:r>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p>
    <w:p>
      <w:pPr>
        <w:snapToGrid w:val="0"/>
        <w:spacing w:line="360" w:lineRule="auto"/>
        <w:ind w:firstLine="420"/>
        <w:jc w:val="left"/>
        <w:rPr>
          <w:rFonts w:ascii="宋体" w:hAnsi="宋体" w:cs="宋体"/>
          <w:color w:val="auto"/>
          <w:szCs w:val="21"/>
        </w:rPr>
      </w:pPr>
      <w:r>
        <w:rPr>
          <w:rFonts w:ascii="宋体" w:hAnsi="宋体" w:cs="宋体"/>
          <w:color w:val="auto"/>
          <w:szCs w:val="21"/>
        </w:rPr>
        <w:t>在工程实施的整个过程中，发包人均可依据有利于招标人的原则规定对承包人不平衡报价进行调整。</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023" w:name="_Toc23748"/>
      <w:bookmarkStart w:id="7024" w:name="_Toc31450"/>
      <w:bookmarkStart w:id="7025" w:name="_Toc14352"/>
      <w:bookmarkStart w:id="7026" w:name="_Toc13030"/>
      <w:bookmarkStart w:id="7027" w:name="_Toc15195"/>
      <w:bookmarkStart w:id="7028" w:name="_Toc6153"/>
      <w:bookmarkStart w:id="7029" w:name="_Toc517531042"/>
      <w:bookmarkStart w:id="7030" w:name="_Toc15250"/>
      <w:bookmarkStart w:id="7031" w:name="_Toc15372"/>
      <w:bookmarkStart w:id="7032" w:name="_Toc517532318"/>
      <w:bookmarkStart w:id="7033" w:name="_Toc29210"/>
      <w:bookmarkStart w:id="7034" w:name="_Toc29793"/>
      <w:bookmarkStart w:id="7035" w:name="_Toc11756"/>
      <w:bookmarkStart w:id="7036" w:name="_Toc517528806"/>
      <w:bookmarkStart w:id="7037" w:name="_Toc8750"/>
      <w:bookmarkStart w:id="7038" w:name="_Toc23199"/>
      <w:bookmarkStart w:id="7039" w:name="_Toc14700"/>
      <w:bookmarkStart w:id="7040" w:name="_Toc22825"/>
      <w:r>
        <w:rPr>
          <w:rFonts w:ascii="宋体" w:hAnsi="宋体" w:cs="宋体"/>
          <w:b/>
          <w:bCs/>
          <w:color w:val="auto"/>
          <w:sz w:val="28"/>
          <w:szCs w:val="28"/>
        </w:rPr>
        <w:t>11.5措施费的调整</w:t>
      </w:r>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p>
    <w:p>
      <w:pPr>
        <w:snapToGrid w:val="0"/>
        <w:spacing w:line="360" w:lineRule="auto"/>
        <w:ind w:firstLine="420"/>
        <w:jc w:val="left"/>
        <w:rPr>
          <w:rFonts w:ascii="宋体" w:hAnsi="宋体" w:cs="宋体"/>
          <w:color w:val="auto"/>
          <w:szCs w:val="21"/>
        </w:rPr>
      </w:pPr>
      <w:r>
        <w:rPr>
          <w:rFonts w:ascii="宋体" w:hAnsi="宋体" w:cs="宋体"/>
          <w:color w:val="auto"/>
          <w:szCs w:val="21"/>
        </w:rPr>
        <w:t>发生下列情形之一的，其措施费可根据实际情况由承包人提出申请，报发包人确认批准并经评审中心评审或发包人指定的第三方审定后予以适当调整：</w:t>
      </w:r>
    </w:p>
    <w:p>
      <w:pPr>
        <w:snapToGrid w:val="0"/>
        <w:spacing w:line="360" w:lineRule="auto"/>
        <w:ind w:firstLine="400"/>
        <w:jc w:val="left"/>
        <w:rPr>
          <w:rFonts w:ascii="宋体" w:hAnsi="宋体" w:cs="宋体"/>
          <w:color w:val="auto"/>
          <w:szCs w:val="21"/>
        </w:rPr>
      </w:pPr>
      <w:r>
        <w:rPr>
          <w:color w:val="auto"/>
        </w:rPr>
        <w:object>
          <v:shape id="_x0000_i1162" o:spt="201" type="#_x0000_t201" style="height:17.9pt;width:12.5pt;" o:ole="t" filled="f" o:preferrelative="t" stroked="f" coordsize="21600,21600">
            <v:path/>
            <v:fill on="f" focussize="0,0"/>
            <v:stroke on="f" joinstyle="miter"/>
            <v:imagedata o:title=""/>
            <o:lock v:ext="edit"/>
            <w10:wrap type="none"/>
            <w10:anchorlock/>
          </v:shape>
          <w:control r:id="rId235" w:name="CheckBox1327" w:shapeid="_x0000_i1162"/>
        </w:object>
      </w:r>
      <w:r>
        <w:rPr>
          <w:rFonts w:ascii="宋体" w:hAnsi="宋体" w:cs="宋体"/>
          <w:color w:val="auto"/>
          <w:szCs w:val="21"/>
        </w:rPr>
        <w:t xml:space="preserve"> (a)发包人要求调整工期且工期提前28天及以上或延后84天及以上的；</w:t>
      </w:r>
    </w:p>
    <w:p>
      <w:pPr>
        <w:snapToGrid w:val="0"/>
        <w:spacing w:line="360" w:lineRule="auto"/>
        <w:ind w:firstLine="400"/>
        <w:jc w:val="left"/>
        <w:rPr>
          <w:rFonts w:ascii="宋体" w:hAnsi="宋体" w:cs="宋体"/>
          <w:color w:val="auto"/>
          <w:szCs w:val="21"/>
        </w:rPr>
      </w:pPr>
      <w:r>
        <w:rPr>
          <w:color w:val="auto"/>
        </w:rPr>
        <w:object>
          <v:shape id="_x0000_i1163" o:spt="201" type="#_x0000_t201" style="height:17.9pt;width:12.5pt;" o:ole="t" filled="f" o:preferrelative="t" stroked="f" coordsize="21600,21600">
            <v:path/>
            <v:fill on="f" focussize="0,0"/>
            <v:stroke on="f" joinstyle="miter"/>
            <v:imagedata o:title=""/>
            <o:lock v:ext="edit"/>
            <w10:wrap type="none"/>
            <w10:anchorlock/>
          </v:shape>
          <w:control r:id="rId236" w:name="CheckBox1328" w:shapeid="_x0000_i1163"/>
        </w:object>
      </w:r>
      <w:r>
        <w:rPr>
          <w:rFonts w:ascii="宋体" w:hAnsi="宋体" w:cs="宋体"/>
          <w:color w:val="auto"/>
          <w:szCs w:val="21"/>
        </w:rPr>
        <w:t xml:space="preserve"> (b)承包范围以外的新增工程；</w:t>
      </w:r>
    </w:p>
    <w:p>
      <w:pPr>
        <w:snapToGrid w:val="0"/>
        <w:spacing w:line="360" w:lineRule="auto"/>
        <w:ind w:firstLine="400"/>
        <w:jc w:val="left"/>
        <w:rPr>
          <w:rFonts w:ascii="宋体" w:hAnsi="宋体" w:cs="宋体"/>
          <w:color w:val="auto"/>
          <w:szCs w:val="21"/>
        </w:rPr>
      </w:pPr>
      <w:r>
        <w:rPr>
          <w:color w:val="auto"/>
        </w:rPr>
        <w:object>
          <v:shape id="_x0000_i1164" o:spt="201" type="#_x0000_t201" style="height:17.9pt;width:12.5pt;" o:ole="t" filled="f" o:preferrelative="t" stroked="f" coordsize="21600,21600">
            <v:path/>
            <v:fill on="f" focussize="0,0"/>
            <v:stroke on="f" joinstyle="miter"/>
            <v:imagedata o:title=""/>
            <o:lock v:ext="edit"/>
            <w10:wrap type="none"/>
            <w10:anchorlock/>
          </v:shape>
          <w:control r:id="rId237" w:name="CheckBox1329" w:shapeid="_x0000_i1164"/>
        </w:object>
      </w:r>
      <w:r>
        <w:rPr>
          <w:rFonts w:ascii="宋体" w:hAnsi="宋体" w:cs="宋体"/>
          <w:color w:val="auto"/>
          <w:szCs w:val="21"/>
        </w:rPr>
        <w:t xml:space="preserve"> (c)暂估价工程；</w:t>
      </w:r>
    </w:p>
    <w:p>
      <w:pPr>
        <w:snapToGrid w:val="0"/>
        <w:spacing w:line="360" w:lineRule="auto"/>
        <w:ind w:firstLine="400"/>
        <w:jc w:val="left"/>
        <w:rPr>
          <w:rFonts w:ascii="宋体" w:hAnsi="宋体" w:cs="宋体"/>
          <w:color w:val="auto"/>
          <w:szCs w:val="21"/>
        </w:rPr>
      </w:pPr>
      <w:r>
        <w:rPr>
          <w:color w:val="auto"/>
        </w:rPr>
        <w:object>
          <v:shape id="_x0000_i1165" o:spt="201" type="#_x0000_t201" style="height:17.9pt;width:12.5pt;" o:ole="t" filled="f" o:preferrelative="t" stroked="f" coordsize="21600,21600">
            <v:path/>
            <v:fill on="f" focussize="0,0"/>
            <v:stroke on="f" joinstyle="miter"/>
            <v:imagedata o:title=""/>
            <o:lock v:ext="edit"/>
            <w10:wrap type="none"/>
            <w10:anchorlock/>
          </v:shape>
          <w:control r:id="rId238" w:name="CheckBox1330" w:shapeid="_x0000_i1165"/>
        </w:object>
      </w:r>
      <w:r>
        <w:rPr>
          <w:rFonts w:ascii="宋体" w:hAnsi="宋体" w:cs="宋体"/>
          <w:color w:val="auto"/>
          <w:szCs w:val="21"/>
        </w:rPr>
        <w:t xml:space="preserve"> (d)经发包人（技术委员会）批准的重大设计变更且需要增加措施费用的；</w:t>
      </w:r>
    </w:p>
    <w:p>
      <w:pPr>
        <w:snapToGrid w:val="0"/>
        <w:spacing w:line="360" w:lineRule="auto"/>
        <w:ind w:firstLine="420"/>
        <w:jc w:val="left"/>
        <w:rPr>
          <w:rFonts w:ascii="宋体" w:hAnsi="宋体" w:cs="宋体"/>
          <w:color w:val="auto"/>
          <w:szCs w:val="21"/>
          <w:u w:val="single"/>
        </w:rPr>
      </w:pPr>
      <w:r>
        <w:rPr>
          <w:rFonts w:ascii="宋体" w:hAnsi="宋体" w:cs="宋体"/>
          <w:color w:val="auto"/>
          <w:szCs w:val="21"/>
        </w:rPr>
        <w:t xml:space="preserve">    重大设计变更是指：</w:t>
      </w:r>
      <w:r>
        <w:rPr>
          <w:rFonts w:ascii="宋体" w:hAnsi="宋体" w:cs="宋体"/>
          <w:color w:val="auto"/>
          <w:szCs w:val="21"/>
          <w:u w:val="single"/>
        </w:rPr>
        <w:t xml:space="preserve">                                          。</w:t>
      </w:r>
    </w:p>
    <w:p>
      <w:pPr>
        <w:spacing w:line="360" w:lineRule="auto"/>
        <w:ind w:firstLine="400"/>
        <w:rPr>
          <w:rFonts w:ascii="宋体" w:hAnsi="宋体" w:cs="宋体"/>
          <w:color w:val="auto"/>
          <w:szCs w:val="21"/>
        </w:rPr>
      </w:pPr>
      <w:r>
        <w:rPr>
          <w:color w:val="auto"/>
        </w:rPr>
        <w:object>
          <v:shape id="_x0000_i1166" o:spt="201" type="#_x0000_t201" style="height:17.9pt;width:12.5pt;" o:ole="t" filled="f" o:preferrelative="t" stroked="f" coordsize="21600,21600">
            <v:path/>
            <v:fill on="f" focussize="0,0"/>
            <v:stroke on="f" joinstyle="miter"/>
            <v:imagedata o:title=""/>
            <o:lock v:ext="edit"/>
            <w10:wrap type="none"/>
            <w10:anchorlock/>
          </v:shape>
          <w:control r:id="rId239" w:name="CheckBox1331" w:shapeid="_x0000_i1166"/>
        </w:object>
      </w:r>
      <w:r>
        <w:rPr>
          <w:rFonts w:ascii="宋体" w:hAnsi="宋体" w:cs="宋体"/>
          <w:color w:val="auto"/>
          <w:szCs w:val="21"/>
        </w:rPr>
        <w:t xml:space="preserve"> (e)现场存在混凝土构件模板支撑高度超过8m，或搭设跨度超过18m的高大模板支撑系统（支架），且支撑系统（支架）方案经相关单位审批及专家论证。</w:t>
      </w:r>
    </w:p>
    <w:p>
      <w:pPr>
        <w:spacing w:line="360" w:lineRule="auto"/>
        <w:ind w:firstLine="400"/>
        <w:rPr>
          <w:rFonts w:ascii="宋体" w:hAnsi="宋体" w:cs="宋体"/>
          <w:color w:val="auto"/>
          <w:szCs w:val="21"/>
        </w:rPr>
      </w:pPr>
      <w:r>
        <w:rPr>
          <w:color w:val="auto"/>
        </w:rPr>
        <w:object>
          <v:shape id="_x0000_i1167" o:spt="201" type="#_x0000_t201" style="height:17.9pt;width:12.5pt;" o:ole="t" filled="f" o:preferrelative="t" stroked="f" coordsize="21600,21600">
            <v:path/>
            <v:fill on="f" focussize="0,0"/>
            <v:stroke on="f" joinstyle="miter"/>
            <v:imagedata o:title=""/>
            <o:lock v:ext="edit"/>
            <w10:wrap type="none"/>
            <w10:anchorlock/>
          </v:shape>
          <w:control r:id="rId240" w:name="CheckBox1332" w:shapeid="_x0000_i1167"/>
        </w:object>
      </w:r>
      <w:r>
        <w:rPr>
          <w:color w:val="auto"/>
          <w:sz w:val="23"/>
          <w:szCs w:val="23"/>
        </w:rPr>
        <w:t>（f）其他：</w:t>
      </w:r>
      <w:r>
        <w:rPr>
          <w:color w:val="auto"/>
          <w:sz w:val="23"/>
          <w:szCs w:val="23"/>
          <w:u w:val="single"/>
        </w:rPr>
        <w:t xml:space="preserve">                                     。</w:t>
      </w:r>
      <w:bookmarkStart w:id="7041" w:name="_Toc297216200"/>
      <w:bookmarkEnd w:id="7041"/>
      <w:bookmarkStart w:id="7042" w:name="_Toc267251441"/>
      <w:bookmarkEnd w:id="7042"/>
      <w:bookmarkStart w:id="7043" w:name="_Toc296346695"/>
      <w:bookmarkEnd w:id="7043"/>
      <w:bookmarkStart w:id="7044" w:name="_Toc292559904"/>
      <w:bookmarkEnd w:id="7044"/>
      <w:bookmarkStart w:id="7045" w:name="_Toc296891234"/>
      <w:bookmarkEnd w:id="7045"/>
      <w:bookmarkStart w:id="7046" w:name="_Toc303539147"/>
      <w:bookmarkEnd w:id="7046"/>
      <w:bookmarkStart w:id="7047" w:name="_Toc267251439"/>
      <w:bookmarkEnd w:id="7047"/>
      <w:bookmarkStart w:id="7048" w:name="_Toc297048380"/>
      <w:bookmarkEnd w:id="7048"/>
      <w:bookmarkStart w:id="7049" w:name="_Toc296891022"/>
      <w:bookmarkEnd w:id="7049"/>
      <w:bookmarkStart w:id="7050" w:name="_Toc300934990"/>
      <w:bookmarkEnd w:id="7050"/>
      <w:bookmarkStart w:id="7051" w:name="_Toc267251435"/>
      <w:bookmarkEnd w:id="7051"/>
      <w:bookmarkStart w:id="7052" w:name="_Toc312677500"/>
      <w:bookmarkEnd w:id="7052"/>
      <w:bookmarkStart w:id="7053" w:name="_Toc292559399"/>
      <w:bookmarkEnd w:id="7053"/>
      <w:bookmarkStart w:id="7054" w:name="_Toc296503194"/>
      <w:bookmarkEnd w:id="7054"/>
      <w:bookmarkStart w:id="7055" w:name="_Toc304295567"/>
      <w:bookmarkEnd w:id="7055"/>
      <w:bookmarkStart w:id="7056" w:name="_Toc312678026"/>
      <w:bookmarkEnd w:id="7056"/>
      <w:bookmarkStart w:id="7057" w:name="_Toc267251440"/>
      <w:bookmarkEnd w:id="7057"/>
      <w:bookmarkStart w:id="7058" w:name="_Toc296347193"/>
      <w:bookmarkEnd w:id="7058"/>
      <w:bookmarkStart w:id="7059" w:name="_Toc296944533"/>
      <w:bookmarkEnd w:id="7059"/>
      <w:bookmarkStart w:id="7060" w:name="_Toc267251433"/>
      <w:bookmarkEnd w:id="7060"/>
      <w:bookmarkStart w:id="7061" w:name="_Toc297123541"/>
      <w:bookmarkEnd w:id="7061"/>
      <w:bookmarkStart w:id="7062" w:name="_Toc267251437"/>
      <w:bookmarkEnd w:id="7062"/>
      <w:bookmarkStart w:id="7063" w:name="_Toc297120494"/>
      <w:bookmarkEnd w:id="7063"/>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064" w:name="_Toc292559410"/>
      <w:bookmarkStart w:id="7065" w:name="_Toc296346706"/>
      <w:bookmarkStart w:id="7066" w:name="_Toc296891033"/>
      <w:bookmarkStart w:id="7067" w:name="_Toc292559915"/>
      <w:bookmarkStart w:id="7068" w:name="_Toc297048391"/>
      <w:bookmarkStart w:id="7069" w:name="_Toc297120505"/>
      <w:bookmarkStart w:id="7070" w:name="_Toc296347204"/>
      <w:bookmarkStart w:id="7071" w:name="_Toc296503205"/>
      <w:bookmarkStart w:id="7072" w:name="_Toc296944544"/>
      <w:bookmarkStart w:id="7073" w:name="_Toc296891245"/>
      <w:bookmarkStart w:id="7074" w:name="_Toc517532319"/>
      <w:bookmarkStart w:id="7075" w:name="_Toc12092"/>
      <w:bookmarkStart w:id="7076" w:name="_Toc517531043"/>
      <w:bookmarkStart w:id="7077" w:name="_Toc12287"/>
      <w:bookmarkStart w:id="7078" w:name="_Toc465237158"/>
      <w:bookmarkStart w:id="7079" w:name="_Toc351203644"/>
      <w:bookmarkStart w:id="7080" w:name="_Toc7423"/>
      <w:bookmarkStart w:id="7081" w:name="_Toc15235"/>
      <w:bookmarkStart w:id="7082" w:name="_Toc21866"/>
      <w:bookmarkStart w:id="7083" w:name="_Toc11376"/>
      <w:bookmarkStart w:id="7084" w:name="_Toc20571"/>
      <w:bookmarkStart w:id="7085" w:name="_Toc12593"/>
      <w:bookmarkStart w:id="7086" w:name="_Toc16986"/>
      <w:bookmarkStart w:id="7087" w:name="_Toc29421"/>
      <w:bookmarkStart w:id="7088" w:name="_Toc31593"/>
      <w:bookmarkStart w:id="7089" w:name="_Toc517529767"/>
      <w:bookmarkStart w:id="7090" w:name="_Toc465237260"/>
      <w:bookmarkStart w:id="7091" w:name="_Toc26582"/>
      <w:bookmarkStart w:id="7092" w:name="_Toc13217"/>
      <w:bookmarkStart w:id="7093" w:name="_Toc31928"/>
      <w:bookmarkStart w:id="7094" w:name="_Toc517528807"/>
      <w:bookmarkStart w:id="7095" w:name="_Toc22694"/>
      <w:bookmarkStart w:id="7096" w:name="_Toc13911"/>
      <w:bookmarkStart w:id="7097" w:name="_Toc9698"/>
      <w:bookmarkStart w:id="7098" w:name="_Toc8487"/>
      <w:r>
        <w:rPr>
          <w:rFonts w:ascii="宋体" w:hAnsi="宋体" w:cs="宋体"/>
          <w:b/>
          <w:bCs/>
          <w:color w:val="auto"/>
          <w:sz w:val="30"/>
          <w:szCs w:val="30"/>
        </w:rPr>
        <w:t xml:space="preserve">12. </w:t>
      </w:r>
      <w:bookmarkEnd w:id="7064"/>
      <w:bookmarkEnd w:id="7065"/>
      <w:bookmarkEnd w:id="7066"/>
      <w:bookmarkEnd w:id="7067"/>
      <w:bookmarkEnd w:id="7068"/>
      <w:bookmarkEnd w:id="7069"/>
      <w:bookmarkEnd w:id="7070"/>
      <w:bookmarkEnd w:id="7071"/>
      <w:bookmarkEnd w:id="7072"/>
      <w:bookmarkEnd w:id="7073"/>
      <w:r>
        <w:rPr>
          <w:rFonts w:ascii="宋体" w:hAnsi="宋体" w:cs="宋体"/>
          <w:b/>
          <w:bCs/>
          <w:color w:val="auto"/>
          <w:sz w:val="30"/>
          <w:szCs w:val="30"/>
        </w:rPr>
        <w:t>合同价格、计量与支付</w:t>
      </w:r>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Start w:id="7099" w:name="_Toc300935002"/>
      <w:bookmarkEnd w:id="7099"/>
      <w:bookmarkStart w:id="7100" w:name="_Toc297216211"/>
      <w:bookmarkEnd w:id="7100"/>
      <w:bookmarkStart w:id="7101" w:name="_Toc303539159"/>
      <w:bookmarkEnd w:id="7101"/>
      <w:bookmarkStart w:id="7102" w:name="_Toc304295579"/>
      <w:bookmarkEnd w:id="7102"/>
      <w:bookmarkStart w:id="7103" w:name="_Toc312678040"/>
      <w:bookmarkEnd w:id="7103"/>
      <w:bookmarkStart w:id="7104" w:name="_Toc297123552"/>
      <w:bookmarkEnd w:id="7104"/>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105" w:name="_Toc32654"/>
      <w:bookmarkStart w:id="7106" w:name="_Toc20021"/>
      <w:bookmarkStart w:id="7107" w:name="_Toc517532320"/>
      <w:bookmarkStart w:id="7108" w:name="_Toc517528808"/>
      <w:bookmarkStart w:id="7109" w:name="_Toc31906"/>
      <w:bookmarkStart w:id="7110" w:name="_Toc24269"/>
      <w:bookmarkStart w:id="7111" w:name="_Toc3553"/>
      <w:bookmarkStart w:id="7112" w:name="_Toc10357"/>
      <w:bookmarkStart w:id="7113" w:name="_Toc982"/>
      <w:bookmarkStart w:id="7114" w:name="_Toc517531044"/>
      <w:bookmarkStart w:id="7115" w:name="_Toc19878"/>
      <w:bookmarkStart w:id="7116" w:name="_Toc12816"/>
      <w:bookmarkStart w:id="7117" w:name="_Toc8266"/>
      <w:bookmarkStart w:id="7118" w:name="_Toc465237262"/>
      <w:bookmarkStart w:id="7119" w:name="_Toc465237160"/>
      <w:bookmarkStart w:id="7120" w:name="_Toc32724"/>
      <w:bookmarkStart w:id="7121" w:name="_Toc18965"/>
      <w:bookmarkStart w:id="7122" w:name="_Toc16717"/>
      <w:bookmarkStart w:id="7123" w:name="_Toc28936"/>
      <w:bookmarkStart w:id="7124" w:name="_Toc23365"/>
      <w:bookmarkStart w:id="7125" w:name="_Toc8097"/>
      <w:bookmarkStart w:id="7126" w:name="_Toc25086"/>
      <w:bookmarkStart w:id="7127" w:name="_Toc20747"/>
      <w:r>
        <w:rPr>
          <w:rFonts w:ascii="宋体" w:hAnsi="宋体" w:cs="宋体"/>
          <w:b/>
          <w:bCs/>
          <w:color w:val="auto"/>
          <w:sz w:val="28"/>
          <w:szCs w:val="28"/>
        </w:rPr>
        <w:t>12.1 合同价格和费用</w:t>
      </w:r>
      <w:bookmarkEnd w:id="7105"/>
      <w:bookmarkEnd w:id="7106"/>
      <w:bookmarkEnd w:id="7107"/>
      <w:bookmarkEnd w:id="7108"/>
      <w:bookmarkEnd w:id="7109"/>
      <w:bookmarkEnd w:id="7110"/>
      <w:bookmarkEnd w:id="7111"/>
      <w:bookmarkEnd w:id="7112"/>
      <w:bookmarkEnd w:id="7113"/>
      <w:bookmarkEnd w:id="7114"/>
    </w:p>
    <w:p>
      <w:pPr>
        <w:keepNext/>
        <w:keepLines/>
        <w:numPr>
          <w:ilvl w:val="0"/>
          <w:numId w:val="0"/>
        </w:numPr>
        <w:spacing w:before="156" w:after="156" w:line="360" w:lineRule="auto"/>
        <w:ind w:left="634" w:firstLine="0"/>
        <w:outlineLvl w:val="3"/>
        <w:rPr>
          <w:rFonts w:ascii="宋体" w:hAnsi="宋体" w:cs="宋体"/>
          <w:b/>
          <w:bCs/>
          <w:color w:val="auto"/>
          <w:sz w:val="24"/>
          <w:szCs w:val="24"/>
        </w:rPr>
      </w:pPr>
      <w:bookmarkStart w:id="7128" w:name="_Toc10742"/>
      <w:bookmarkStart w:id="7129" w:name="_Toc14223"/>
      <w:bookmarkStart w:id="7130" w:name="_Toc517531045"/>
      <w:bookmarkStart w:id="7131" w:name="_Toc30162"/>
      <w:bookmarkStart w:id="7132" w:name="_Toc21688"/>
      <w:bookmarkStart w:id="7133" w:name="_Toc17261"/>
      <w:bookmarkStart w:id="7134" w:name="_Toc517532321"/>
      <w:bookmarkStart w:id="7135" w:name="_Toc7303"/>
      <w:bookmarkStart w:id="7136" w:name="_Toc31820"/>
      <w:r>
        <w:rPr>
          <w:rFonts w:ascii="宋体" w:hAnsi="宋体" w:cs="宋体"/>
          <w:b/>
          <w:bCs/>
          <w:color w:val="auto"/>
          <w:sz w:val="24"/>
          <w:szCs w:val="24"/>
        </w:rPr>
        <w:t>12.1.4材料设备暂估价的最后确定</w:t>
      </w:r>
      <w:bookmarkEnd w:id="7128"/>
      <w:bookmarkEnd w:id="7129"/>
      <w:bookmarkEnd w:id="7130"/>
      <w:bookmarkEnd w:id="7131"/>
      <w:bookmarkEnd w:id="7132"/>
      <w:bookmarkEnd w:id="7133"/>
      <w:bookmarkEnd w:id="7134"/>
      <w:bookmarkEnd w:id="7135"/>
      <w:bookmarkEnd w:id="7136"/>
    </w:p>
    <w:p>
      <w:pPr>
        <w:spacing w:line="360" w:lineRule="auto"/>
        <w:ind w:firstLine="428"/>
        <w:rPr>
          <w:rFonts w:ascii="宋体" w:hAnsi="宋体" w:cs="宋体"/>
          <w:color w:val="auto"/>
          <w:spacing w:val="2"/>
          <w:szCs w:val="21"/>
        </w:rPr>
      </w:pPr>
      <w:r>
        <w:rPr>
          <w:rFonts w:ascii="宋体" w:hAnsi="宋体" w:cs="宋体"/>
          <w:color w:val="auto"/>
          <w:spacing w:val="2"/>
          <w:szCs w:val="21"/>
        </w:rPr>
        <w:t>深圳市相关主管部门的规定有：</w:t>
      </w:r>
    </w:p>
    <w:p>
      <w:pPr>
        <w:spacing w:line="360" w:lineRule="auto"/>
        <w:ind w:firstLine="856"/>
        <w:rPr>
          <w:rFonts w:ascii="宋体" w:hAnsi="宋体" w:cs="宋体"/>
          <w:color w:val="auto"/>
          <w:spacing w:val="2"/>
          <w:szCs w:val="21"/>
        </w:rPr>
      </w:pPr>
      <w:r>
        <w:rPr>
          <w:rFonts w:ascii="宋体" w:hAnsi="宋体" w:cs="宋体"/>
          <w:color w:val="auto"/>
          <w:spacing w:val="2"/>
          <w:szCs w:val="21"/>
        </w:rPr>
        <w:t>《深圳市建设工程造价管理规定》</w:t>
      </w:r>
    </w:p>
    <w:p>
      <w:pPr>
        <w:spacing w:line="360" w:lineRule="auto"/>
        <w:ind w:firstLine="856"/>
        <w:rPr>
          <w:rFonts w:ascii="宋体" w:hAnsi="宋体" w:cs="宋体"/>
          <w:color w:val="auto"/>
          <w:spacing w:val="2"/>
          <w:szCs w:val="21"/>
        </w:rPr>
      </w:pPr>
      <w:r>
        <w:rPr>
          <w:rFonts w:ascii="宋体" w:hAnsi="宋体" w:cs="宋体"/>
          <w:color w:val="auto"/>
          <w:spacing w:val="2"/>
          <w:szCs w:val="21"/>
        </w:rPr>
        <w:t>《深圳市建设工程材料设备询价采购办法》</w:t>
      </w:r>
    </w:p>
    <w:p>
      <w:pPr>
        <w:spacing w:line="360" w:lineRule="auto"/>
        <w:rPr>
          <w:rFonts w:ascii="宋体" w:hAnsi="宋体" w:cs="宋体"/>
          <w:color w:val="auto"/>
          <w:spacing w:val="2"/>
          <w:szCs w:val="21"/>
        </w:rPr>
      </w:pPr>
      <w:r>
        <w:rPr>
          <w:rFonts w:ascii="宋体" w:hAnsi="宋体" w:cs="宋体"/>
          <w:color w:val="auto"/>
          <w:spacing w:val="2"/>
          <w:szCs w:val="21"/>
        </w:rPr>
        <w:t xml:space="preserve">       </w:t>
      </w:r>
      <w:r>
        <w:rPr>
          <w:rFonts w:ascii="宋体" w:hAnsi="宋体" w:cs="宋体"/>
          <w:color w:val="auto"/>
          <w:spacing w:val="2"/>
          <w:szCs w:val="21"/>
          <w:u w:val="single"/>
        </w:rPr>
        <w:t xml:space="preserve">                                              </w:t>
      </w:r>
    </w:p>
    <w:p>
      <w:pPr>
        <w:spacing w:line="360" w:lineRule="auto"/>
        <w:rPr>
          <w:rFonts w:ascii="宋体" w:hAnsi="宋体" w:cs="宋体"/>
          <w:color w:val="auto"/>
          <w:spacing w:val="2"/>
          <w:szCs w:val="21"/>
        </w:rPr>
      </w:pPr>
      <w:r>
        <w:rPr>
          <w:rFonts w:ascii="宋体" w:hAnsi="宋体" w:cs="宋体"/>
          <w:color w:val="auto"/>
          <w:spacing w:val="2"/>
          <w:szCs w:val="21"/>
        </w:rPr>
        <w:t xml:space="preserve">       </w:t>
      </w:r>
      <w:r>
        <w:rPr>
          <w:rFonts w:ascii="宋体" w:hAnsi="宋体" w:cs="宋体"/>
          <w:color w:val="auto"/>
          <w:spacing w:val="2"/>
          <w:szCs w:val="21"/>
          <w:u w:val="single"/>
        </w:rPr>
        <w:t xml:space="preserve">                                              </w:t>
      </w:r>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137" w:name="_Toc8717"/>
      <w:bookmarkStart w:id="7138" w:name="_Toc2469"/>
      <w:bookmarkStart w:id="7139" w:name="_Toc29523"/>
      <w:bookmarkStart w:id="7140" w:name="_Toc517531046"/>
      <w:bookmarkStart w:id="7141" w:name="_Toc31114"/>
      <w:bookmarkStart w:id="7142" w:name="_Toc517532322"/>
      <w:bookmarkStart w:id="7143" w:name="_Toc517528809"/>
      <w:bookmarkStart w:id="7144" w:name="_Toc4615"/>
      <w:bookmarkStart w:id="7145" w:name="_Toc28149"/>
      <w:bookmarkStart w:id="7146" w:name="_Toc14170"/>
      <w:r>
        <w:rPr>
          <w:rFonts w:ascii="宋体" w:hAnsi="宋体" w:cs="宋体"/>
          <w:b/>
          <w:bCs/>
          <w:color w:val="auto"/>
          <w:sz w:val="28"/>
          <w:szCs w:val="28"/>
        </w:rPr>
        <w:t>12.3 工程款支付</w:t>
      </w:r>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37"/>
      <w:bookmarkEnd w:id="7138"/>
      <w:bookmarkEnd w:id="7139"/>
      <w:bookmarkEnd w:id="7140"/>
      <w:bookmarkEnd w:id="7141"/>
      <w:bookmarkEnd w:id="7142"/>
      <w:bookmarkEnd w:id="7143"/>
      <w:bookmarkEnd w:id="7144"/>
      <w:bookmarkEnd w:id="7145"/>
      <w:bookmarkEnd w:id="7146"/>
    </w:p>
    <w:p>
      <w:pPr>
        <w:keepNext/>
        <w:keepLines/>
        <w:numPr>
          <w:ilvl w:val="0"/>
          <w:numId w:val="0"/>
        </w:numPr>
        <w:spacing w:before="156" w:after="156" w:line="360" w:lineRule="auto"/>
        <w:ind w:firstLine="400"/>
        <w:outlineLvl w:val="3"/>
        <w:rPr>
          <w:rFonts w:ascii="宋体" w:hAnsi="宋体" w:cs="宋体"/>
          <w:b/>
          <w:bCs/>
          <w:color w:val="auto"/>
          <w:sz w:val="24"/>
          <w:szCs w:val="24"/>
        </w:rPr>
      </w:pPr>
      <w:bookmarkStart w:id="7147" w:name="_Toc6767"/>
      <w:bookmarkStart w:id="7148" w:name="_Toc2292"/>
      <w:bookmarkStart w:id="7149" w:name="_Toc24482"/>
      <w:bookmarkStart w:id="7150" w:name="_Toc517532323"/>
      <w:bookmarkStart w:id="7151" w:name="_Toc17794"/>
      <w:bookmarkStart w:id="7152" w:name="_Toc11059"/>
      <w:bookmarkStart w:id="7153" w:name="_Toc18244"/>
      <w:bookmarkStart w:id="7154" w:name="_Toc517531047"/>
      <w:bookmarkStart w:id="7155" w:name="_Toc11577"/>
      <w:bookmarkStart w:id="7156" w:name="_Toc29015"/>
      <w:bookmarkStart w:id="7157" w:name="_Toc7605"/>
      <w:bookmarkStart w:id="7158" w:name="_Toc21554"/>
      <w:bookmarkStart w:id="7159" w:name="_Toc29780"/>
      <w:bookmarkStart w:id="7160" w:name="_Toc7056"/>
      <w:bookmarkStart w:id="7161" w:name="_Toc23529"/>
      <w:bookmarkStart w:id="7162" w:name="_Toc9558"/>
      <w:bookmarkStart w:id="7163" w:name="_Toc23639"/>
      <w:bookmarkStart w:id="7164" w:name="_Toc26693"/>
      <w:bookmarkStart w:id="7165" w:name="_Toc6264"/>
      <w:bookmarkStart w:id="7166" w:name="_Toc3970"/>
      <w:r>
        <w:rPr>
          <w:color w:val="auto"/>
        </w:rPr>
        <w:object>
          <v:shape id="_x0000_i1168" o:spt="201" type="#_x0000_t201" style="height:17.9pt;width:12.5pt;" o:ole="t" filled="f" o:preferrelative="t" stroked="f" coordsize="21600,21600">
            <v:path/>
            <v:fill on="f" focussize="0,0"/>
            <v:stroke on="f" joinstyle="miter"/>
            <v:imagedata o:title=""/>
            <o:lock v:ext="edit"/>
            <w10:wrap type="none"/>
            <w10:anchorlock/>
          </v:shape>
          <w:control r:id="rId241" w:name="CheckBox1333" w:shapeid="_x0000_i1168"/>
        </w:object>
      </w:r>
      <w:r>
        <w:rPr>
          <w:rFonts w:ascii="宋体" w:hAnsi="宋体" w:cs="宋体"/>
          <w:b/>
          <w:bCs/>
          <w:color w:val="auto"/>
          <w:sz w:val="24"/>
          <w:szCs w:val="24"/>
        </w:rPr>
        <w:t>12.3.10 供应商货款支付</w:t>
      </w:r>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p>
    <w:p>
      <w:pPr>
        <w:snapToGrid w:val="0"/>
        <w:spacing w:line="360" w:lineRule="auto"/>
        <w:ind w:firstLine="428"/>
        <w:jc w:val="left"/>
        <w:rPr>
          <w:rFonts w:ascii="宋体" w:hAnsi="宋体" w:cs="宋体"/>
          <w:color w:val="auto"/>
          <w:spacing w:val="2"/>
          <w:szCs w:val="21"/>
        </w:rPr>
      </w:pPr>
      <w:r>
        <w:rPr>
          <w:rFonts w:ascii="宋体" w:hAnsi="宋体" w:cs="宋体"/>
          <w:color w:val="auto"/>
          <w:spacing w:val="2"/>
          <w:szCs w:val="21"/>
        </w:rPr>
        <w:t>承包人不得拖欠材料设备供应商的货款。承包人收到含有材料设备款的工程进度款后，未按其与材料设备供应商签订合同约定的期限支付应付货款的，发包人有权暂停支付承包人应收款项，直至承包人纠正为止；同时发包人有权代替承包人直接支付其应付货款，承包人不得对此提出异议。此外，发包人可根据承包人拖欠货款的情节轻重，在履约评价中予以记录，或直接记录承包人的不良行为记录，情节特别严重的发包人可拒绝承包人在一段时间内的投标。</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167" w:name="_Toc517529768"/>
      <w:bookmarkStart w:id="7168" w:name="_Toc20250"/>
      <w:bookmarkStart w:id="7169" w:name="_Toc13925"/>
      <w:bookmarkStart w:id="7170" w:name="_Toc3763"/>
      <w:bookmarkStart w:id="7171" w:name="_Toc23641"/>
      <w:bookmarkStart w:id="7172" w:name="_Toc517531048"/>
      <w:bookmarkStart w:id="7173" w:name="_Toc18872"/>
      <w:bookmarkStart w:id="7174" w:name="_Toc517528810"/>
      <w:bookmarkStart w:id="7175" w:name="_Toc517532324"/>
      <w:bookmarkStart w:id="7176" w:name="_Toc16024"/>
      <w:bookmarkStart w:id="7177" w:name="_Toc26332"/>
      <w:bookmarkStart w:id="7178" w:name="_Toc23581"/>
      <w:bookmarkStart w:id="7179" w:name="_Toc25647"/>
      <w:bookmarkStart w:id="7180" w:name="_Toc12808"/>
      <w:bookmarkStart w:id="7181" w:name="_Toc26512"/>
      <w:bookmarkStart w:id="7182" w:name="_Toc22388"/>
      <w:bookmarkStart w:id="7183" w:name="_Toc24353"/>
      <w:bookmarkStart w:id="7184" w:name="_Toc1714"/>
      <w:bookmarkStart w:id="7185" w:name="_Toc6028"/>
      <w:r>
        <w:rPr>
          <w:rFonts w:ascii="宋体" w:hAnsi="宋体" w:cs="宋体"/>
          <w:b/>
          <w:bCs/>
          <w:color w:val="auto"/>
          <w:sz w:val="30"/>
          <w:szCs w:val="30"/>
        </w:rPr>
        <w:t>13.竣工验收</w:t>
      </w:r>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p>
    <w:p>
      <w:pPr>
        <w:spacing w:line="360" w:lineRule="auto"/>
        <w:ind w:firstLine="420"/>
        <w:rPr>
          <w:rFonts w:ascii="宋体" w:hAnsi="宋体" w:cs="宋体"/>
          <w:color w:val="auto"/>
          <w:szCs w:val="21"/>
          <w:u w:val="single"/>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186" w:name="_Toc10034"/>
      <w:bookmarkStart w:id="7187" w:name="_Toc3425"/>
      <w:bookmarkStart w:id="7188" w:name="_Toc1328"/>
      <w:bookmarkStart w:id="7189" w:name="_Toc4787"/>
      <w:bookmarkStart w:id="7190" w:name="_Toc10069"/>
      <w:bookmarkStart w:id="7191" w:name="_Toc517528811"/>
      <w:bookmarkStart w:id="7192" w:name="_Toc12224"/>
      <w:bookmarkStart w:id="7193" w:name="_Toc29540"/>
      <w:bookmarkStart w:id="7194" w:name="_Toc26619"/>
      <w:bookmarkStart w:id="7195" w:name="_Toc21665"/>
      <w:bookmarkStart w:id="7196" w:name="_Toc23135"/>
      <w:bookmarkStart w:id="7197" w:name="_Toc517529769"/>
      <w:bookmarkStart w:id="7198" w:name="_Toc23879"/>
      <w:bookmarkStart w:id="7199" w:name="_Toc1159"/>
      <w:bookmarkStart w:id="7200" w:name="_Toc517532325"/>
      <w:bookmarkStart w:id="7201" w:name="_Toc517531049"/>
      <w:bookmarkStart w:id="7202" w:name="_Toc17596"/>
      <w:bookmarkStart w:id="7203" w:name="_Toc17630"/>
      <w:bookmarkStart w:id="7204" w:name="_Toc4221"/>
      <w:r>
        <w:rPr>
          <w:rFonts w:ascii="宋体" w:hAnsi="宋体" w:cs="宋体"/>
          <w:b/>
          <w:bCs/>
          <w:color w:val="auto"/>
          <w:sz w:val="30"/>
          <w:szCs w:val="30"/>
        </w:rPr>
        <w:t>14.竣工结算</w:t>
      </w:r>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p>
    <w:p>
      <w:pPr>
        <w:spacing w:line="360" w:lineRule="auto"/>
        <w:ind w:firstLine="420"/>
        <w:rPr>
          <w:rFonts w:ascii="宋体" w:hAnsi="宋体" w:cs="宋体"/>
          <w:color w:val="auto"/>
          <w:szCs w:val="21"/>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205" w:name="_Toc13579"/>
      <w:bookmarkStart w:id="7206" w:name="_Toc16279"/>
      <w:bookmarkStart w:id="7207" w:name="_Toc28708"/>
      <w:bookmarkStart w:id="7208" w:name="_Toc31235"/>
      <w:bookmarkStart w:id="7209" w:name="_Toc9194"/>
      <w:bookmarkStart w:id="7210" w:name="_Toc16354"/>
      <w:bookmarkStart w:id="7211" w:name="_Toc24452"/>
      <w:bookmarkStart w:id="7212" w:name="_Toc517529770"/>
      <w:bookmarkStart w:id="7213" w:name="_Toc29160"/>
      <w:bookmarkStart w:id="7214" w:name="_Toc2131"/>
      <w:bookmarkStart w:id="7215" w:name="_Toc30123"/>
      <w:bookmarkStart w:id="7216" w:name="_Toc8101"/>
      <w:bookmarkStart w:id="7217" w:name="_Toc517531050"/>
      <w:bookmarkStart w:id="7218" w:name="_Toc30352"/>
      <w:bookmarkStart w:id="7219" w:name="_Toc27951"/>
      <w:bookmarkStart w:id="7220" w:name="_Toc517532326"/>
      <w:bookmarkStart w:id="7221" w:name="_Toc7699"/>
      <w:bookmarkStart w:id="7222" w:name="_Toc11994"/>
      <w:bookmarkStart w:id="7223" w:name="_Toc15799"/>
      <w:bookmarkStart w:id="7224" w:name="_Toc517528812"/>
      <w:r>
        <w:rPr>
          <w:rFonts w:ascii="宋体" w:hAnsi="宋体" w:cs="宋体"/>
          <w:b/>
          <w:bCs/>
          <w:color w:val="auto"/>
          <w:sz w:val="30"/>
          <w:szCs w:val="30"/>
        </w:rPr>
        <w:t>15. 缺陷责任与保修</w:t>
      </w:r>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225" w:name="_Toc517532327"/>
      <w:bookmarkStart w:id="7226" w:name="_Toc23405"/>
      <w:bookmarkStart w:id="7227" w:name="_Toc22725"/>
      <w:bookmarkStart w:id="7228" w:name="_Toc517528813"/>
      <w:bookmarkStart w:id="7229" w:name="_Toc4132"/>
      <w:bookmarkStart w:id="7230" w:name="_Toc17626"/>
      <w:bookmarkStart w:id="7231" w:name="_Toc30343"/>
      <w:bookmarkStart w:id="7232" w:name="_Toc15792"/>
      <w:bookmarkStart w:id="7233" w:name="_Toc6023"/>
      <w:bookmarkStart w:id="7234" w:name="_Toc13516"/>
      <w:bookmarkStart w:id="7235" w:name="_Toc24105"/>
      <w:bookmarkStart w:id="7236" w:name="_Toc517531051"/>
      <w:bookmarkStart w:id="7237" w:name="_Toc13813"/>
      <w:bookmarkStart w:id="7238" w:name="_Toc17360"/>
      <w:bookmarkStart w:id="7239" w:name="_Toc17142"/>
      <w:bookmarkStart w:id="7240" w:name="_Toc13955"/>
      <w:bookmarkStart w:id="7241" w:name="_Toc20721"/>
      <w:bookmarkStart w:id="7242" w:name="_Toc10593"/>
      <w:bookmarkStart w:id="7243" w:name="_Toc27346"/>
      <w:r>
        <w:rPr>
          <w:rFonts w:ascii="宋体" w:hAnsi="宋体" w:cs="宋体"/>
          <w:b/>
          <w:bCs/>
          <w:color w:val="auto"/>
          <w:sz w:val="28"/>
          <w:szCs w:val="28"/>
        </w:rPr>
        <w:t>15.3缺陷修复的费用</w:t>
      </w:r>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p>
    <w:p>
      <w:pPr>
        <w:spacing w:line="360" w:lineRule="auto"/>
        <w:ind w:firstLine="422"/>
        <w:rPr>
          <w:rFonts w:ascii="宋体" w:hAnsi="宋体" w:cs="宋体"/>
          <w:b/>
          <w:bCs/>
          <w:color w:val="auto"/>
          <w:szCs w:val="21"/>
        </w:rPr>
      </w:pPr>
      <w:r>
        <w:rPr>
          <w:rFonts w:ascii="宋体" w:hAnsi="宋体" w:cs="宋体"/>
          <w:b/>
          <w:bCs/>
          <w:color w:val="auto"/>
          <w:szCs w:val="21"/>
        </w:rPr>
        <w:t>（1）保修</w:t>
      </w:r>
    </w:p>
    <w:p>
      <w:pPr>
        <w:snapToGrid w:val="0"/>
        <w:spacing w:line="360" w:lineRule="auto"/>
        <w:ind w:firstLine="420"/>
        <w:jc w:val="left"/>
        <w:rPr>
          <w:rFonts w:ascii="宋体" w:hAnsi="宋体" w:cs="宋体"/>
          <w:color w:val="auto"/>
          <w:szCs w:val="21"/>
        </w:rPr>
      </w:pPr>
      <w:r>
        <w:rPr>
          <w:rFonts w:ascii="宋体" w:hAnsi="宋体" w:cs="宋体"/>
          <w:color w:val="auto"/>
          <w:szCs w:val="21"/>
        </w:rPr>
        <w:t>（a）承包人须与发包人签署《工程质量保修书》。承包人须编写《房屋建筑使用手册》，对使用单位（包括使用单位的物业管理人员，下同）进行培训，并做好培训记录。</w:t>
      </w:r>
    </w:p>
    <w:p>
      <w:pPr>
        <w:snapToGrid w:val="0"/>
        <w:spacing w:line="360" w:lineRule="auto"/>
        <w:ind w:firstLine="420"/>
        <w:jc w:val="left"/>
        <w:rPr>
          <w:rFonts w:ascii="宋体" w:hAnsi="宋体" w:cs="宋体"/>
          <w:color w:val="auto"/>
          <w:szCs w:val="21"/>
        </w:rPr>
      </w:pPr>
      <w:r>
        <w:rPr>
          <w:rFonts w:ascii="宋体" w:hAnsi="宋体" w:cs="宋体"/>
          <w:color w:val="auto"/>
          <w:szCs w:val="21"/>
        </w:rPr>
        <w:t>（b）承包人应建立健全房屋建筑工程质量保修制度，明确保修责任人和联系人，制定质量保修方案，在竣工验收前报发包人和使用单位。保修责任人和联系人必须为承包人正式员工，提供承包人固定电话和责任人、联系人移动电话。变更责任人和联系人时，须经发包人批准，并及时书面告知使用单位。</w:t>
      </w:r>
    </w:p>
    <w:p>
      <w:pPr>
        <w:snapToGrid w:val="0"/>
        <w:spacing w:line="360" w:lineRule="auto"/>
        <w:ind w:firstLine="420"/>
        <w:jc w:val="left"/>
        <w:rPr>
          <w:rFonts w:ascii="宋体" w:hAnsi="宋体" w:cs="宋体"/>
          <w:color w:val="auto"/>
          <w:szCs w:val="21"/>
        </w:rPr>
      </w:pPr>
      <w:r>
        <w:rPr>
          <w:rFonts w:ascii="宋体" w:hAnsi="宋体" w:cs="宋体"/>
          <w:color w:val="auto"/>
          <w:szCs w:val="21"/>
        </w:rPr>
        <w:t>（c）在竣工移交后半年内，承包人应安排保修负责人常驻项目，及时处理发现的质量缺陷。主要质量缺陷处理完毕，经发包人和使用单位同意后，上述常驻人员方可撤离项目。</w:t>
      </w:r>
    </w:p>
    <w:p>
      <w:pPr>
        <w:snapToGrid w:val="0"/>
        <w:spacing w:line="360" w:lineRule="auto"/>
        <w:ind w:firstLine="420"/>
        <w:jc w:val="left"/>
        <w:rPr>
          <w:rFonts w:ascii="宋体" w:hAnsi="宋体" w:cs="宋体"/>
          <w:color w:val="auto"/>
          <w:szCs w:val="21"/>
        </w:rPr>
      </w:pPr>
      <w:r>
        <w:rPr>
          <w:rFonts w:ascii="宋体" w:hAnsi="宋体" w:cs="宋体"/>
          <w:color w:val="auto"/>
          <w:szCs w:val="21"/>
        </w:rPr>
        <w:t>（d）保修常驻人员撤离项目后，承包人必须在监理人组织下至少每季度进行一次质量回访工作。</w:t>
      </w:r>
    </w:p>
    <w:p>
      <w:pPr>
        <w:snapToGrid w:val="0"/>
        <w:spacing w:line="360" w:lineRule="auto"/>
        <w:ind w:firstLine="420"/>
        <w:jc w:val="left"/>
        <w:rPr>
          <w:rFonts w:ascii="宋体" w:hAnsi="宋体" w:cs="宋体"/>
          <w:color w:val="auto"/>
          <w:szCs w:val="21"/>
        </w:rPr>
      </w:pPr>
      <w:r>
        <w:rPr>
          <w:rFonts w:ascii="宋体" w:hAnsi="宋体" w:cs="宋体"/>
          <w:color w:val="auto"/>
          <w:szCs w:val="21"/>
        </w:rPr>
        <w:t>（e）发现质量缺陷，承包人应自接到保修通知书后3日内达到现场核查情况、开展保修工作。一般问题5日内处理完毕，复杂问题根据实际情况提出保修方案和修复期限，报发包人、监理人和使用单位认可后实施。若此类缺陷或损害不能在现场迅速修复时，在发包人的同意下，承包人可将有缺陷或损害的永久设备移出现场进行修理。发包人可要求承包人以该部分的重置费用提供履约保证的款额或提供其他发包人接受的保证。质量保修完成后，由监理人组织验收。验收合格后承包人填写《质量缺陷处理备案表》一式四联，第一联交使用单位，第二联交监理人，第三联交发包人，第四联自行留底。</w:t>
      </w:r>
    </w:p>
    <w:p>
      <w:pPr>
        <w:snapToGrid w:val="0"/>
        <w:spacing w:line="360" w:lineRule="auto"/>
        <w:ind w:firstLine="420"/>
        <w:jc w:val="left"/>
        <w:rPr>
          <w:rFonts w:ascii="宋体" w:hAnsi="宋体" w:cs="宋体"/>
          <w:color w:val="auto"/>
          <w:szCs w:val="21"/>
        </w:rPr>
      </w:pPr>
      <w:r>
        <w:rPr>
          <w:rFonts w:ascii="宋体" w:hAnsi="宋体" w:cs="宋体"/>
          <w:color w:val="auto"/>
          <w:szCs w:val="21"/>
        </w:rPr>
        <w:t>（f）发生涉及结构安全或者严重影响使用功能的紧急抢修事故，承包人接到电话通知后，应当立即到达现场抢修。</w:t>
      </w:r>
    </w:p>
    <w:p>
      <w:pPr>
        <w:snapToGrid w:val="0"/>
        <w:spacing w:line="360" w:lineRule="auto"/>
        <w:ind w:firstLine="420"/>
        <w:jc w:val="left"/>
        <w:rPr>
          <w:rFonts w:ascii="宋体" w:hAnsi="宋体" w:cs="宋体"/>
          <w:color w:val="auto"/>
          <w:szCs w:val="21"/>
        </w:rPr>
      </w:pPr>
      <w:r>
        <w:rPr>
          <w:rFonts w:ascii="宋体" w:hAnsi="宋体" w:cs="宋体"/>
          <w:color w:val="auto"/>
          <w:szCs w:val="21"/>
        </w:rPr>
        <w:t>（g）承包人自接到保修通知书后5日内未达到现场或维修两次仍未解决问题的，可由发包人另行委托单位进行保修，费用从质量保证金中扣除。此种情况并不免除承包人的保修责任。</w:t>
      </w:r>
    </w:p>
    <w:p>
      <w:pPr>
        <w:snapToGrid w:val="0"/>
        <w:spacing w:line="360" w:lineRule="auto"/>
        <w:ind w:firstLine="420"/>
        <w:jc w:val="left"/>
        <w:rPr>
          <w:rFonts w:ascii="宋体" w:hAnsi="宋体" w:cs="宋体"/>
          <w:color w:val="auto"/>
          <w:szCs w:val="21"/>
        </w:rPr>
      </w:pPr>
      <w:r>
        <w:rPr>
          <w:rFonts w:ascii="宋体" w:hAnsi="宋体" w:cs="宋体"/>
          <w:color w:val="auto"/>
          <w:szCs w:val="21"/>
        </w:rPr>
        <w:t>（h）为了提高保修效率，经双方协商一致，承包人可以支付一定的费用，将常见、多发质量缺陷委托使用单位保修，双方签订协议，报发包人备案。</w:t>
      </w:r>
    </w:p>
    <w:p>
      <w:pPr>
        <w:snapToGrid w:val="0"/>
        <w:spacing w:line="360" w:lineRule="auto"/>
        <w:ind w:firstLine="420"/>
        <w:jc w:val="left"/>
        <w:rPr>
          <w:rFonts w:ascii="宋体" w:hAnsi="宋体" w:cs="宋体"/>
          <w:color w:val="auto"/>
          <w:szCs w:val="21"/>
        </w:rPr>
      </w:pPr>
      <w:r>
        <w:rPr>
          <w:rFonts w:ascii="宋体" w:hAnsi="宋体" w:cs="宋体"/>
          <w:color w:val="auto"/>
          <w:szCs w:val="21"/>
        </w:rPr>
        <w:t>（i）保修期内质量缺陷原则上由承包人负责修复，承包人不实施修复的，经发包人（招标委员会）批准，可以采用其他保修模式，但并不免除承包人的保修责任。其他保修模式按优先顺序排列如下：</w:t>
      </w:r>
    </w:p>
    <w:p>
      <w:pPr>
        <w:snapToGrid w:val="0"/>
        <w:spacing w:line="360" w:lineRule="auto"/>
        <w:ind w:firstLine="420"/>
        <w:jc w:val="left"/>
        <w:rPr>
          <w:rFonts w:ascii="宋体" w:hAnsi="宋体" w:cs="宋体"/>
          <w:color w:val="auto"/>
          <w:szCs w:val="21"/>
        </w:rPr>
      </w:pPr>
      <w:r>
        <w:rPr>
          <w:rFonts w:ascii="宋体" w:hAnsi="宋体" w:cs="宋体"/>
          <w:color w:val="auto"/>
          <w:szCs w:val="21"/>
        </w:rPr>
        <w:t>①承包人同使用单位签订委托保修合同后，委托使用单位自行组织实施保修，保修费用经双方协商后一次性支付给使用单位。委托保修合同须报发包人备案。</w:t>
      </w:r>
    </w:p>
    <w:p>
      <w:pPr>
        <w:snapToGrid w:val="0"/>
        <w:spacing w:line="360" w:lineRule="auto"/>
        <w:ind w:firstLine="420"/>
        <w:jc w:val="left"/>
        <w:rPr>
          <w:rFonts w:ascii="宋体" w:hAnsi="宋体" w:cs="宋体"/>
          <w:color w:val="auto"/>
          <w:szCs w:val="21"/>
        </w:rPr>
      </w:pPr>
      <w:r>
        <w:rPr>
          <w:rFonts w:ascii="宋体" w:hAnsi="宋体" w:cs="宋体"/>
          <w:color w:val="auto"/>
          <w:szCs w:val="21"/>
        </w:rPr>
        <w:t>②承包人同发包人的保修工程战略合作伙伴签订委托保修合同后，委托发包人的保修工程战略合作伙伴负责缺陷修复，费用按实报实销的原则从质量保证金中扣除。</w:t>
      </w:r>
    </w:p>
    <w:p>
      <w:pPr>
        <w:snapToGrid w:val="0"/>
        <w:spacing w:line="360" w:lineRule="auto"/>
        <w:ind w:firstLine="420"/>
        <w:jc w:val="left"/>
        <w:rPr>
          <w:rFonts w:ascii="宋体" w:hAnsi="宋体" w:cs="宋体"/>
          <w:color w:val="auto"/>
          <w:szCs w:val="21"/>
        </w:rPr>
      </w:pPr>
      <w:r>
        <w:rPr>
          <w:rFonts w:ascii="宋体" w:hAnsi="宋体" w:cs="宋体"/>
          <w:color w:val="auto"/>
          <w:szCs w:val="21"/>
        </w:rPr>
        <w:t>③承包人同发包人签订委托保修合同后，自愿放弃质量保证金，委托发包人的保修工程战略合作伙伴实施保修工作。</w:t>
      </w:r>
    </w:p>
    <w:p>
      <w:pPr>
        <w:snapToGrid w:val="0"/>
        <w:spacing w:line="360" w:lineRule="auto"/>
        <w:ind w:firstLine="420"/>
        <w:jc w:val="left"/>
        <w:rPr>
          <w:rFonts w:ascii="宋体" w:hAnsi="宋体" w:cs="宋体"/>
          <w:color w:val="auto"/>
          <w:szCs w:val="21"/>
        </w:rPr>
      </w:pPr>
      <w:r>
        <w:rPr>
          <w:rFonts w:ascii="宋体" w:hAnsi="宋体" w:cs="宋体"/>
          <w:color w:val="auto"/>
          <w:szCs w:val="21"/>
        </w:rPr>
        <w:t>（j）除(i)款规定的情形外，承包人不及时履行保修义务或履行保修义务不力的，给予警告；警告无效的，予以记录不良行为，列入发包人保修黑名单，黑名单内企业一律不得承接工务署新的建设项目。</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244" w:name="_Toc19835"/>
      <w:bookmarkStart w:id="7245" w:name="_Toc3032"/>
      <w:bookmarkStart w:id="7246" w:name="_Toc17572"/>
      <w:bookmarkStart w:id="7247" w:name="_Toc23280"/>
      <w:bookmarkStart w:id="7248" w:name="_Toc28505"/>
      <w:bookmarkStart w:id="7249" w:name="_Toc4424"/>
      <w:bookmarkStart w:id="7250" w:name="_Toc517528814"/>
      <w:bookmarkStart w:id="7251" w:name="_Toc7733"/>
      <w:bookmarkStart w:id="7252" w:name="_Toc16676"/>
      <w:bookmarkStart w:id="7253" w:name="_Toc24656"/>
      <w:bookmarkStart w:id="7254" w:name="_Toc517532328"/>
      <w:bookmarkStart w:id="7255" w:name="_Toc32512"/>
      <w:bookmarkStart w:id="7256" w:name="_Toc22975"/>
      <w:bookmarkStart w:id="7257" w:name="_Toc11783"/>
      <w:bookmarkStart w:id="7258" w:name="_Toc4255"/>
      <w:bookmarkStart w:id="7259" w:name="_Toc32365"/>
      <w:bookmarkStart w:id="7260" w:name="_Toc29264"/>
      <w:bookmarkStart w:id="7261" w:name="_Toc517529771"/>
      <w:bookmarkStart w:id="7262" w:name="_Toc517531052"/>
      <w:r>
        <w:rPr>
          <w:rFonts w:ascii="宋体" w:hAnsi="宋体" w:cs="宋体"/>
          <w:b/>
          <w:bCs/>
          <w:color w:val="auto"/>
          <w:sz w:val="30"/>
          <w:szCs w:val="30"/>
        </w:rPr>
        <w:t>16.违约</w:t>
      </w:r>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p>
    <w:p>
      <w:pPr>
        <w:spacing w:line="360" w:lineRule="auto"/>
        <w:ind w:firstLine="420"/>
        <w:rPr>
          <w:rFonts w:ascii="宋体" w:hAnsi="宋体" w:cs="宋体"/>
          <w:color w:val="auto"/>
          <w:szCs w:val="21"/>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263" w:name="_Toc27556"/>
      <w:bookmarkStart w:id="7264" w:name="_Toc23238"/>
      <w:bookmarkStart w:id="7265" w:name="_Toc517531053"/>
      <w:bookmarkStart w:id="7266" w:name="_Toc16142"/>
      <w:bookmarkStart w:id="7267" w:name="_Toc6383"/>
      <w:bookmarkStart w:id="7268" w:name="_Toc17371"/>
      <w:bookmarkStart w:id="7269" w:name="_Toc2958"/>
      <w:bookmarkStart w:id="7270" w:name="_Toc27373"/>
      <w:bookmarkStart w:id="7271" w:name="_Toc27072"/>
      <w:bookmarkStart w:id="7272" w:name="_Toc517532329"/>
      <w:bookmarkStart w:id="7273" w:name="_Toc23171"/>
      <w:bookmarkStart w:id="7274" w:name="_Toc17679"/>
      <w:bookmarkStart w:id="7275" w:name="_Toc19560"/>
      <w:bookmarkStart w:id="7276" w:name="_Toc12174"/>
      <w:bookmarkStart w:id="7277" w:name="_Toc15409"/>
      <w:bookmarkStart w:id="7278" w:name="_Toc517529772"/>
      <w:bookmarkStart w:id="7279" w:name="_Toc517528815"/>
      <w:bookmarkStart w:id="7280" w:name="_Toc17229"/>
      <w:bookmarkStart w:id="7281" w:name="_Toc12952"/>
      <w:r>
        <w:rPr>
          <w:rFonts w:ascii="宋体" w:hAnsi="宋体" w:cs="宋体"/>
          <w:b/>
          <w:bCs/>
          <w:color w:val="auto"/>
          <w:sz w:val="30"/>
          <w:szCs w:val="30"/>
        </w:rPr>
        <w:t>17.特殊风险</w:t>
      </w:r>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p>
    <w:p>
      <w:pPr>
        <w:spacing w:line="360" w:lineRule="auto"/>
        <w:ind w:firstLine="420"/>
        <w:rPr>
          <w:rFonts w:ascii="宋体" w:hAnsi="宋体" w:cs="宋体"/>
          <w:color w:val="auto"/>
          <w:szCs w:val="21"/>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bookmarkStart w:id="7282" w:name="_Toc267251442"/>
      <w:bookmarkEnd w:id="7282"/>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283" w:name="_Toc31237"/>
      <w:bookmarkStart w:id="7284" w:name="_Toc20363"/>
      <w:bookmarkStart w:id="7285" w:name="_Toc25216"/>
      <w:bookmarkStart w:id="7286" w:name="_Toc29393"/>
      <w:bookmarkStart w:id="7287" w:name="_Toc5469"/>
      <w:bookmarkStart w:id="7288" w:name="_Toc22818"/>
      <w:bookmarkStart w:id="7289" w:name="_Toc567"/>
      <w:bookmarkStart w:id="7290" w:name="_Toc465237161"/>
      <w:bookmarkStart w:id="7291" w:name="_Toc15921"/>
      <w:bookmarkStart w:id="7292" w:name="_Toc517528816"/>
      <w:bookmarkStart w:id="7293" w:name="_Toc2197"/>
      <w:bookmarkStart w:id="7294" w:name="_Toc465237263"/>
      <w:bookmarkStart w:id="7295" w:name="_Toc11992"/>
      <w:bookmarkStart w:id="7296" w:name="_Toc517532330"/>
      <w:bookmarkStart w:id="7297" w:name="_Toc23864"/>
      <w:bookmarkStart w:id="7298" w:name="_Toc15541"/>
      <w:bookmarkStart w:id="7299" w:name="_Toc517531054"/>
      <w:bookmarkStart w:id="7300" w:name="_Toc6576"/>
      <w:bookmarkStart w:id="7301" w:name="_Toc29631"/>
      <w:bookmarkStart w:id="7302" w:name="_Toc517529773"/>
      <w:bookmarkStart w:id="7303" w:name="_Toc18772"/>
      <w:bookmarkStart w:id="7304" w:name="_Toc686"/>
      <w:bookmarkStart w:id="7305" w:name="_Toc19855"/>
      <w:bookmarkStart w:id="7306" w:name="_Toc16654"/>
      <w:bookmarkStart w:id="7307" w:name="_Toc351203650"/>
      <w:r>
        <w:rPr>
          <w:rFonts w:ascii="宋体" w:hAnsi="宋体" w:cs="宋体"/>
          <w:b/>
          <w:bCs/>
          <w:color w:val="auto"/>
          <w:sz w:val="30"/>
          <w:szCs w:val="30"/>
        </w:rPr>
        <w:t>18. 保险</w:t>
      </w:r>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Start w:id="7308" w:name="_Toc280868718"/>
      <w:bookmarkEnd w:id="7308"/>
    </w:p>
    <w:p>
      <w:pPr>
        <w:keepNext/>
        <w:keepLines/>
        <w:numPr>
          <w:ilvl w:val="0"/>
          <w:numId w:val="0"/>
        </w:numPr>
        <w:spacing w:before="156" w:after="156" w:line="360" w:lineRule="auto"/>
        <w:ind w:left="562" w:firstLine="0"/>
        <w:outlineLvl w:val="2"/>
        <w:rPr>
          <w:rFonts w:ascii="宋体" w:hAnsi="宋体" w:cs="宋体"/>
          <w:b/>
          <w:bCs/>
          <w:color w:val="auto"/>
          <w:sz w:val="28"/>
          <w:szCs w:val="28"/>
        </w:rPr>
      </w:pPr>
      <w:bookmarkStart w:id="7309" w:name="_Toc4309"/>
      <w:bookmarkStart w:id="7310" w:name="_Toc7124"/>
      <w:bookmarkStart w:id="7311" w:name="_Toc21941"/>
      <w:bookmarkStart w:id="7312" w:name="_Toc21880"/>
      <w:bookmarkStart w:id="7313" w:name="_Toc13767"/>
      <w:bookmarkStart w:id="7314" w:name="_Toc32456"/>
      <w:bookmarkStart w:id="7315" w:name="_Toc517531055"/>
      <w:bookmarkStart w:id="7316" w:name="_Toc31262"/>
      <w:bookmarkStart w:id="7317" w:name="_Toc27104"/>
      <w:bookmarkStart w:id="7318" w:name="_Toc4523"/>
      <w:bookmarkStart w:id="7319" w:name="_Toc20545"/>
      <w:bookmarkStart w:id="7320" w:name="_Toc4262"/>
      <w:bookmarkStart w:id="7321" w:name="_Toc20036"/>
      <w:bookmarkStart w:id="7322" w:name="_Toc13274"/>
      <w:bookmarkStart w:id="7323" w:name="_Toc29058"/>
      <w:bookmarkStart w:id="7324" w:name="_Toc29039"/>
      <w:bookmarkStart w:id="7325" w:name="_Toc18633"/>
      <w:bookmarkStart w:id="7326" w:name="_Toc517532331"/>
      <w:bookmarkStart w:id="7327" w:name="_Toc13664"/>
      <w:bookmarkStart w:id="7328" w:name="_Toc517528817"/>
      <w:bookmarkStart w:id="7329" w:name="_Toc28803"/>
      <w:r>
        <w:rPr>
          <w:rFonts w:ascii="宋体" w:hAnsi="宋体" w:cs="宋体"/>
          <w:b/>
          <w:bCs/>
          <w:color w:val="auto"/>
          <w:sz w:val="28"/>
          <w:szCs w:val="28"/>
        </w:rPr>
        <w:t>18.1</w:t>
      </w:r>
      <w:bookmarkEnd w:id="7309"/>
      <w:bookmarkEnd w:id="7310"/>
      <w:bookmarkEnd w:id="7311"/>
      <w:r>
        <w:rPr>
          <w:rFonts w:ascii="宋体" w:hAnsi="宋体" w:cs="宋体"/>
          <w:b/>
          <w:bCs/>
          <w:color w:val="auto"/>
          <w:sz w:val="28"/>
          <w:szCs w:val="28"/>
        </w:rPr>
        <w:t>工程的保险</w:t>
      </w:r>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p>
    <w:p>
      <w:pPr>
        <w:spacing w:line="360" w:lineRule="auto"/>
        <w:ind w:left="420" w:firstLine="0"/>
        <w:jc w:val="left"/>
        <w:rPr>
          <w:rFonts w:ascii="宋体" w:hAnsi="宋体" w:cs="宋体"/>
          <w:color w:val="auto"/>
          <w:szCs w:val="21"/>
        </w:rPr>
      </w:pPr>
      <w:r>
        <w:rPr>
          <w:color w:val="auto"/>
        </w:rPr>
        <w:object>
          <v:shape id="_x0000_i1169" o:spt="201" type="#_x0000_t201" style="height:17.9pt;width:12.5pt;" o:ole="t" filled="f" o:preferrelative="t" stroked="f" coordsize="21600,21600">
            <v:path/>
            <v:fill on="f" focussize="0,0"/>
            <v:stroke on="f" joinstyle="miter"/>
            <v:imagedata o:title=""/>
            <o:lock v:ext="edit"/>
            <w10:wrap type="none"/>
            <w10:anchorlock/>
          </v:shape>
          <w:control r:id="rId242" w:name="CheckBox1334" w:shapeid="_x0000_i1169"/>
        </w:object>
      </w:r>
      <w:r>
        <w:rPr>
          <w:rFonts w:ascii="宋体" w:hAnsi="宋体" w:cs="宋体"/>
          <w:color w:val="auto"/>
          <w:szCs w:val="21"/>
        </w:rPr>
        <w:t>在第8.2.1条规定的承包人和发包人的义务和责任不受约束的条件下，承包人应以承包人和发包人的联名形式为本合同工程投保建筑工程一切险，其保险金额（保险限额）应为本合同工程的全部重置成本费用，以补偿由于补救损失或破坏而招致的费用，包括业务费和工程任何部分的拆迁费以及运走任何性质的渣土的费用。上述保险的责任范围应符合保险公司的有关规定。当工程发生第8.2条所述损失或损害时，承包人应在风险发生后及时向发包人提供损失情况和估价报告，并抄送监理人；如损害继续发生，承包人在递交第一次报告后每</w:t>
      </w:r>
      <w:r>
        <w:rPr>
          <w:rFonts w:ascii="宋体" w:hAnsi="宋体" w:cs="宋体"/>
          <w:color w:val="auto"/>
          <w:szCs w:val="21"/>
          <w:u w:val="single"/>
        </w:rPr>
        <w:t>7</w:t>
      </w:r>
      <w:r>
        <w:rPr>
          <w:rFonts w:ascii="宋体" w:hAnsi="宋体" w:cs="宋体"/>
          <w:color w:val="auto"/>
          <w:szCs w:val="21"/>
        </w:rPr>
        <w:t>天报告一次，直到损害结束。对于涉及到承包人自身权利的损害，承包人应及时向保险公司报告和索赔，对于涉及发包人权利的损害，承包人也应按监理人指示，协助发包人做好向保险公司的报告和索赔工作。</w:t>
      </w:r>
    </w:p>
    <w:p>
      <w:pPr>
        <w:keepNext/>
        <w:keepLines/>
        <w:numPr>
          <w:ilvl w:val="0"/>
          <w:numId w:val="0"/>
        </w:numPr>
        <w:spacing w:before="156" w:after="156" w:line="360" w:lineRule="auto"/>
        <w:ind w:left="420" w:firstLine="0"/>
        <w:outlineLvl w:val="2"/>
        <w:rPr>
          <w:rFonts w:ascii="宋体" w:hAnsi="宋体" w:cs="宋体"/>
          <w:b/>
          <w:bCs/>
          <w:color w:val="auto"/>
          <w:sz w:val="28"/>
          <w:szCs w:val="28"/>
        </w:rPr>
      </w:pPr>
      <w:r>
        <w:rPr>
          <w:rFonts w:ascii="宋体" w:hAnsi="宋体" w:cs="宋体"/>
          <w:b/>
          <w:bCs/>
          <w:color w:val="auto"/>
          <w:sz w:val="28"/>
          <w:szCs w:val="28"/>
        </w:rPr>
        <w:t>18.3保险的凭证</w:t>
      </w:r>
    </w:p>
    <w:p>
      <w:pPr>
        <w:spacing w:line="360" w:lineRule="auto"/>
        <w:ind w:left="420" w:firstLine="0"/>
        <w:jc w:val="left"/>
        <w:rPr>
          <w:rFonts w:ascii="宋体" w:hAnsi="宋体" w:cs="宋体"/>
          <w:color w:val="auto"/>
          <w:szCs w:val="21"/>
        </w:rPr>
      </w:pPr>
      <w:r>
        <w:rPr>
          <w:color w:val="auto"/>
        </w:rPr>
        <w:object>
          <v:shape id="_x0000_i1170" o:spt="201" type="#_x0000_t201" style="height:17.9pt;width:12.5pt;" o:ole="t" filled="f" o:preferrelative="t" stroked="f" coordsize="21600,21600">
            <v:path/>
            <v:fill on="f" focussize="0,0"/>
            <v:stroke on="f" joinstyle="miter"/>
            <v:imagedata o:title=""/>
            <o:lock v:ext="edit"/>
            <w10:wrap type="none"/>
            <w10:anchorlock/>
          </v:shape>
          <w:control r:id="rId243" w:name="CheckBox1335" w:shapeid="_x0000_i1170"/>
        </w:object>
      </w:r>
      <w:r>
        <w:rPr>
          <w:rFonts w:ascii="宋体" w:hAnsi="宋体" w:cs="宋体"/>
          <w:color w:val="auto"/>
          <w:szCs w:val="21"/>
        </w:rPr>
        <w:t>承包人应在进场前向发包人提供按合同要求承包人投保的保险证明，并取得发包人的批准。如果承包人未能提供所要求的保险单和相关保险证明，发包人可以办理本应由承包人提供的保险，并从支付给承包人的款项中扣回发包人支付的保险费；如果没有应支付的款项，则已支付的保险金将成为承包人的到期欠款。</w:t>
      </w:r>
      <w:bookmarkStart w:id="7330" w:name="_Toc267251504"/>
      <w:bookmarkEnd w:id="7330"/>
      <w:bookmarkStart w:id="7331" w:name="_Toc267251506"/>
      <w:bookmarkEnd w:id="7331"/>
      <w:bookmarkStart w:id="7332" w:name="_Toc267251510"/>
      <w:bookmarkEnd w:id="7332"/>
      <w:bookmarkStart w:id="7333" w:name="_Toc267251492"/>
      <w:bookmarkEnd w:id="7333"/>
      <w:bookmarkStart w:id="7334" w:name="_Toc267251503"/>
      <w:bookmarkEnd w:id="7334"/>
      <w:bookmarkStart w:id="7335" w:name="_Toc267251493"/>
      <w:bookmarkEnd w:id="7335"/>
      <w:bookmarkStart w:id="7336" w:name="_Toc267251498"/>
      <w:bookmarkEnd w:id="7336"/>
      <w:bookmarkStart w:id="7337" w:name="_Toc267251495"/>
      <w:bookmarkEnd w:id="7337"/>
      <w:bookmarkStart w:id="7338" w:name="_Toc267251499"/>
      <w:bookmarkEnd w:id="7338"/>
      <w:bookmarkStart w:id="7339" w:name="_Toc267251491"/>
      <w:bookmarkEnd w:id="7339"/>
      <w:bookmarkStart w:id="7340" w:name="_Toc267251514"/>
      <w:bookmarkEnd w:id="7340"/>
      <w:bookmarkStart w:id="7341" w:name="_Toc267251508"/>
      <w:bookmarkEnd w:id="7341"/>
      <w:bookmarkStart w:id="7342" w:name="_Toc267251496"/>
      <w:bookmarkEnd w:id="7342"/>
      <w:bookmarkStart w:id="7343" w:name="_Toc267251501"/>
      <w:bookmarkEnd w:id="7343"/>
      <w:bookmarkStart w:id="7344" w:name="_Toc267251511"/>
      <w:bookmarkEnd w:id="7344"/>
      <w:bookmarkStart w:id="7345" w:name="_Toc267251507"/>
      <w:bookmarkEnd w:id="7345"/>
      <w:bookmarkStart w:id="7346" w:name="_Toc267251509"/>
      <w:bookmarkEnd w:id="7346"/>
      <w:bookmarkStart w:id="7347" w:name="_Toc267251494"/>
      <w:bookmarkEnd w:id="7347"/>
      <w:bookmarkStart w:id="7348" w:name="_Toc267251502"/>
      <w:bookmarkEnd w:id="7348"/>
      <w:bookmarkStart w:id="7349" w:name="_Toc267251515"/>
      <w:bookmarkEnd w:id="7349"/>
      <w:bookmarkStart w:id="7350" w:name="_Toc267251497"/>
      <w:bookmarkEnd w:id="7350"/>
      <w:bookmarkStart w:id="7351" w:name="_Toc267251513"/>
      <w:bookmarkEnd w:id="7351"/>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352" w:name="_Toc517528818"/>
      <w:bookmarkStart w:id="7353" w:name="_Toc13186"/>
      <w:bookmarkStart w:id="7354" w:name="_Toc14905"/>
      <w:bookmarkStart w:id="7355" w:name="_Toc15202"/>
      <w:bookmarkStart w:id="7356" w:name="_Toc25096"/>
      <w:bookmarkStart w:id="7357" w:name="_Toc18604"/>
      <w:bookmarkStart w:id="7358" w:name="_Toc11831"/>
      <w:bookmarkStart w:id="7359" w:name="_Toc19055"/>
      <w:bookmarkStart w:id="7360" w:name="_Toc3293"/>
      <w:bookmarkStart w:id="7361" w:name="_Toc517531056"/>
      <w:bookmarkStart w:id="7362" w:name="_Toc14001"/>
      <w:bookmarkStart w:id="7363" w:name="_Toc24017"/>
      <w:bookmarkStart w:id="7364" w:name="_Toc15184"/>
      <w:bookmarkStart w:id="7365" w:name="_Toc21006"/>
      <w:bookmarkStart w:id="7366" w:name="_Toc23389"/>
      <w:bookmarkStart w:id="7367" w:name="_Toc517532332"/>
      <w:bookmarkStart w:id="7368" w:name="_Toc517529774"/>
      <w:bookmarkStart w:id="7369" w:name="_Toc12641"/>
      <w:bookmarkStart w:id="7370" w:name="_Toc16343"/>
      <w:r>
        <w:rPr>
          <w:rFonts w:ascii="宋体" w:hAnsi="宋体" w:cs="宋体"/>
          <w:b/>
          <w:bCs/>
          <w:color w:val="auto"/>
          <w:sz w:val="30"/>
          <w:szCs w:val="30"/>
        </w:rPr>
        <w:t>19.索赔</w:t>
      </w:r>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p>
    <w:p>
      <w:pPr>
        <w:spacing w:line="360" w:lineRule="auto"/>
        <w:ind w:firstLine="420"/>
        <w:rPr>
          <w:rFonts w:ascii="宋体" w:hAnsi="宋体" w:cs="宋体"/>
          <w:color w:val="auto"/>
          <w:szCs w:val="21"/>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p>
    <w:p>
      <w:pPr>
        <w:keepNext/>
        <w:keepLines/>
        <w:numPr>
          <w:ilvl w:val="0"/>
          <w:numId w:val="0"/>
        </w:numPr>
        <w:spacing w:before="156" w:after="156" w:line="360" w:lineRule="auto"/>
        <w:ind w:firstLine="602"/>
        <w:outlineLvl w:val="1"/>
        <w:rPr>
          <w:rFonts w:ascii="宋体" w:hAnsi="宋体" w:cs="宋体"/>
          <w:b/>
          <w:bCs/>
          <w:color w:val="auto"/>
          <w:sz w:val="30"/>
          <w:szCs w:val="30"/>
        </w:rPr>
      </w:pPr>
      <w:bookmarkStart w:id="7371" w:name="_Toc18342"/>
      <w:bookmarkStart w:id="7372" w:name="_Toc8132"/>
      <w:bookmarkStart w:id="7373" w:name="_Toc1625"/>
      <w:bookmarkStart w:id="7374" w:name="_Toc517528819"/>
      <w:bookmarkStart w:id="7375" w:name="_Toc517529775"/>
      <w:bookmarkStart w:id="7376" w:name="_Toc9921"/>
      <w:bookmarkStart w:id="7377" w:name="_Toc22712"/>
      <w:bookmarkStart w:id="7378" w:name="_Toc9103"/>
      <w:bookmarkStart w:id="7379" w:name="_Toc21378"/>
      <w:bookmarkStart w:id="7380" w:name="_Toc30507"/>
      <w:bookmarkStart w:id="7381" w:name="_Toc517532333"/>
      <w:bookmarkStart w:id="7382" w:name="_Toc14080"/>
      <w:bookmarkStart w:id="7383" w:name="_Toc13680"/>
      <w:bookmarkStart w:id="7384" w:name="_Toc17749"/>
      <w:bookmarkStart w:id="7385" w:name="_Toc9267"/>
      <w:bookmarkStart w:id="7386" w:name="_Toc30062"/>
      <w:bookmarkStart w:id="7387" w:name="_Toc17966"/>
      <w:bookmarkStart w:id="7388" w:name="_Toc12828"/>
      <w:bookmarkStart w:id="7389" w:name="_Toc517531057"/>
      <w:r>
        <w:rPr>
          <w:rFonts w:ascii="宋体" w:hAnsi="宋体" w:cs="宋体"/>
          <w:b/>
          <w:bCs/>
          <w:color w:val="auto"/>
          <w:sz w:val="30"/>
          <w:szCs w:val="30"/>
        </w:rPr>
        <w:t>20. 争议解决</w:t>
      </w:r>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p>
    <w:p>
      <w:pPr>
        <w:spacing w:line="360" w:lineRule="auto"/>
        <w:ind w:firstLine="420"/>
        <w:jc w:val="left"/>
        <w:rPr>
          <w:rFonts w:ascii="宋体" w:hAnsi="宋体" w:cs="宋体"/>
          <w:color w:val="auto"/>
          <w:szCs w:val="21"/>
        </w:rPr>
      </w:pPr>
      <w:r>
        <w:rPr>
          <w:rFonts w:ascii="宋体" w:hAnsi="宋体" w:cs="宋体"/>
          <w:color w:val="auto"/>
          <w:szCs w:val="21"/>
        </w:rPr>
        <w:t>特别约定：</w:t>
      </w:r>
      <w:r>
        <w:rPr>
          <w:rFonts w:ascii="宋体" w:hAnsi="宋体" w:cs="宋体"/>
          <w:color w:val="auto"/>
          <w:szCs w:val="21"/>
          <w:u w:val="single"/>
        </w:rPr>
        <w:t xml:space="preserve">                  </w:t>
      </w:r>
      <w:r>
        <w:rPr>
          <w:rFonts w:ascii="宋体" w:hAnsi="宋体" w:cs="宋体"/>
          <w:color w:val="auto"/>
          <w:szCs w:val="21"/>
        </w:rPr>
        <w:t>。</w:t>
      </w:r>
    </w:p>
    <w:p>
      <w:pPr>
        <w:spacing w:line="360" w:lineRule="auto"/>
        <w:ind w:firstLine="420"/>
        <w:jc w:val="left"/>
        <w:rPr>
          <w:rFonts w:ascii="宋体" w:hAnsi="宋体" w:cs="宋体"/>
          <w:color w:val="auto"/>
          <w:szCs w:val="21"/>
        </w:rPr>
      </w:pPr>
    </w:p>
    <w:p>
      <w:pPr>
        <w:keepNext/>
        <w:keepLines/>
        <w:numPr>
          <w:ilvl w:val="0"/>
          <w:numId w:val="0"/>
        </w:numPr>
        <w:spacing w:before="156" w:after="156" w:line="360" w:lineRule="auto"/>
        <w:ind w:firstLine="602"/>
        <w:outlineLvl w:val="1"/>
        <w:rPr>
          <w:rFonts w:ascii="宋体" w:hAnsi="宋体" w:cs="宋体"/>
          <w:b/>
          <w:bCs/>
          <w:color w:val="auto"/>
          <w:sz w:val="30"/>
          <w:szCs w:val="30"/>
        </w:rPr>
      </w:pPr>
      <w:r>
        <w:rPr>
          <w:rFonts w:ascii="宋体" w:hAnsi="宋体" w:cs="宋体"/>
          <w:b/>
          <w:bCs/>
          <w:color w:val="auto"/>
          <w:sz w:val="30"/>
          <w:szCs w:val="30"/>
        </w:rPr>
        <w:t>21.工人工资支付</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（1）、发包人应及时足额地将合同约定的工人工资支付款项支付到工人工资专用账户，并加强对承包人按时足额发放工人工资的监督。</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2）、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（3）、本工程签约合同价中工人工资款比例为：</w:t>
      </w:r>
      <w:r>
        <w:rPr>
          <w:rFonts w:ascii="宋体" w:hAnsi="宋体" w:cs="宋体"/>
          <w:color w:val="auto"/>
          <w:kern w:val="0"/>
          <w:szCs w:val="21"/>
          <w:u w:val="single"/>
          <w:shd w:val="clear" w:fill="FFFFFF"/>
          <w:lang w:bidi="ar"/>
        </w:rPr>
        <w:t>    </w:t>
      </w:r>
      <w:r>
        <w:rPr>
          <w:rFonts w:ascii="宋体" w:hAnsi="宋体" w:cs="宋体"/>
          <w:color w:val="auto"/>
          <w:kern w:val="0"/>
          <w:szCs w:val="21"/>
          <w:shd w:val="clear" w:fill="FFFFFF"/>
          <w:lang w:bidi="ar"/>
        </w:rPr>
        <w:t>。（房屋建筑工程占比一般为18%以上，市政工程占比一般为13%以上）</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（4）、发包人和承包人应结合项目实际，合理确定上述比例。</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（5）、在</w:t>
      </w:r>
      <w:r>
        <w:rPr>
          <w:rFonts w:ascii="宋体" w:hAnsi="宋体" w:cs="宋体"/>
          <w:color w:val="auto"/>
          <w:kern w:val="0"/>
          <w:szCs w:val="21"/>
          <w:u w:val="single"/>
          <w:shd w:val="clear" w:fill="FFFFFF"/>
          <w:lang w:bidi="ar"/>
        </w:rPr>
        <w:t> </w:t>
      </w:r>
      <w:r>
        <w:rPr>
          <w:color w:val="auto"/>
          <w:szCs w:val="21"/>
          <w:u w:val="single"/>
          <w:shd w:val="clear" w:fill="FFFFFF"/>
        </w:rPr>
        <w:t xml:space="preserve">          </w:t>
      </w:r>
      <w:r>
        <w:rPr>
          <w:rFonts w:ascii="宋体" w:hAnsi="宋体" w:cs="宋体"/>
          <w:color w:val="auto"/>
          <w:kern w:val="0"/>
          <w:szCs w:val="21"/>
          <w:shd w:val="clear" w:fill="FFFFFF"/>
          <w:lang w:bidi="ar"/>
        </w:rPr>
        <w:t>情况下，如因非承包人原因导致按上述比例不足以满足本工程工人工资足额发放的，双方可以协商调整上述比例，具体调整方式为：</w:t>
      </w:r>
      <w:r>
        <w:rPr>
          <w:rFonts w:ascii="宋体" w:hAnsi="宋体" w:cs="宋体"/>
          <w:color w:val="auto"/>
          <w:kern w:val="0"/>
          <w:szCs w:val="21"/>
          <w:u w:val="single"/>
          <w:shd w:val="clear" w:fill="FFFFFF"/>
          <w:lang w:bidi="ar"/>
        </w:rPr>
        <w:t xml:space="preserve">          。</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承包人已确认上述比例及调整的约定，能满足本工程的工人工资足额发放。</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发包人支付到工人工资专用账户的工人工资支付周期为：</w:t>
      </w:r>
      <w:r>
        <w:rPr>
          <w:rFonts w:ascii="宋体" w:hAnsi="宋体" w:cs="宋体"/>
          <w:color w:val="auto"/>
          <w:kern w:val="0"/>
          <w:szCs w:val="21"/>
          <w:u w:val="single"/>
          <w:shd w:val="clear" w:fill="FFFFFF"/>
          <w:lang w:bidi="ar"/>
        </w:rPr>
        <w:t>      </w:t>
      </w:r>
      <w:r>
        <w:rPr>
          <w:rFonts w:ascii="宋体" w:hAnsi="宋体" w:cs="宋体"/>
          <w:color w:val="auto"/>
          <w:kern w:val="0"/>
          <w:szCs w:val="21"/>
          <w:shd w:val="clear" w:fill="FFFFFF"/>
          <w:lang w:bidi="ar"/>
        </w:rPr>
        <w:t> ，该工人工资支付周期不得超过1个月。</w:t>
      </w:r>
    </w:p>
    <w:p>
      <w:pPr>
        <w:widowControl/>
        <w:shd w:val="clear" w:color="auto" w:fill="FFFFFF"/>
        <w:spacing w:before="180" w:after="180" w:line="315" w:lineRule="atLeast"/>
        <w:ind w:firstLine="680"/>
        <w:rPr>
          <w:rFonts w:ascii="宋体" w:hAnsi="宋体" w:cs="宋体"/>
          <w:color w:val="auto"/>
          <w:szCs w:val="21"/>
        </w:rPr>
      </w:pPr>
      <w:r>
        <w:rPr>
          <w:rFonts w:ascii="宋体" w:hAnsi="宋体" w:cs="宋体"/>
          <w:color w:val="auto"/>
          <w:kern w:val="0"/>
          <w:szCs w:val="21"/>
          <w:shd w:val="clear" w:fill="FFFFFF"/>
          <w:lang w:bidi="ar"/>
        </w:rPr>
        <w:t>本工程工人工资支付的其他约定：</w:t>
      </w:r>
      <w:r>
        <w:rPr>
          <w:rFonts w:ascii="宋体" w:hAnsi="宋体" w:cs="宋体"/>
          <w:color w:val="auto"/>
          <w:kern w:val="0"/>
          <w:szCs w:val="21"/>
          <w:u w:val="single"/>
          <w:shd w:val="clear" w:fill="FFFFFF"/>
          <w:lang w:bidi="ar"/>
        </w:rPr>
        <w:t>      </w:t>
      </w:r>
      <w:r>
        <w:rPr>
          <w:rFonts w:ascii="宋体" w:hAnsi="宋体" w:cs="宋体"/>
          <w:color w:val="auto"/>
          <w:kern w:val="0"/>
          <w:szCs w:val="21"/>
          <w:shd w:val="clear" w:fill="FFFFFF"/>
          <w:lang w:bidi="ar"/>
        </w:rPr>
        <w:t>。</w:t>
      </w:r>
    </w:p>
    <w:p>
      <w:pPr>
        <w:keepNext/>
        <w:keepLines/>
        <w:widowControl/>
        <w:numPr>
          <w:ilvl w:val="0"/>
          <w:numId w:val="0"/>
        </w:numPr>
        <w:spacing w:before="156" w:after="156" w:line="360" w:lineRule="auto"/>
        <w:ind w:firstLine="602"/>
        <w:jc w:val="left"/>
        <w:outlineLvl w:val="1"/>
        <w:rPr>
          <w:rFonts w:ascii="宋体" w:hAnsi="宋体" w:cs="宋体"/>
          <w:b/>
          <w:bCs/>
          <w:color w:val="auto"/>
          <w:sz w:val="30"/>
          <w:szCs w:val="30"/>
          <w:lang w:bidi="ar"/>
        </w:rPr>
      </w:pPr>
      <w:r>
        <w:rPr>
          <w:rFonts w:ascii="宋体" w:hAnsi="宋体" w:cs="宋体"/>
          <w:b/>
          <w:bCs/>
          <w:color w:val="auto"/>
          <w:sz w:val="30"/>
          <w:szCs w:val="30"/>
          <w:lang w:bidi="ar"/>
        </w:rPr>
        <w:t>22. 其他</w:t>
      </w:r>
    </w:p>
    <w:p>
      <w:pPr>
        <w:widowControl/>
        <w:numPr>
          <w:ilvl w:val="0"/>
          <w:numId w:val="0"/>
        </w:numPr>
        <w:spacing w:line="360" w:lineRule="auto"/>
        <w:ind w:firstLine="420"/>
        <w:jc w:val="left"/>
        <w:outlineLvl w:val="2"/>
        <w:rPr>
          <w:rFonts w:ascii="宋体" w:hAnsi="宋体" w:cs="宋体"/>
          <w:color w:val="auto"/>
          <w:szCs w:val="21"/>
        </w:rPr>
      </w:pPr>
      <w:r>
        <w:rPr>
          <w:rFonts w:ascii="宋体" w:hAnsi="宋体" w:cs="宋体"/>
          <w:color w:val="auto"/>
          <w:szCs w:val="21"/>
        </w:rPr>
        <w:t xml:space="preserve">22.1 因承包人原因导致发包人涉诉的， 承包人应承担发包人遭受的经济损失，包括发包人为应诉产生的诉讼费、仲裁费、律师费、车旅费、住宿费等合理费用，具体包括以下情形： </w:t>
      </w:r>
    </w:p>
    <w:p>
      <w:pPr>
        <w:snapToGrid w:val="0"/>
        <w:spacing w:line="360" w:lineRule="auto"/>
        <w:ind w:firstLine="420"/>
        <w:jc w:val="left"/>
        <w:rPr>
          <w:rFonts w:ascii="宋体" w:hAnsi="宋体" w:cs="宋体"/>
          <w:color w:val="auto"/>
          <w:szCs w:val="21"/>
        </w:rPr>
      </w:pPr>
      <w:r>
        <w:rPr>
          <w:rFonts w:ascii="宋体" w:hAnsi="宋体" w:cs="宋体"/>
          <w:color w:val="auto"/>
          <w:szCs w:val="21"/>
        </w:rPr>
        <w:t xml:space="preserve">1. 与承包人有合同关系的分包单位、雇佣人员或其他合作单位、个人对发包人提起诉讼、仲裁或将发包人列为第三人的； </w:t>
      </w:r>
    </w:p>
    <w:p>
      <w:pPr>
        <w:snapToGrid w:val="0"/>
        <w:spacing w:line="360" w:lineRule="auto"/>
        <w:ind w:firstLine="420"/>
        <w:jc w:val="left"/>
        <w:rPr>
          <w:rFonts w:ascii="宋体" w:hAnsi="宋体" w:cs="宋体"/>
          <w:color w:val="auto"/>
          <w:szCs w:val="21"/>
        </w:rPr>
      </w:pPr>
      <w:r>
        <w:rPr>
          <w:rFonts w:ascii="宋体" w:hAnsi="宋体" w:cs="宋体"/>
          <w:color w:val="auto"/>
          <w:szCs w:val="21"/>
        </w:rPr>
        <w:t xml:space="preserve">2.与承包人无合同关系，但作为本项目的实际参建单位或参建个人对发包人提起诉讼、仲裁或将发包人列为第三人的； </w:t>
      </w:r>
    </w:p>
    <w:p>
      <w:pPr>
        <w:snapToGrid w:val="0"/>
        <w:spacing w:line="360" w:lineRule="auto"/>
        <w:ind w:firstLine="420"/>
        <w:jc w:val="left"/>
        <w:rPr>
          <w:rFonts w:ascii="宋体" w:hAnsi="宋体" w:cs="宋体"/>
          <w:color w:val="auto"/>
          <w:szCs w:val="21"/>
        </w:rPr>
      </w:pPr>
      <w:r>
        <w:rPr>
          <w:rFonts w:ascii="宋体" w:hAnsi="宋体" w:cs="宋体"/>
          <w:color w:val="auto"/>
          <w:szCs w:val="21"/>
        </w:rPr>
        <w:t xml:space="preserve">3.其他因承包人原因导致相关单位或个人对发包人提起诉讼、仲裁或将发包人列为第三人的。 </w:t>
      </w:r>
    </w:p>
    <w:p>
      <w:pPr>
        <w:snapToGrid w:val="0"/>
        <w:spacing w:line="360" w:lineRule="auto"/>
        <w:ind w:firstLine="420"/>
        <w:jc w:val="left"/>
        <w:rPr>
          <w:rFonts w:ascii="宋体" w:hAnsi="宋体" w:cs="宋体"/>
          <w:color w:val="auto"/>
          <w:szCs w:val="21"/>
        </w:rPr>
      </w:pPr>
      <w:r>
        <w:rPr>
          <w:rFonts w:ascii="宋体" w:hAnsi="宋体" w:cs="宋体"/>
          <w:color w:val="auto"/>
          <w:szCs w:val="21"/>
        </w:rPr>
        <w:t>上述律师费以受诉法院或仲裁院所在地物价部门和（或）司法部门发布的律师服务收费标准为依据计取，其他费用以实际发生为依据计取。承包人应承担的上述合理费用由承包人直接支付至发包人，或发包人指定的第三方服务单位。</w:t>
      </w:r>
    </w:p>
    <w:p>
      <w:pPr>
        <w:widowControl/>
        <w:numPr>
          <w:ilvl w:val="0"/>
          <w:numId w:val="0"/>
        </w:numPr>
        <w:spacing w:line="360" w:lineRule="auto"/>
        <w:ind w:firstLine="422"/>
        <w:jc w:val="left"/>
        <w:outlineLvl w:val="2"/>
        <w:rPr>
          <w:color w:val="auto"/>
        </w:rPr>
      </w:pPr>
      <w:r>
        <w:rPr>
          <w:rFonts w:ascii="宋体" w:hAnsi="宋体" w:cs="宋体"/>
          <w:b/>
          <w:bCs/>
          <w:color w:val="auto"/>
          <w:szCs w:val="21"/>
        </w:rPr>
        <w:t>22.2 工期处罚</w:t>
      </w:r>
    </w:p>
    <w:p>
      <w:pPr>
        <w:snapToGrid w:val="0"/>
        <w:spacing w:line="360" w:lineRule="auto"/>
        <w:ind w:firstLine="420"/>
        <w:jc w:val="left"/>
        <w:rPr>
          <w:color w:val="auto"/>
        </w:rPr>
      </w:pPr>
      <w:r>
        <w:rPr>
          <w:rFonts w:ascii="宋体" w:hAnsi="宋体" w:cs="宋体"/>
          <w:color w:val="auto"/>
          <w:szCs w:val="21"/>
        </w:rPr>
        <w:t>（1）本工程</w:t>
      </w:r>
      <w:r>
        <w:rPr>
          <w:rFonts w:ascii="宋体" w:hAnsi="宋体" w:eastAsiaTheme="minorEastAsia" w:cstheme="minorBidi"/>
          <w:color w:val="auto"/>
          <w:kern w:val="2"/>
          <w:sz w:val="21"/>
          <w:szCs w:val="21"/>
          <w:lang w:val="en-US" w:eastAsia="zh-CN" w:bidi="ar-SA"/>
        </w:rPr>
        <w:t>总工期为80日历天 ；</w:t>
      </w:r>
    </w:p>
    <w:p>
      <w:pPr>
        <w:snapToGrid w:val="0"/>
        <w:spacing w:line="360" w:lineRule="auto"/>
        <w:ind w:firstLine="420"/>
        <w:jc w:val="left"/>
        <w:rPr>
          <w:color w:val="auto"/>
        </w:rPr>
      </w:pPr>
      <w:r>
        <w:rPr>
          <w:rFonts w:ascii="宋体" w:hAnsi="宋体" w:cs="宋体"/>
          <w:color w:val="auto"/>
          <w:szCs w:val="21"/>
        </w:rPr>
        <w:t>（2）如因承包人原因未能按期完成，按拖期具体日历天数处违约金0.5万元/日历天，总违约金最多不超过合同价的5%。</w:t>
      </w:r>
    </w:p>
    <w:p>
      <w:pPr>
        <w:widowControl/>
        <w:numPr>
          <w:ilvl w:val="0"/>
          <w:numId w:val="0"/>
        </w:numPr>
        <w:spacing w:line="360" w:lineRule="auto"/>
        <w:ind w:firstLine="422"/>
        <w:jc w:val="left"/>
        <w:outlineLvl w:val="2"/>
        <w:rPr>
          <w:rFonts w:ascii="宋体" w:hAnsi="宋体" w:cs="宋体"/>
          <w:color w:val="auto"/>
          <w:szCs w:val="21"/>
        </w:rPr>
      </w:pPr>
      <w:r>
        <w:rPr>
          <w:rFonts w:ascii="宋体" w:hAnsi="宋体" w:cs="宋体"/>
          <w:b/>
          <w:bCs/>
          <w:color w:val="auto"/>
          <w:szCs w:val="21"/>
        </w:rPr>
        <w:t>22.3工程管理违约责任</w:t>
      </w:r>
      <w:r>
        <w:rPr>
          <w:rFonts w:ascii="宋体" w:hAnsi="宋体" w:cs="宋体"/>
          <w:color w:val="auto"/>
          <w:szCs w:val="21"/>
        </w:rPr>
        <w:t>：</w:t>
      </w:r>
    </w:p>
    <w:p>
      <w:pPr>
        <w:snapToGrid w:val="0"/>
        <w:spacing w:line="360" w:lineRule="auto"/>
        <w:ind w:firstLine="420"/>
        <w:jc w:val="left"/>
        <w:rPr>
          <w:rFonts w:ascii="宋体" w:hAnsi="宋体" w:cs="宋体"/>
          <w:color w:val="auto"/>
          <w:szCs w:val="21"/>
        </w:rPr>
      </w:pPr>
      <w:r>
        <w:rPr>
          <w:rFonts w:ascii="宋体" w:hAnsi="宋体" w:cs="宋体"/>
          <w:color w:val="auto"/>
          <w:szCs w:val="21"/>
        </w:rPr>
        <w:t>（1）承包人应遵守工务署、教育工程管理中心相关管理制度的规定，服从发包人、全过程咨询单位的指令，发包人将按照相关管理制度对承包人的违约行为进行处罚，在合同履行期间相关依据管理制度更新或新发布的，按更新后的最新版本或新发布的执行；</w:t>
      </w:r>
    </w:p>
    <w:p>
      <w:pPr>
        <w:snapToGrid w:val="0"/>
        <w:spacing w:line="360" w:lineRule="auto"/>
        <w:ind w:firstLine="420"/>
        <w:jc w:val="left"/>
        <w:rPr>
          <w:rFonts w:ascii="宋体" w:hAnsi="宋体" w:cs="宋体"/>
          <w:color w:val="auto"/>
          <w:szCs w:val="21"/>
        </w:rPr>
      </w:pPr>
      <w:r>
        <w:rPr>
          <w:rFonts w:ascii="宋体" w:hAnsi="宋体" w:cs="宋体"/>
          <w:color w:val="auto"/>
          <w:szCs w:val="21"/>
        </w:rPr>
        <w:t>（2）投标人应综合考虑以上管理制度和指引的相关要求合理报价；</w:t>
      </w:r>
    </w:p>
    <w:p>
      <w:pPr>
        <w:ind w:firstLine="420"/>
        <w:rPr>
          <w:rFonts w:ascii="宋体" w:hAnsi="宋体" w:cs="宋体"/>
          <w:color w:val="auto"/>
          <w:szCs w:val="21"/>
        </w:rPr>
      </w:pPr>
      <w:r>
        <w:rPr>
          <w:rFonts w:ascii="宋体" w:hAnsi="宋体" w:cs="宋体"/>
          <w:color w:val="auto"/>
          <w:szCs w:val="21"/>
        </w:rPr>
        <w:t>（3）教育工程管理中心发布的管理制度是对工务署管理制度的细化，工务署管理制度的效力高于教育工程管理中心发布的管理制度。</w:t>
      </w:r>
    </w:p>
    <w:p>
      <w:pPr>
        <w:widowControl/>
        <w:numPr>
          <w:ilvl w:val="0"/>
          <w:numId w:val="0"/>
        </w:numPr>
        <w:spacing w:line="360" w:lineRule="auto"/>
        <w:ind w:firstLine="422"/>
        <w:jc w:val="left"/>
        <w:outlineLvl w:val="2"/>
        <w:rPr>
          <w:rFonts w:ascii="宋体" w:hAnsi="宋体" w:cs="宋体"/>
          <w:color w:val="auto"/>
          <w:szCs w:val="21"/>
        </w:rPr>
        <w:sectPr>
          <w:headerReference r:id="rId7" w:type="default"/>
          <w:footerReference r:id="rId8" w:type="default"/>
          <w:pgSz w:w="11906" w:h="16838"/>
          <w:pgMar w:top="1440" w:right="1800" w:bottom="1440" w:left="1800" w:header="851" w:footer="992" w:gutter="0"/>
          <w:pgNumType w:fmt="decimal"/>
          <w:cols w:space="720" w:num="1"/>
          <w:formProt w:val="0"/>
          <w:docGrid w:type="lines" w:linePitch="312" w:charSpace="0"/>
        </w:sectPr>
      </w:pPr>
      <w:r>
        <w:rPr>
          <w:rFonts w:ascii="宋体" w:hAnsi="宋体" w:cs="宋体"/>
          <w:b/>
          <w:bCs/>
          <w:color w:val="auto"/>
          <w:szCs w:val="21"/>
        </w:rPr>
        <w:t>22.</w:t>
      </w:r>
      <w:r>
        <w:rPr>
          <w:rFonts w:hint="eastAsia" w:ascii="宋体" w:hAnsi="宋体" w:cs="宋体"/>
          <w:b/>
          <w:bCs/>
          <w:color w:val="auto"/>
          <w:szCs w:val="21"/>
          <w:lang w:val="en-US" w:eastAsia="zh-CN"/>
        </w:rPr>
        <w:t>4安全文明施工措施费</w:t>
      </w:r>
      <w:r>
        <w:rPr>
          <w:rFonts w:ascii="宋体" w:hAnsi="宋体" w:cs="宋体"/>
          <w:b/>
          <w:bCs/>
          <w:color w:val="auto"/>
          <w:szCs w:val="21"/>
        </w:rPr>
        <w:t>：</w:t>
      </w:r>
      <w:r>
        <w:rPr>
          <w:rFonts w:hint="eastAsia" w:ascii="宋体" w:hAnsi="宋体" w:cs="宋体"/>
          <w:color w:val="auto"/>
          <w:szCs w:val="21"/>
          <w:lang w:val="en-US" w:eastAsia="zh-CN"/>
        </w:rPr>
        <w:t>本工程</w:t>
      </w:r>
      <w:r>
        <w:rPr>
          <w:rFonts w:ascii="宋体" w:hAnsi="宋体" w:cs="宋体"/>
          <w:color w:val="auto"/>
          <w:szCs w:val="21"/>
          <w:lang w:val="en-US" w:eastAsia="zh-CN"/>
        </w:rPr>
        <w:t>合同签订后一次性支付全部安全文明施工措施费</w:t>
      </w:r>
      <w:r>
        <w:rPr>
          <w:rFonts w:hint="eastAsia" w:ascii="宋体" w:hAnsi="宋体" w:cs="宋体"/>
          <w:color w:val="auto"/>
          <w:szCs w:val="21"/>
          <w:lang w:val="en-US" w:eastAsia="zh-CN"/>
        </w:rPr>
        <w:t>。</w:t>
      </w:r>
    </w:p>
    <w:p>
      <w:pPr>
        <w:pStyle w:val="4"/>
        <w:keepNext w:val="0"/>
        <w:keepLines w:val="0"/>
        <w:numPr>
          <w:ilvl w:val="0"/>
          <w:numId w:val="0"/>
        </w:numPr>
        <w:snapToGrid w:val="0"/>
        <w:spacing w:before="0" w:after="0" w:line="360" w:lineRule="auto"/>
        <w:ind w:firstLine="103"/>
        <w:jc w:val="center"/>
        <w:rPr>
          <w:color w:val="auto"/>
        </w:rPr>
      </w:pPr>
      <w:r>
        <w:rPr>
          <w:color w:val="auto"/>
        </w:rPr>
        <w:t>合同专用条款附件</w:t>
      </w:r>
    </w:p>
    <w:p>
      <w:pPr>
        <w:ind w:firstLine="420"/>
        <w:rPr>
          <w:rFonts w:eastAsia="宋体"/>
          <w:color w:val="auto"/>
        </w:rPr>
        <w:sectPr>
          <w:headerReference r:id="rId9" w:type="default"/>
          <w:footerReference r:id="rId10" w:type="default"/>
          <w:pgSz w:w="11906" w:h="16838"/>
          <w:pgMar w:top="1440" w:right="1800" w:bottom="1440" w:left="1800" w:header="851" w:footer="992" w:gutter="0"/>
          <w:pgNumType w:fmt="decimal"/>
          <w:cols w:space="720" w:num="1"/>
          <w:formProt w:val="0"/>
          <w:docGrid w:type="lines" w:linePitch="312" w:charSpace="0"/>
        </w:sectPr>
      </w:pPr>
      <w:r>
        <w:rPr>
          <w:color w:val="auto"/>
        </w:rPr>
        <w:t>《深圳市建筑工务署工程结算管理办法》、《工程计量支付管理办法》、《深圳市建筑工务署合同履约评价管理办法》、《深圳市建筑工务署不良行为记录处理办法》、</w:t>
      </w:r>
      <w:r>
        <w:rPr>
          <w:rFonts w:ascii="宋体" w:hAnsi="宋体" w:cs="宋体"/>
          <w:bCs/>
          <w:color w:val="auto"/>
          <w:szCs w:val="21"/>
          <w:lang w:val="zh-CN"/>
        </w:rPr>
        <w:t>《项目参建单位管理人员实名制管理暂行</w:t>
      </w:r>
      <w:r>
        <w:rPr>
          <w:rFonts w:ascii="Calibri" w:hAnsi="Calibri"/>
          <w:color w:val="auto"/>
          <w:lang w:val="zh-CN"/>
        </w:rPr>
        <w:t>办法》、</w:t>
      </w:r>
      <w:r>
        <w:rPr>
          <w:rFonts w:ascii="Calibri" w:hAnsi="Calibri"/>
          <w:color w:val="auto"/>
          <w:lang w:bidi="ar"/>
        </w:rPr>
        <w:t>《深圳市建筑工务署质量安全第三方评价管理办法》、《深圳市建筑工务署不良行为记录处理办法安全生产方面不良行为处理的实施指引》、《深圳市建筑工务署建设工程重大安全隐患判定导则》《深圳市住宅工程管理站承包人违约认定及处理细</w:t>
      </w:r>
      <w:bookmarkStart w:id="7390" w:name="_Hlk78446927"/>
      <w:bookmarkEnd w:id="7390"/>
      <w:r>
        <w:rPr>
          <w:rFonts w:ascii="Calibri" w:hAnsi="Calibri"/>
          <w:color w:val="auto"/>
          <w:lang w:bidi="ar"/>
        </w:rPr>
        <w:t>则》、《深圳市建筑工务署建设项目全过程安全管控要点汇编》</w:t>
      </w:r>
      <w:r>
        <w:rPr>
          <w:rFonts w:ascii="宋体" w:hAnsi="宋体" w:cs="宋体"/>
          <w:bCs/>
          <w:color w:val="auto"/>
          <w:szCs w:val="21"/>
          <w:lang w:val="zh-CN"/>
        </w:rPr>
        <w:t>等文件以工务署最新发布的为</w:t>
      </w:r>
      <w:r>
        <w:rPr>
          <w:rFonts w:ascii="宋体" w:hAnsi="宋体" w:cs="宋体"/>
          <w:bCs/>
          <w:color w:val="auto"/>
          <w:szCs w:val="21"/>
        </w:rPr>
        <w:t>准。</w:t>
      </w:r>
    </w:p>
    <w:p>
      <w:pPr>
        <w:pStyle w:val="3"/>
        <w:numPr>
          <w:ilvl w:val="0"/>
          <w:numId w:val="0"/>
        </w:numPr>
        <w:rPr>
          <w:rFonts w:ascii="宋体" w:hAnsi="宋体" w:eastAsia="宋体" w:cs="宋体"/>
          <w:color w:val="auto"/>
        </w:rPr>
      </w:pPr>
      <w:bookmarkStart w:id="7391" w:name="_Toc19136"/>
      <w:r>
        <w:rPr>
          <w:rFonts w:ascii="宋体" w:hAnsi="宋体" w:eastAsia="宋体" w:cs="宋体"/>
          <w:color w:val="auto"/>
        </w:rPr>
        <w:t>第</w:t>
      </w:r>
      <w:r>
        <w:rPr>
          <w:rFonts w:ascii="宋体" w:hAnsi="宋体" w:eastAsia="宋体" w:cs="宋体"/>
          <w:color w:val="auto"/>
          <w:lang w:val="en-US"/>
        </w:rPr>
        <w:t>三</w:t>
      </w:r>
      <w:r>
        <w:rPr>
          <w:rFonts w:ascii="宋体" w:hAnsi="宋体" w:eastAsia="宋体" w:cs="宋体"/>
          <w:color w:val="auto"/>
        </w:rPr>
        <w:t>部分 合同附件</w:t>
      </w:r>
    </w:p>
    <w:p>
      <w:pPr>
        <w:keepNext/>
        <w:keepLines/>
        <w:numPr>
          <w:ilvl w:val="0"/>
          <w:numId w:val="0"/>
        </w:numPr>
        <w:tabs>
          <w:tab w:val="left" w:pos="360"/>
        </w:tabs>
        <w:spacing w:line="360" w:lineRule="auto"/>
        <w:jc w:val="left"/>
        <w:outlineLvl w:val="0"/>
        <w:rPr>
          <w:rFonts w:ascii="宋体" w:hAnsi="宋体" w:cs="宋体"/>
          <w:bCs/>
          <w:color w:val="auto"/>
          <w:szCs w:val="21"/>
        </w:rPr>
      </w:pPr>
      <w:r>
        <w:rPr>
          <w:rFonts w:ascii="宋体" w:hAnsi="宋体" w:cs="宋体"/>
          <w:b/>
          <w:bCs/>
          <w:color w:val="auto"/>
          <w:szCs w:val="21"/>
        </w:rPr>
        <w:t>附件1：中标通知书</w:t>
      </w:r>
      <w:bookmarkEnd w:id="7391"/>
    </w:p>
    <w:p>
      <w:pPr>
        <w:spacing w:line="360" w:lineRule="auto"/>
        <w:rPr>
          <w:rFonts w:ascii="宋体" w:hAnsi="宋体"/>
          <w:color w:val="auto"/>
          <w:sz w:val="20"/>
          <w:szCs w:val="20"/>
        </w:rPr>
      </w:pPr>
      <w:r>
        <w:rPr>
          <w:color w:val="auto"/>
        </w:rPr>
        <w:br w:type="page"/>
      </w:r>
    </w:p>
    <w:p>
      <w:pPr>
        <w:pStyle w:val="3"/>
        <w:keepLines/>
        <w:numPr>
          <w:ilvl w:val="0"/>
          <w:numId w:val="0"/>
        </w:numPr>
        <w:jc w:val="left"/>
        <w:rPr>
          <w:rFonts w:ascii="宋体" w:hAnsi="宋体" w:eastAsia="宋体" w:cs="宋体"/>
          <w:bCs/>
          <w:color w:val="auto"/>
          <w:sz w:val="21"/>
          <w:szCs w:val="21"/>
        </w:rPr>
      </w:pPr>
      <w:bookmarkStart w:id="7392" w:name="_Toc15293"/>
      <w:bookmarkEnd w:id="7392"/>
      <w:bookmarkStart w:id="7393" w:name="_Toc13292"/>
      <w:bookmarkEnd w:id="7393"/>
      <w:bookmarkStart w:id="7394" w:name="_Toc26488"/>
      <w:bookmarkEnd w:id="7394"/>
      <w:bookmarkStart w:id="7395" w:name="_Toc3759"/>
      <w:r>
        <w:rPr>
          <w:rFonts w:ascii="宋体" w:hAnsi="宋体" w:eastAsia="宋体" w:cs="宋体"/>
          <w:bCs/>
          <w:color w:val="auto"/>
          <w:sz w:val="21"/>
          <w:szCs w:val="21"/>
        </w:rPr>
        <w:t>附件</w:t>
      </w:r>
      <w:r>
        <w:rPr>
          <w:rFonts w:ascii="宋体" w:hAnsi="宋体" w:eastAsia="宋体" w:cs="宋体"/>
          <w:bCs/>
          <w:color w:val="auto"/>
          <w:sz w:val="21"/>
          <w:szCs w:val="21"/>
          <w:lang w:val="en-US"/>
        </w:rPr>
        <w:t>2</w:t>
      </w:r>
      <w:r>
        <w:rPr>
          <w:rFonts w:ascii="宋体" w:hAnsi="宋体" w:eastAsia="宋体" w:cs="宋体"/>
          <w:bCs/>
          <w:color w:val="auto"/>
          <w:sz w:val="21"/>
          <w:szCs w:val="21"/>
        </w:rPr>
        <w:t>：工程质量保修书</w:t>
      </w:r>
      <w:bookmarkEnd w:id="7395"/>
    </w:p>
    <w:p>
      <w:pPr>
        <w:spacing w:line="360" w:lineRule="auto"/>
        <w:jc w:val="center"/>
        <w:rPr>
          <w:rFonts w:ascii="黑体" w:hAnsi="黑体" w:eastAsia="黑体"/>
          <w:b/>
          <w:bCs/>
          <w:color w:val="auto"/>
          <w:sz w:val="30"/>
          <w:szCs w:val="30"/>
        </w:rPr>
      </w:pPr>
      <w:bookmarkStart w:id="7396" w:name="_Toc5538"/>
      <w:r>
        <w:rPr>
          <w:rFonts w:ascii="黑体" w:hAnsi="黑体" w:eastAsia="黑体"/>
          <w:b/>
          <w:bCs/>
          <w:color w:val="auto"/>
          <w:sz w:val="30"/>
          <w:szCs w:val="30"/>
        </w:rPr>
        <w:t>工程质量保修书</w:t>
      </w:r>
      <w:bookmarkEnd w:id="7396"/>
    </w:p>
    <w:p>
      <w:pPr>
        <w:pStyle w:val="20"/>
        <w:spacing w:line="360" w:lineRule="auto"/>
        <w:ind w:firstLine="400"/>
        <w:jc w:val="left"/>
        <w:rPr>
          <w:color w:val="auto"/>
        </w:rPr>
      </w:pPr>
      <w:r>
        <w:rPr>
          <w:color w:val="auto"/>
        </w:rPr>
        <w:t>发包人（全称）：深圳市建筑工务署教育工程管理中心</w:t>
      </w:r>
    </w:p>
    <w:p>
      <w:pPr>
        <w:pStyle w:val="20"/>
        <w:spacing w:line="360" w:lineRule="auto"/>
        <w:ind w:firstLine="400"/>
        <w:jc w:val="left"/>
        <w:rPr>
          <w:rFonts w:eastAsia="宋体"/>
          <w:color w:val="auto"/>
        </w:rPr>
      </w:pPr>
      <w:r>
        <w:rPr>
          <w:color w:val="auto"/>
        </w:rPr>
        <w:t xml:space="preserve">承包人（全称）： </w:t>
      </w:r>
    </w:p>
    <w:p>
      <w:pPr>
        <w:pStyle w:val="20"/>
        <w:spacing w:before="240" w:after="0" w:line="360" w:lineRule="auto"/>
        <w:ind w:firstLine="400"/>
        <w:jc w:val="left"/>
        <w:rPr>
          <w:color w:val="auto"/>
        </w:rPr>
      </w:pPr>
      <w:r>
        <w:rPr>
          <w:color w:val="auto"/>
        </w:rPr>
        <w:t>为保证</w:t>
      </w:r>
      <w:r>
        <w:rPr>
          <w:rFonts w:ascii="宋体" w:hAnsi="宋体" w:eastAsiaTheme="minorEastAsia" w:cstheme="minorBidi"/>
          <w:bCs/>
          <w:color w:val="auto"/>
          <w:kern w:val="0"/>
          <w:sz w:val="20"/>
          <w:szCs w:val="21"/>
          <w:u w:val="single"/>
          <w:lang w:val="en-US" w:eastAsia="zh-CN" w:bidi="ar-SA"/>
        </w:rPr>
        <w:t>哈尔滨工业大学深圳校区扩建工程项目高层次人才科研楼幕墙工程</w:t>
      </w:r>
      <w:r>
        <w:rPr>
          <w:color w:val="auto"/>
        </w:rPr>
        <w:t>在合理使用期限内正常使用，发包人、承包人根据《中华人民共和国建筑法》和《建设工程质量管理条例》经协商一致，对</w:t>
      </w:r>
      <w:r>
        <w:rPr>
          <w:rFonts w:ascii="宋体" w:hAnsi="宋体" w:eastAsiaTheme="minorEastAsia" w:cstheme="minorBidi"/>
          <w:bCs/>
          <w:color w:val="auto"/>
          <w:kern w:val="0"/>
          <w:sz w:val="20"/>
          <w:szCs w:val="21"/>
          <w:u w:val="single"/>
          <w:lang w:val="en-US" w:eastAsia="zh-CN" w:bidi="ar-SA"/>
        </w:rPr>
        <w:t>哈尔滨工业大学深圳校区扩建工程项目高层次人才科研楼幕墙工程</w:t>
      </w:r>
      <w:r>
        <w:rPr>
          <w:color w:val="auto"/>
        </w:rPr>
        <w:t>签订工程质量保修责任书。</w:t>
      </w:r>
    </w:p>
    <w:p>
      <w:pPr>
        <w:pStyle w:val="20"/>
        <w:spacing w:before="312" w:after="0" w:line="360" w:lineRule="auto"/>
        <w:ind w:firstLine="402"/>
        <w:jc w:val="left"/>
        <w:rPr>
          <w:b/>
          <w:bCs/>
          <w:color w:val="auto"/>
        </w:rPr>
      </w:pPr>
      <w:bookmarkStart w:id="7397" w:name="_Toc18959"/>
      <w:r>
        <w:rPr>
          <w:b/>
          <w:bCs/>
          <w:color w:val="auto"/>
        </w:rPr>
        <w:t>一、工程质量保修范围和内容</w:t>
      </w:r>
      <w:bookmarkEnd w:id="7397"/>
    </w:p>
    <w:p>
      <w:pPr>
        <w:pStyle w:val="20"/>
        <w:spacing w:line="360" w:lineRule="auto"/>
        <w:ind w:firstLine="400"/>
        <w:jc w:val="left"/>
        <w:rPr>
          <w:color w:val="auto"/>
        </w:rPr>
      </w:pPr>
      <w:r>
        <w:rPr>
          <w:color w:val="auto"/>
        </w:rPr>
        <w:t>承包人在质量保修期内，按照有关法律、法规、规章的管理规定和双方约定，承担本工程质量保修责任。</w:t>
      </w:r>
    </w:p>
    <w:p>
      <w:pPr>
        <w:pStyle w:val="20"/>
        <w:spacing w:line="360" w:lineRule="auto"/>
        <w:ind w:firstLine="400"/>
        <w:jc w:val="left"/>
        <w:rPr>
          <w:color w:val="auto"/>
        </w:rPr>
      </w:pPr>
      <w:r>
        <w:rPr>
          <w:color w:val="auto"/>
        </w:rPr>
        <w:t>质量保修范围包括地基基础工程、主体结构工程，屋面防水工程、有防水要求的卫生间、房间和外墙面的防渗漏，电气管线、给排水管道、设备安装、空调及制冷系统工程、桥梁、市政道路路基、路面以及双方约定的其他项目。具体保修的内容，双方约定如下：</w:t>
      </w:r>
    </w:p>
    <w:p>
      <w:pPr>
        <w:pStyle w:val="20"/>
        <w:spacing w:line="360" w:lineRule="auto"/>
        <w:ind w:firstLine="480"/>
        <w:jc w:val="left"/>
        <w:rPr>
          <w:color w:val="auto"/>
          <w:u w:val="single"/>
        </w:rPr>
      </w:pPr>
      <w:r>
        <w:rPr>
          <w:color w:val="auto"/>
          <w:u w:val="single"/>
        </w:rPr>
        <w:t>承包范围内的工作内容。</w:t>
      </w:r>
    </w:p>
    <w:p>
      <w:pPr>
        <w:pStyle w:val="20"/>
        <w:spacing w:before="312" w:after="0" w:line="360" w:lineRule="auto"/>
        <w:ind w:firstLine="402"/>
        <w:jc w:val="left"/>
        <w:rPr>
          <w:b/>
          <w:bCs/>
          <w:color w:val="auto"/>
        </w:rPr>
      </w:pPr>
      <w:bookmarkStart w:id="7398" w:name="_Toc17858"/>
      <w:r>
        <w:rPr>
          <w:b/>
          <w:bCs/>
          <w:color w:val="auto"/>
        </w:rPr>
        <w:t>二、质量保修期</w:t>
      </w:r>
      <w:bookmarkEnd w:id="7398"/>
    </w:p>
    <w:p>
      <w:pPr>
        <w:pStyle w:val="20"/>
        <w:spacing w:line="360" w:lineRule="auto"/>
        <w:ind w:firstLine="400"/>
        <w:jc w:val="left"/>
        <w:rPr>
          <w:color w:val="auto"/>
        </w:rPr>
      </w:pPr>
      <w:r>
        <w:rPr>
          <w:color w:val="auto"/>
        </w:rPr>
        <w:t>质量保修期从工程竣工验收合格之日算起。分单项竣工验收的工程，按单项工程分别计算质量保修期。</w:t>
      </w:r>
    </w:p>
    <w:p>
      <w:pPr>
        <w:pStyle w:val="20"/>
        <w:spacing w:line="360" w:lineRule="auto"/>
        <w:ind w:firstLine="400"/>
        <w:jc w:val="left"/>
        <w:rPr>
          <w:color w:val="auto"/>
        </w:rPr>
      </w:pPr>
      <w:r>
        <w:rPr>
          <w:color w:val="auto"/>
        </w:rPr>
        <w:t>双方根据《建设工程质量管理条例》规定，结合该工程约定质量保修期如下：</w:t>
      </w:r>
    </w:p>
    <w:p>
      <w:pPr>
        <w:pStyle w:val="20"/>
        <w:spacing w:line="360" w:lineRule="auto"/>
        <w:ind w:firstLine="400"/>
        <w:jc w:val="left"/>
        <w:rPr>
          <w:color w:val="auto"/>
        </w:rPr>
      </w:pPr>
      <w:r>
        <w:rPr>
          <w:color w:val="auto"/>
        </w:rPr>
        <w:t>1、基础设施工程、房屋建筑的地基基础工程和主体结构工程为设计文件规定的（50年、70年、100年）合理使用年限，屋面防水工程、有防水要求的卫生间、房间和外墙面的防渗漏为5年；</w:t>
      </w:r>
    </w:p>
    <w:p>
      <w:pPr>
        <w:pStyle w:val="20"/>
        <w:spacing w:line="360" w:lineRule="auto"/>
        <w:ind w:firstLine="400"/>
        <w:jc w:val="left"/>
        <w:rPr>
          <w:color w:val="auto"/>
        </w:rPr>
      </w:pPr>
      <w:r>
        <w:rPr>
          <w:color w:val="auto"/>
        </w:rPr>
        <w:t>2、电气管线、给排水管道、设备安装工程为2年；</w:t>
      </w:r>
    </w:p>
    <w:p>
      <w:pPr>
        <w:pStyle w:val="20"/>
        <w:spacing w:line="360" w:lineRule="auto"/>
        <w:ind w:firstLine="400"/>
        <w:jc w:val="left"/>
        <w:rPr>
          <w:color w:val="auto"/>
        </w:rPr>
      </w:pPr>
      <w:r>
        <w:rPr>
          <w:color w:val="auto"/>
        </w:rPr>
        <w:t>3、空调及制冷为2个供冷期；</w:t>
      </w:r>
    </w:p>
    <w:p>
      <w:pPr>
        <w:pStyle w:val="20"/>
        <w:spacing w:line="360" w:lineRule="auto"/>
        <w:ind w:firstLine="400"/>
        <w:jc w:val="left"/>
        <w:rPr>
          <w:color w:val="auto"/>
        </w:rPr>
      </w:pPr>
      <w:r>
        <w:rPr>
          <w:color w:val="auto"/>
        </w:rPr>
        <w:t>4、室外的给排水和小区道路等配套工程为2年；</w:t>
      </w:r>
    </w:p>
    <w:p>
      <w:pPr>
        <w:pStyle w:val="20"/>
        <w:spacing w:line="360" w:lineRule="auto"/>
        <w:ind w:firstLine="400"/>
        <w:jc w:val="left"/>
        <w:rPr>
          <w:color w:val="auto"/>
        </w:rPr>
      </w:pPr>
      <w:r>
        <w:rPr>
          <w:color w:val="auto"/>
        </w:rPr>
        <w:t>5、市政桥梁工程为年；</w:t>
      </w:r>
    </w:p>
    <w:p>
      <w:pPr>
        <w:pStyle w:val="20"/>
        <w:spacing w:line="360" w:lineRule="auto"/>
        <w:ind w:firstLine="400"/>
        <w:jc w:val="left"/>
        <w:rPr>
          <w:color w:val="auto"/>
        </w:rPr>
      </w:pPr>
      <w:r>
        <w:rPr>
          <w:color w:val="auto"/>
        </w:rPr>
        <w:t>6、市政道路路基为年；</w:t>
      </w:r>
    </w:p>
    <w:p>
      <w:pPr>
        <w:pStyle w:val="20"/>
        <w:spacing w:line="360" w:lineRule="auto"/>
        <w:ind w:firstLine="400"/>
        <w:jc w:val="left"/>
        <w:rPr>
          <w:color w:val="auto"/>
        </w:rPr>
      </w:pPr>
      <w:r>
        <w:rPr>
          <w:color w:val="auto"/>
        </w:rPr>
        <w:t>7、市政道路路面为年；</w:t>
      </w:r>
    </w:p>
    <w:p>
      <w:pPr>
        <w:pStyle w:val="20"/>
        <w:spacing w:line="360" w:lineRule="auto"/>
        <w:ind w:firstLine="400"/>
        <w:jc w:val="left"/>
        <w:rPr>
          <w:color w:val="auto"/>
        </w:rPr>
      </w:pPr>
      <w:r>
        <w:rPr>
          <w:color w:val="auto"/>
        </w:rPr>
        <w:t>8、其他项目保修期限约定如下：</w:t>
      </w:r>
      <w:r>
        <w:rPr>
          <w:color w:val="auto"/>
          <w:u w:val="single"/>
        </w:rPr>
        <w:t>2年。</w:t>
      </w:r>
    </w:p>
    <w:p>
      <w:pPr>
        <w:pStyle w:val="20"/>
        <w:spacing w:line="360" w:lineRule="auto"/>
        <w:jc w:val="left"/>
        <w:rPr>
          <w:color w:val="auto"/>
        </w:rPr>
      </w:pPr>
    </w:p>
    <w:p>
      <w:pPr>
        <w:pStyle w:val="20"/>
        <w:pBdr>
          <w:bottom w:val="single" w:color="000000" w:sz="12" w:space="9"/>
        </w:pBdr>
        <w:spacing w:line="360" w:lineRule="auto"/>
        <w:ind w:firstLine="480"/>
        <w:jc w:val="left"/>
        <w:rPr>
          <w:b/>
          <w:bCs/>
          <w:color w:val="auto"/>
        </w:rPr>
      </w:pPr>
      <w:bookmarkStart w:id="7399" w:name="_Toc23270"/>
      <w:r>
        <w:rPr>
          <w:b/>
          <w:bCs/>
          <w:color w:val="auto"/>
        </w:rPr>
        <w:t>三、质量保修责任</w:t>
      </w:r>
      <w:bookmarkEnd w:id="7399"/>
    </w:p>
    <w:p>
      <w:pPr>
        <w:pStyle w:val="20"/>
        <w:pBdr>
          <w:bottom w:val="single" w:color="000000" w:sz="12" w:space="9"/>
        </w:pBdr>
        <w:spacing w:line="360" w:lineRule="auto"/>
        <w:ind w:firstLine="480"/>
        <w:jc w:val="left"/>
        <w:rPr>
          <w:color w:val="auto"/>
          <w:spacing w:val="-4"/>
        </w:rPr>
      </w:pPr>
      <w:r>
        <w:rPr>
          <w:color w:val="auto"/>
        </w:rPr>
        <w:t>1、属于</w:t>
      </w:r>
      <w:r>
        <w:rPr>
          <w:color w:val="auto"/>
          <w:spacing w:val="-4"/>
        </w:rPr>
        <w:t>保修范围、内容的项目，承包人应当在接到保修通知之日起7天内派人保修。承包人不在约定期限内派人保修的，发包人可以委托他人修理,保修费用从质量保修金内扣除。</w:t>
      </w:r>
    </w:p>
    <w:p>
      <w:pPr>
        <w:pStyle w:val="20"/>
        <w:pBdr>
          <w:bottom w:val="single" w:color="000000" w:sz="12" w:space="9"/>
        </w:pBdr>
        <w:spacing w:line="360" w:lineRule="auto"/>
        <w:ind w:firstLine="480"/>
        <w:jc w:val="left"/>
        <w:rPr>
          <w:color w:val="auto"/>
        </w:rPr>
      </w:pPr>
      <w:r>
        <w:rPr>
          <w:color w:val="auto"/>
        </w:rPr>
        <w:t>2、发生紧急抢修事故的（如给排水跑水、燃气漏气等），承包人接到事故通知后，应立即到达事故现场抢修。非承包人施工质量引起的事故，抢修费用由发包人承担。</w:t>
      </w:r>
    </w:p>
    <w:p>
      <w:pPr>
        <w:pStyle w:val="20"/>
        <w:pBdr>
          <w:bottom w:val="single" w:color="000000" w:sz="12" w:space="9"/>
        </w:pBdr>
        <w:spacing w:line="360" w:lineRule="auto"/>
        <w:ind w:firstLine="480"/>
        <w:jc w:val="left"/>
        <w:rPr>
          <w:color w:val="auto"/>
        </w:rPr>
      </w:pPr>
      <w:r>
        <w:rPr>
          <w:color w:val="auto"/>
        </w:rPr>
        <w:t>3、对于涉及结构安全的质量问题，应当按照《房屋建筑工程质量保修办法》的规定，立即向所属建设行政主管部门报告，采取安全防范措施；由原设计单位或者具有相应资质等级的设计单位提出保修方案，承包人实施保修。</w:t>
      </w:r>
    </w:p>
    <w:p>
      <w:pPr>
        <w:pStyle w:val="20"/>
        <w:pBdr>
          <w:bottom w:val="single" w:color="000000" w:sz="12" w:space="9"/>
        </w:pBdr>
        <w:spacing w:line="360" w:lineRule="auto"/>
        <w:ind w:firstLine="480"/>
        <w:jc w:val="left"/>
        <w:rPr>
          <w:color w:val="auto"/>
        </w:rPr>
      </w:pPr>
      <w:r>
        <w:rPr>
          <w:color w:val="auto"/>
        </w:rPr>
        <w:t>4、质量保修完成后，由发包人组织验收。</w:t>
      </w:r>
    </w:p>
    <w:p>
      <w:pPr>
        <w:pStyle w:val="20"/>
        <w:pBdr>
          <w:bottom w:val="single" w:color="000000" w:sz="12" w:space="9"/>
        </w:pBdr>
        <w:spacing w:line="360" w:lineRule="auto"/>
        <w:ind w:firstLine="480"/>
        <w:jc w:val="left"/>
        <w:rPr>
          <w:color w:val="auto"/>
        </w:rPr>
      </w:pPr>
    </w:p>
    <w:p>
      <w:pPr>
        <w:pStyle w:val="20"/>
        <w:pBdr>
          <w:bottom w:val="single" w:color="000000" w:sz="12" w:space="9"/>
        </w:pBdr>
        <w:spacing w:line="360" w:lineRule="auto"/>
        <w:ind w:firstLine="480"/>
        <w:jc w:val="left"/>
        <w:rPr>
          <w:b/>
          <w:bCs/>
          <w:color w:val="auto"/>
        </w:rPr>
      </w:pPr>
      <w:bookmarkStart w:id="7400" w:name="_Toc18736"/>
      <w:r>
        <w:rPr>
          <w:b/>
          <w:bCs/>
          <w:color w:val="auto"/>
        </w:rPr>
        <w:t>四、质量保修金的支付</w:t>
      </w:r>
      <w:bookmarkEnd w:id="7400"/>
    </w:p>
    <w:p>
      <w:pPr>
        <w:pStyle w:val="20"/>
        <w:pBdr>
          <w:bottom w:val="single" w:color="000000" w:sz="12" w:space="9"/>
        </w:pBdr>
        <w:spacing w:line="360" w:lineRule="auto"/>
        <w:ind w:firstLine="480"/>
        <w:jc w:val="left"/>
        <w:rPr>
          <w:color w:val="auto"/>
        </w:rPr>
      </w:pPr>
      <w:r>
        <w:rPr>
          <w:color w:val="auto"/>
        </w:rPr>
        <w:t>工程质量保修金按工程价款结算总额</w:t>
      </w:r>
      <w:r>
        <w:rPr>
          <w:color w:val="auto"/>
          <w:u w:val="single"/>
        </w:rPr>
        <w:t xml:space="preserve"> 3 </w:t>
      </w:r>
      <w:r>
        <w:rPr>
          <w:color w:val="auto"/>
        </w:rPr>
        <w:t>%左右预留，本工程约定的工程质量保修金为工程价款结算总额的</w:t>
      </w:r>
      <w:r>
        <w:rPr>
          <w:color w:val="auto"/>
          <w:u w:val="single"/>
        </w:rPr>
        <w:t xml:space="preserve"> 3 </w:t>
      </w:r>
      <w:r>
        <w:rPr>
          <w:color w:val="auto"/>
        </w:rPr>
        <w:t>%。</w:t>
      </w:r>
    </w:p>
    <w:p>
      <w:pPr>
        <w:pStyle w:val="20"/>
        <w:pBdr>
          <w:bottom w:val="single" w:color="000000" w:sz="12" w:space="9"/>
        </w:pBdr>
        <w:spacing w:line="360" w:lineRule="auto"/>
        <w:ind w:firstLine="480"/>
        <w:jc w:val="left"/>
        <w:rPr>
          <w:color w:val="auto"/>
        </w:rPr>
      </w:pPr>
      <w:r>
        <w:rPr>
          <w:color w:val="auto"/>
        </w:rPr>
        <w:t>本工程双方约定承包人向发包人支付工程质量保修金金额为（大写）</w:t>
      </w:r>
      <w:r>
        <w:rPr>
          <w:color w:val="auto"/>
          <w:u w:val="single"/>
        </w:rPr>
        <w:t xml:space="preserve"> /  </w:t>
      </w:r>
      <w:r>
        <w:rPr>
          <w:color w:val="auto"/>
        </w:rPr>
        <w:t xml:space="preserve"> ，发包人从结算价中扣留。</w:t>
      </w:r>
    </w:p>
    <w:p>
      <w:pPr>
        <w:pStyle w:val="20"/>
        <w:pBdr>
          <w:bottom w:val="single" w:color="000000" w:sz="12" w:space="9"/>
        </w:pBdr>
        <w:spacing w:line="360" w:lineRule="auto"/>
        <w:ind w:firstLine="480"/>
        <w:jc w:val="left"/>
        <w:rPr>
          <w:color w:val="auto"/>
        </w:rPr>
      </w:pPr>
      <w:r>
        <w:rPr>
          <w:color w:val="auto"/>
        </w:rPr>
        <w:t>质量保修金银行利率为：</w:t>
      </w:r>
      <w:r>
        <w:rPr>
          <w:color w:val="auto"/>
          <w:u w:val="single"/>
        </w:rPr>
        <w:t xml:space="preserve">  零  </w:t>
      </w:r>
    </w:p>
    <w:p>
      <w:pPr>
        <w:pStyle w:val="20"/>
        <w:pBdr>
          <w:bottom w:val="single" w:color="000000" w:sz="12" w:space="9"/>
        </w:pBdr>
        <w:spacing w:line="360" w:lineRule="auto"/>
        <w:ind w:firstLine="480"/>
        <w:jc w:val="left"/>
        <w:rPr>
          <w:color w:val="auto"/>
        </w:rPr>
      </w:pPr>
    </w:p>
    <w:p>
      <w:pPr>
        <w:pStyle w:val="20"/>
        <w:pBdr>
          <w:bottom w:val="single" w:color="000000" w:sz="12" w:space="9"/>
        </w:pBdr>
        <w:spacing w:line="360" w:lineRule="auto"/>
        <w:ind w:firstLine="480"/>
        <w:jc w:val="left"/>
        <w:rPr>
          <w:b/>
          <w:bCs/>
          <w:color w:val="auto"/>
        </w:rPr>
      </w:pPr>
      <w:bookmarkStart w:id="7401" w:name="_Toc25063"/>
      <w:r>
        <w:rPr>
          <w:b/>
          <w:bCs/>
          <w:color w:val="auto"/>
        </w:rPr>
        <w:t>五、质量保修金的返还</w:t>
      </w:r>
      <w:bookmarkEnd w:id="7401"/>
    </w:p>
    <w:p>
      <w:pPr>
        <w:pStyle w:val="20"/>
        <w:pBdr>
          <w:bottom w:val="single" w:color="000000" w:sz="12" w:space="9"/>
        </w:pBdr>
        <w:spacing w:line="360" w:lineRule="auto"/>
        <w:ind w:firstLine="480"/>
        <w:jc w:val="left"/>
        <w:rPr>
          <w:color w:val="auto"/>
        </w:rPr>
      </w:pPr>
      <w:r>
        <w:rPr>
          <w:color w:val="auto"/>
        </w:rPr>
        <w:t>发包人在工程质量验收满二年后第14天内，将剩余保修金返还给承包人，但并不免除承包人在保修期内的保修责任。</w:t>
      </w:r>
    </w:p>
    <w:p>
      <w:pPr>
        <w:pStyle w:val="20"/>
        <w:pBdr>
          <w:bottom w:val="single" w:color="000000" w:sz="12" w:space="9"/>
        </w:pBdr>
        <w:spacing w:line="360" w:lineRule="auto"/>
        <w:ind w:firstLine="480"/>
        <w:jc w:val="left"/>
        <w:rPr>
          <w:color w:val="auto"/>
        </w:rPr>
      </w:pPr>
    </w:p>
    <w:p>
      <w:pPr>
        <w:pStyle w:val="20"/>
        <w:pBdr>
          <w:bottom w:val="single" w:color="000000" w:sz="12" w:space="9"/>
        </w:pBdr>
        <w:spacing w:before="156" w:after="0" w:line="360" w:lineRule="auto"/>
        <w:ind w:firstLine="482"/>
        <w:jc w:val="left"/>
        <w:rPr>
          <w:color w:val="auto"/>
        </w:rPr>
      </w:pPr>
      <w:bookmarkStart w:id="7402" w:name="_Toc15482"/>
      <w:r>
        <w:rPr>
          <w:b/>
          <w:bCs/>
          <w:color w:val="auto"/>
        </w:rPr>
        <w:t>六、其他</w:t>
      </w:r>
      <w:bookmarkEnd w:id="7402"/>
    </w:p>
    <w:p>
      <w:pPr>
        <w:pStyle w:val="20"/>
        <w:pBdr>
          <w:bottom w:val="single" w:color="000000" w:sz="12" w:space="9"/>
        </w:pBdr>
        <w:spacing w:line="360" w:lineRule="auto"/>
        <w:ind w:firstLine="480"/>
        <w:jc w:val="left"/>
        <w:rPr>
          <w:color w:val="auto"/>
        </w:rPr>
      </w:pPr>
      <w:r>
        <w:rPr>
          <w:color w:val="auto"/>
        </w:rPr>
        <w:t>双方约定的其他工程质量保修事项：</w:t>
      </w:r>
    </w:p>
    <w:p>
      <w:pPr>
        <w:pStyle w:val="20"/>
        <w:pBdr>
          <w:bottom w:val="single" w:color="000000" w:sz="12" w:space="9"/>
        </w:pBdr>
        <w:spacing w:line="360" w:lineRule="auto"/>
        <w:ind w:firstLine="480"/>
        <w:jc w:val="left"/>
        <w:rPr>
          <w:color w:val="auto"/>
        </w:rPr>
      </w:pPr>
    </w:p>
    <w:p>
      <w:pPr>
        <w:pStyle w:val="20"/>
        <w:pBdr>
          <w:bottom w:val="single" w:color="000000" w:sz="12" w:space="9"/>
        </w:pBdr>
        <w:spacing w:line="360" w:lineRule="auto"/>
        <w:ind w:firstLine="480"/>
        <w:jc w:val="left"/>
        <w:rPr>
          <w:color w:val="auto"/>
        </w:rPr>
      </w:pPr>
    </w:p>
    <w:p>
      <w:pPr>
        <w:pStyle w:val="20"/>
        <w:pBdr>
          <w:bottom w:val="single" w:color="000000" w:sz="12" w:space="9"/>
        </w:pBdr>
        <w:spacing w:line="360" w:lineRule="auto"/>
        <w:ind w:firstLine="480"/>
        <w:jc w:val="left"/>
        <w:rPr>
          <w:color w:val="auto"/>
        </w:rPr>
      </w:pPr>
    </w:p>
    <w:p>
      <w:pPr>
        <w:pStyle w:val="20"/>
        <w:spacing w:line="360" w:lineRule="auto"/>
        <w:ind w:firstLine="480"/>
        <w:jc w:val="left"/>
        <w:rPr>
          <w:color w:val="auto"/>
        </w:rPr>
      </w:pPr>
    </w:p>
    <w:p>
      <w:pPr>
        <w:pStyle w:val="20"/>
        <w:pBdr>
          <w:bottom w:val="single" w:color="000000" w:sz="12" w:space="31"/>
        </w:pBdr>
        <w:spacing w:line="360" w:lineRule="auto"/>
        <w:jc w:val="left"/>
        <w:rPr>
          <w:color w:val="auto"/>
        </w:rPr>
      </w:pPr>
    </w:p>
    <w:p>
      <w:pPr>
        <w:pStyle w:val="20"/>
        <w:pBdr>
          <w:bottom w:val="single" w:color="000000" w:sz="12" w:space="31"/>
        </w:pBdr>
        <w:spacing w:line="360" w:lineRule="auto"/>
        <w:ind w:firstLine="480"/>
        <w:jc w:val="left"/>
        <w:rPr>
          <w:color w:val="auto"/>
        </w:rPr>
      </w:pPr>
    </w:p>
    <w:p>
      <w:pPr>
        <w:pStyle w:val="20"/>
        <w:pBdr>
          <w:bottom w:val="single" w:color="000000" w:sz="12" w:space="31"/>
        </w:pBdr>
        <w:spacing w:line="360" w:lineRule="auto"/>
        <w:ind w:firstLine="480"/>
        <w:jc w:val="left"/>
        <w:rPr>
          <w:color w:val="auto"/>
        </w:rPr>
      </w:pPr>
      <w:r>
        <w:rPr>
          <w:color w:val="auto"/>
        </w:rPr>
        <w:t>本工程质量保修书作为施工合同附件（由施工合同发包人承包人双方共同签署），其有效期限至保修期满。</w:t>
      </w:r>
    </w:p>
    <w:p>
      <w:pPr>
        <w:pStyle w:val="20"/>
        <w:pBdr>
          <w:bottom w:val="single" w:color="000000" w:sz="12" w:space="31"/>
        </w:pBdr>
        <w:spacing w:line="360" w:lineRule="auto"/>
        <w:ind w:firstLine="480"/>
        <w:jc w:val="left"/>
        <w:rPr>
          <w:color w:val="auto"/>
        </w:rPr>
      </w:pPr>
    </w:p>
    <w:p>
      <w:pPr>
        <w:pStyle w:val="20"/>
        <w:pBdr>
          <w:bottom w:val="single" w:color="000000" w:sz="12" w:space="31"/>
        </w:pBdr>
        <w:spacing w:line="360" w:lineRule="auto"/>
        <w:ind w:firstLine="480"/>
        <w:jc w:val="left"/>
        <w:rPr>
          <w:color w:val="auto"/>
        </w:rPr>
      </w:pPr>
    </w:p>
    <w:p>
      <w:pPr>
        <w:pStyle w:val="20"/>
        <w:pBdr>
          <w:bottom w:val="single" w:color="000000" w:sz="12" w:space="31"/>
        </w:pBdr>
        <w:spacing w:line="360" w:lineRule="auto"/>
        <w:ind w:firstLine="480"/>
        <w:jc w:val="left"/>
        <w:rPr>
          <w:color w:val="auto"/>
        </w:rPr>
      </w:pPr>
      <w:r>
        <w:rPr>
          <w:color w:val="auto"/>
        </w:rPr>
        <w:t>发包人（公章）：</w:t>
      </w:r>
    </w:p>
    <w:p>
      <w:pPr>
        <w:pStyle w:val="20"/>
        <w:pBdr>
          <w:bottom w:val="single" w:color="000000" w:sz="12" w:space="31"/>
        </w:pBdr>
        <w:spacing w:line="360" w:lineRule="auto"/>
        <w:ind w:firstLine="480"/>
        <w:jc w:val="left"/>
        <w:rPr>
          <w:color w:val="auto"/>
        </w:rPr>
      </w:pPr>
      <w:r>
        <w:rPr>
          <w:color w:val="auto"/>
        </w:rPr>
        <w:t>法定代表人（签字）：</w:t>
      </w:r>
    </w:p>
    <w:p>
      <w:pPr>
        <w:pStyle w:val="20"/>
        <w:pBdr>
          <w:bottom w:val="single" w:color="000000" w:sz="12" w:space="31"/>
        </w:pBdr>
        <w:spacing w:line="360" w:lineRule="auto"/>
        <w:ind w:firstLine="480"/>
        <w:jc w:val="left"/>
        <w:rPr>
          <w:color w:val="auto"/>
        </w:rPr>
      </w:pPr>
      <w:r>
        <w:rPr>
          <w:color w:val="auto"/>
        </w:rPr>
        <w:t>或委托代理人（签字）：</w:t>
      </w:r>
    </w:p>
    <w:p>
      <w:pPr>
        <w:pStyle w:val="20"/>
        <w:pBdr>
          <w:bottom w:val="single" w:color="000000" w:sz="12" w:space="31"/>
        </w:pBdr>
        <w:spacing w:line="360" w:lineRule="auto"/>
        <w:ind w:firstLine="3856"/>
        <w:jc w:val="left"/>
        <w:rPr>
          <w:color w:val="auto"/>
        </w:rPr>
      </w:pPr>
      <w:r>
        <w:rPr>
          <w:color w:val="auto"/>
        </w:rPr>
        <w:t>年   月   日</w:t>
      </w:r>
    </w:p>
    <w:p>
      <w:pPr>
        <w:pStyle w:val="20"/>
        <w:pBdr>
          <w:bottom w:val="single" w:color="000000" w:sz="12" w:space="31"/>
        </w:pBdr>
        <w:spacing w:line="360" w:lineRule="auto"/>
        <w:ind w:firstLine="400"/>
        <w:jc w:val="left"/>
        <w:rPr>
          <w:color w:val="auto"/>
        </w:rPr>
      </w:pPr>
    </w:p>
    <w:p>
      <w:pPr>
        <w:pStyle w:val="20"/>
        <w:pBdr>
          <w:bottom w:val="single" w:color="000000" w:sz="12" w:space="31"/>
        </w:pBdr>
        <w:spacing w:line="360" w:lineRule="auto"/>
        <w:ind w:firstLine="400"/>
        <w:jc w:val="left"/>
        <w:rPr>
          <w:color w:val="auto"/>
        </w:rPr>
      </w:pPr>
    </w:p>
    <w:p>
      <w:pPr>
        <w:pStyle w:val="20"/>
        <w:pBdr>
          <w:bottom w:val="single" w:color="000000" w:sz="12" w:space="31"/>
        </w:pBdr>
        <w:spacing w:line="360" w:lineRule="auto"/>
        <w:ind w:firstLine="400"/>
        <w:jc w:val="left"/>
        <w:rPr>
          <w:color w:val="auto"/>
        </w:rPr>
      </w:pPr>
      <w:r>
        <w:rPr>
          <w:color w:val="auto"/>
        </w:rPr>
        <w:t>承包人（公章）：</w:t>
      </w:r>
    </w:p>
    <w:p>
      <w:pPr>
        <w:pStyle w:val="20"/>
        <w:pBdr>
          <w:bottom w:val="single" w:color="000000" w:sz="12" w:space="31"/>
        </w:pBdr>
        <w:spacing w:line="360" w:lineRule="auto"/>
        <w:ind w:firstLine="400"/>
        <w:jc w:val="left"/>
        <w:rPr>
          <w:color w:val="auto"/>
        </w:rPr>
      </w:pPr>
      <w:r>
        <w:rPr>
          <w:color w:val="auto"/>
        </w:rPr>
        <w:t>法定代表人（签字）：</w:t>
      </w:r>
    </w:p>
    <w:p>
      <w:pPr>
        <w:pStyle w:val="20"/>
        <w:pBdr>
          <w:bottom w:val="single" w:color="000000" w:sz="12" w:space="31"/>
        </w:pBdr>
        <w:spacing w:line="360" w:lineRule="auto"/>
        <w:ind w:firstLine="400"/>
        <w:jc w:val="left"/>
        <w:rPr>
          <w:color w:val="auto"/>
        </w:rPr>
      </w:pPr>
      <w:r>
        <w:rPr>
          <w:color w:val="auto"/>
        </w:rPr>
        <w:t>或委托代理人（签字）</w:t>
      </w:r>
    </w:p>
    <w:p>
      <w:pPr>
        <w:pStyle w:val="20"/>
        <w:pBdr>
          <w:bottom w:val="single" w:color="000000" w:sz="12" w:space="31"/>
        </w:pBdr>
        <w:spacing w:line="360" w:lineRule="auto"/>
        <w:ind w:firstLine="3800"/>
        <w:jc w:val="left"/>
        <w:rPr>
          <w:color w:val="auto"/>
        </w:rPr>
      </w:pPr>
      <w:r>
        <w:rPr>
          <w:color w:val="auto"/>
        </w:rPr>
        <w:t>年   月   日</w:t>
      </w:r>
    </w:p>
    <w:p>
      <w:pPr>
        <w:pStyle w:val="20"/>
        <w:pBdr>
          <w:bottom w:val="single" w:color="000000" w:sz="12" w:space="31"/>
        </w:pBdr>
        <w:spacing w:line="360" w:lineRule="auto"/>
        <w:ind w:firstLine="3800"/>
        <w:jc w:val="left"/>
        <w:rPr>
          <w:color w:val="auto"/>
        </w:rPr>
        <w:sectPr>
          <w:headerReference r:id="rId11" w:type="default"/>
          <w:footerReference r:id="rId12" w:type="default"/>
          <w:pgSz w:w="11906" w:h="16838"/>
          <w:pgMar w:top="1440" w:right="1800" w:bottom="1440" w:left="1800" w:header="851" w:footer="992" w:gutter="0"/>
          <w:pgNumType w:fmt="decimal"/>
          <w:cols w:space="720" w:num="1"/>
          <w:formProt w:val="0"/>
          <w:docGrid w:type="lines" w:linePitch="312" w:charSpace="0"/>
        </w:sectPr>
      </w:pPr>
      <w:bookmarkStart w:id="7403" w:name="_Toc152931"/>
      <w:bookmarkEnd w:id="7403"/>
      <w:bookmarkStart w:id="7404" w:name="_Toc264881"/>
      <w:bookmarkEnd w:id="7404"/>
      <w:bookmarkStart w:id="7405" w:name="_Toc132921"/>
      <w:bookmarkEnd w:id="7405"/>
    </w:p>
    <w:p>
      <w:pPr>
        <w:keepNext/>
        <w:keepLines/>
        <w:numPr>
          <w:ilvl w:val="0"/>
          <w:numId w:val="0"/>
        </w:numPr>
        <w:tabs>
          <w:tab w:val="left" w:pos="360"/>
        </w:tabs>
        <w:spacing w:line="360" w:lineRule="auto"/>
        <w:jc w:val="left"/>
        <w:outlineLvl w:val="0"/>
        <w:rPr>
          <w:rFonts w:ascii="宋体" w:hAnsi="宋体" w:cs="宋体"/>
          <w:color w:val="auto"/>
          <w:szCs w:val="21"/>
        </w:rPr>
      </w:pPr>
      <w:bookmarkStart w:id="7406" w:name="_Toc7409"/>
      <w:bookmarkStart w:id="7407" w:name="_Toc26401"/>
      <w:bookmarkStart w:id="7408" w:name="_Toc11969"/>
      <w:r>
        <w:rPr>
          <w:rFonts w:ascii="宋体" w:hAnsi="宋体" w:cs="宋体"/>
          <w:b/>
          <w:color w:val="auto"/>
          <w:szCs w:val="21"/>
        </w:rPr>
        <w:t>附件3：双方法人证明及授权委托书</w:t>
      </w:r>
      <w:bookmarkEnd w:id="7406"/>
      <w:bookmarkEnd w:id="7407"/>
      <w:bookmarkEnd w:id="7408"/>
    </w:p>
    <w:p>
      <w:pPr>
        <w:pStyle w:val="13"/>
        <w:ind w:firstLine="0"/>
        <w:jc w:val="left"/>
        <w:rPr>
          <w:color w:val="auto"/>
        </w:rPr>
      </w:pPr>
    </w:p>
    <w:p>
      <w:pPr>
        <w:jc w:val="left"/>
        <w:rPr>
          <w:color w:val="auto"/>
        </w:rPr>
      </w:pPr>
    </w:p>
    <w:p>
      <w:pPr>
        <w:jc w:val="left"/>
        <w:rPr>
          <w:color w:val="auto"/>
        </w:rPr>
      </w:pPr>
    </w:p>
    <w:sectPr>
      <w:headerReference r:id="rId13" w:type="default"/>
      <w:footerReference r:id="rId14" w:type="default"/>
      <w:pgSz w:w="11906" w:h="16838"/>
      <w:pgMar w:top="1440" w:right="1800" w:bottom="1440" w:left="1800" w:header="851" w:footer="992"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Microsoft YaHei UI">
    <w:panose1 w:val="020B0503020204020204"/>
    <w:charset w:val="86"/>
    <w:family w:val="roman"/>
    <w:pitch w:val="default"/>
    <w:sig w:usb0="80000287" w:usb1="2ACF3C50" w:usb2="00000016" w:usb3="00000000" w:csb0="0004001F" w:csb1="00000000"/>
  </w:font>
  <w:font w:name="仿宋">
    <w:panose1 w:val="02010609060101010101"/>
    <w:charset w:val="86"/>
    <w:family w:val="roman"/>
    <w:pitch w:val="default"/>
    <w:sig w:usb0="800002BF" w:usb1="38CF7CFA" w:usb2="00000016" w:usb3="00000000" w:csb0="00040001"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86"/>
    <w:family w:val="roman"/>
    <w:pitch w:val="default"/>
    <w:sig w:usb0="A0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86"/>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sz w:val="21"/>
        <w:szCs w:val="21"/>
      </w:rPr>
    </w:pPr>
    <w:r>
      <w:rPr>
        <w:rFonts w:hint="eastAsia"/>
        <w:sz w:val="21"/>
        <w:szCs w:val="21"/>
      </w:rPr>
      <w:t xml:space="preserve">— </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39</w:t>
    </w:r>
    <w:r>
      <w:rPr>
        <w:sz w:val="21"/>
        <w:szCs w:val="21"/>
      </w:rPr>
      <w:fldChar w:fldCharType="end"/>
    </w:r>
    <w:r>
      <w:rPr>
        <w:rFonts w:hint="eastAsia"/>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16"/>
        <w:tab w:val="clear" w:pos="4153"/>
      </w:tabs>
      <w:jc w:val="both"/>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36" name="文本框 37"/>
              <wp:cNvGraphicFramePr/>
              <a:graphic xmlns:a="http://schemas.openxmlformats.org/drawingml/2006/main">
                <a:graphicData uri="http://schemas.microsoft.com/office/word/2010/wordprocessingShape">
                  <wps:wsp>
                    <wps:cNvSpPr/>
                    <wps:spPr>
                      <a:xfrm>
                        <a:off x="0" y="0"/>
                        <a:ext cx="182952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25"/>
                            <w:rPr>
                              <w:color w:val="000000"/>
                            </w:rPr>
                          </w:pPr>
                          <w:r>
                            <w:rPr>
                              <w:color w:val="000000"/>
                            </w:rPr>
                            <w:fldChar w:fldCharType="begin"/>
                          </w:r>
                          <w:r>
                            <w:instrText xml:space="preserve">PAGE</w:instrText>
                          </w:r>
                          <w:r>
                            <w:fldChar w:fldCharType="separate"/>
                          </w:r>
                          <w:r>
                            <w:t>3</w:t>
                          </w:r>
                          <w:r>
                            <w:fldChar w:fldCharType="end"/>
                          </w:r>
                        </w:p>
                      </w:txbxContent>
                    </wps:txbx>
                    <wps:bodyPr lIns="0" tIns="0" rIns="0" bIns="0">
                      <a:spAutoFit/>
                    </wps:bodyPr>
                  </wps:wsp>
                </a:graphicData>
              </a:graphic>
            </wp:anchor>
          </w:drawing>
        </mc:Choice>
        <mc:Fallback>
          <w:pict>
            <v:rect id="文本框 37"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d+suHRAAAABAEAAA8AAAAAAAAAAQAgAAAAIgAAAGRycy9kb3ducmV2LnhtbFBL&#10;AQIUABQAAAAIAIdO4kBSaFKlxAEAAIEDAAAOAAAAAAAAAAEAIAAAACABAABkcnMvZTJvRG9jLnht&#10;bFBLBQYAAAAABgAGAFkBAABWBQAAAAA=&#10;">
              <v:fill on="f" focussize="0,0"/>
              <v:stroke on="f" weight="0.510236220472441pt"/>
              <v:imagedata o:title=""/>
              <o:lock v:ext="edit" aspectratio="f"/>
              <v:textbox inset="0mm,0mm,0mm,0mm" style="mso-fit-shape-to-text:t;">
                <w:txbxContent>
                  <w:p>
                    <w:pPr>
                      <w:pStyle w:val="25"/>
                      <w:rPr>
                        <w:color w:val="000000"/>
                      </w:rPr>
                    </w:pPr>
                    <w:r>
                      <w:rPr>
                        <w:color w:val="000000"/>
                      </w:rPr>
                      <w:fldChar w:fldCharType="begin"/>
                    </w:r>
                    <w:r>
                      <w:instrText xml:space="preserve">PAGE</w:instrText>
                    </w:r>
                    <w:r>
                      <w:fldChar w:fldCharType="separate"/>
                    </w:r>
                    <w:r>
                      <w:t>3</w:t>
                    </w:r>
                    <w:r>
                      <w:fldChar w:fldCharType="end"/>
                    </w:r>
                  </w:p>
                </w:txbxContent>
              </v:textbox>
            </v:rect>
          </w:pict>
        </mc:Fallback>
      </mc:AlternateContent>
    </w:r>
    <w:r>
      <w:tab/>
    </w:r>
  </w:p>
  <w:p>
    <w:pPr>
      <w:pStyle w:val="25"/>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16"/>
        <w:tab w:val="clear" w:pos="4153"/>
      </w:tabs>
      <w:jc w:val="both"/>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38" name="图像1"/>
              <wp:cNvGraphicFramePr/>
              <a:graphic xmlns:a="http://schemas.openxmlformats.org/drawingml/2006/main">
                <a:graphicData uri="http://schemas.microsoft.com/office/word/2010/wordprocessingShape">
                  <wps:wsp>
                    <wps:cNvSpPr/>
                    <wps:spPr>
                      <a:xfrm>
                        <a:off x="0" y="0"/>
                        <a:ext cx="1829520" cy="138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25"/>
                          </w:pPr>
                          <w:r>
                            <w:fldChar w:fldCharType="begin"/>
                          </w:r>
                          <w:r>
                            <w:instrText xml:space="preserve">PAGE</w:instrText>
                          </w:r>
                          <w:r>
                            <w:fldChar w:fldCharType="separate"/>
                          </w:r>
                          <w:r>
                            <w:t>19</w:t>
                          </w:r>
                          <w:r>
                            <w:fldChar w:fldCharType="end"/>
                          </w:r>
                        </w:p>
                      </w:txbxContent>
                    </wps:txbx>
                    <wps:bodyPr lIns="0" tIns="0" rIns="0" bIns="0">
                      <a:spAutoFit/>
                    </wps:bodyPr>
                  </wps:wsp>
                </a:graphicData>
              </a:graphic>
            </wp:anchor>
          </w:drawing>
        </mc:Choice>
        <mc:Fallback>
          <w:pict>
            <v:rect id="图像1"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Nno&#10;rtMAAAAEAQAADwAAAAAAAAABACAAAAAiAAAAZHJzL2Rvd25yZXYueG1sUEsBAhQAFAAAAAgAh07i&#10;QDPHFCm1AQAAcwMAAA4AAAAAAAAAAQAgAAAAIgEAAGRycy9lMm9Eb2MueG1sUEsFBgAAAAAGAAYA&#10;WQEAAEkFAAAAAA==&#10;">
              <v:fill on="f" focussize="0,0"/>
              <v:stroke on="f"/>
              <v:imagedata o:title=""/>
              <o:lock v:ext="edit" aspectratio="f"/>
              <v:textbox inset="0mm,0mm,0mm,0mm" style="mso-fit-shape-to-text:t;">
                <w:txbxContent>
                  <w:p>
                    <w:pPr>
                      <w:pStyle w:val="25"/>
                    </w:pPr>
                    <w:r>
                      <w:fldChar w:fldCharType="begin"/>
                    </w:r>
                    <w:r>
                      <w:instrText xml:space="preserve">PAGE</w:instrText>
                    </w:r>
                    <w:r>
                      <w:fldChar w:fldCharType="separate"/>
                    </w:r>
                    <w:r>
                      <w:t>19</w:t>
                    </w:r>
                    <w: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830070"/>
              <wp:effectExtent l="0" t="0" r="0" b="0"/>
              <wp:wrapNone/>
              <wp:docPr id="40" name="文本框 37"/>
              <wp:cNvGraphicFramePr/>
              <a:graphic xmlns:a="http://schemas.openxmlformats.org/drawingml/2006/main">
                <a:graphicData uri="http://schemas.microsoft.com/office/word/2010/wordprocessingShape">
                  <wps:wsp>
                    <wps:cNvSpPr/>
                    <wps:spPr>
                      <a:xfrm>
                        <a:off x="0" y="0"/>
                        <a:ext cx="1829520" cy="1829520"/>
                      </a:xfrm>
                      <a:prstGeom prst="rect">
                        <a:avLst/>
                      </a:prstGeom>
                      <a:noFill/>
                      <a:ln w="6480">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文本框 37" o:spid="_x0000_s1026" o:spt="1" style="position:absolute;left:0pt;margin-top:0.05pt;height:144.1pt;width:144.1pt;mso-position-horizontal:center;mso-position-horizontal-relative:margin;z-index:-251657216;mso-width-relative:page;mso-height-relative:page;" filled="f" stroked="f" coordsize="21600,21600" o:gfxdata="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WyPhrVAAAABQEAAA8AAAAAAAAAAQAg&#10;AAAAIgAAAGRycy9kb3ducmV2LnhtbFBLAQIUABQAAAAIAIdO4kAA5+uinwEAADkDAAAOAAAAAAAA&#10;AAEAIAAAACQBAABkcnMvZTJvRG9jLnhtbFBLBQYAAAAABgAGAFkBAAA1BQAAAAA=&#10;">
              <v:fill on="f" focussize="0,0"/>
              <v:stroke on="f" weight="0.510236220472441pt"/>
              <v:imagedata o:title=""/>
              <o:lock v:ext="edit" aspectratio="f"/>
            </v:rect>
          </w:pict>
        </mc:Fallback>
      </mc:AlternateContent>
    </w:r>
    <w:r>
      <w:tab/>
    </w:r>
  </w:p>
  <w:p>
    <w:pPr>
      <w:pStyle w:val="25"/>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816"/>
        <w:tab w:val="clear" w:pos="4153"/>
      </w:tabs>
      <w:jc w:val="both"/>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41" name="图像2"/>
              <wp:cNvGraphicFramePr/>
              <a:graphic xmlns:a="http://schemas.openxmlformats.org/drawingml/2006/main">
                <a:graphicData uri="http://schemas.microsoft.com/office/word/2010/wordprocessingShape">
                  <wps:wsp>
                    <wps:cNvSpPr/>
                    <wps:spPr>
                      <a:xfrm>
                        <a:off x="0" y="0"/>
                        <a:ext cx="1829520" cy="138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25"/>
                          </w:pPr>
                          <w:r>
                            <w:fldChar w:fldCharType="begin"/>
                          </w:r>
                          <w:r>
                            <w:instrText xml:space="preserve">PAGE</w:instrText>
                          </w:r>
                          <w:r>
                            <w:fldChar w:fldCharType="separate"/>
                          </w:r>
                          <w:r>
                            <w:t>66</w:t>
                          </w:r>
                          <w:r>
                            <w:fldChar w:fldCharType="end"/>
                          </w:r>
                        </w:p>
                      </w:txbxContent>
                    </wps:txbx>
                    <wps:bodyPr lIns="0" tIns="0" rIns="0" bIns="0">
                      <a:spAutoFit/>
                    </wps:bodyPr>
                  </wps:wsp>
                </a:graphicData>
              </a:graphic>
            </wp:anchor>
          </w:drawing>
        </mc:Choice>
        <mc:Fallback>
          <w:pict>
            <v:rect id="图像2"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Nno&#10;rtMAAAAEAQAADwAAAAAAAAABACAAAAAiAAAAZHJzL2Rvd25yZXYueG1sUEsBAhQAFAAAAAgAh07i&#10;QJeML/21AQAAcwMAAA4AAAAAAAAAAQAgAAAAIgEAAGRycy9lMm9Eb2MueG1sUEsFBgAAAAAGAAYA&#10;WQEAAEkFAAAAAA==&#10;">
              <v:fill on="f" focussize="0,0"/>
              <v:stroke on="f"/>
              <v:imagedata o:title=""/>
              <o:lock v:ext="edit" aspectratio="f"/>
              <v:textbox inset="0mm,0mm,0mm,0mm" style="mso-fit-shape-to-text:t;">
                <w:txbxContent>
                  <w:p>
                    <w:pPr>
                      <w:pStyle w:val="25"/>
                    </w:pPr>
                    <w:r>
                      <w:fldChar w:fldCharType="begin"/>
                    </w:r>
                    <w:r>
                      <w:instrText xml:space="preserve">PAGE</w:instrText>
                    </w:r>
                    <w:r>
                      <w:fldChar w:fldCharType="separate"/>
                    </w:r>
                    <w:r>
                      <w:t>66</w:t>
                    </w:r>
                    <w: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830070"/>
              <wp:effectExtent l="0" t="0" r="0" b="0"/>
              <wp:wrapNone/>
              <wp:docPr id="43" name="文本框 37"/>
              <wp:cNvGraphicFramePr/>
              <a:graphic xmlns:a="http://schemas.openxmlformats.org/drawingml/2006/main">
                <a:graphicData uri="http://schemas.microsoft.com/office/word/2010/wordprocessingShape">
                  <wps:wsp>
                    <wps:cNvSpPr/>
                    <wps:spPr>
                      <a:xfrm>
                        <a:off x="0" y="0"/>
                        <a:ext cx="1829520" cy="1829520"/>
                      </a:xfrm>
                      <a:prstGeom prst="rect">
                        <a:avLst/>
                      </a:prstGeom>
                      <a:noFill/>
                      <a:ln w="6480">
                        <a:noFill/>
                      </a:ln>
                    </wps:spPr>
                    <wps:style>
                      <a:lnRef idx="0">
                        <a:schemeClr val="accent1"/>
                      </a:lnRef>
                      <a:fillRef idx="0">
                        <a:schemeClr val="accent1"/>
                      </a:fillRef>
                      <a:effectRef idx="0">
                        <a:schemeClr val="accent1"/>
                      </a:effectRef>
                      <a:fontRef idx="minor"/>
                    </wps:style>
                    <wps:bodyPr/>
                  </wps:wsp>
                </a:graphicData>
              </a:graphic>
            </wp:anchor>
          </w:drawing>
        </mc:Choice>
        <mc:Fallback>
          <w:pict>
            <v:rect id="文本框 37" o:spid="_x0000_s1026" o:spt="1" style="position:absolute;left:0pt;margin-top:0.05pt;height:144.1pt;width:144.1pt;mso-position-horizontal:center;mso-position-horizontal-relative:margin;z-index:-251657216;mso-width-relative:page;mso-height-relative:page;" filled="f" stroked="f" coordsize="21600,21600" o:gfxdata="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5bI+GtUAAAAFAQAADwAAAAAAAAABACAA&#10;AAAiAAAAZHJzL2Rvd25yZXYueG1sUEsBAhQAFAAAAAgAh07iQIM2s+eeAQAAOQMAAA4AAAAAAAAA&#10;AQAgAAAAJAEAAGRycy9lMm9Eb2MueG1sUEsFBgAAAAAGAAYAWQEAADQFAAAAAA==&#10;">
              <v:fill on="f" focussize="0,0"/>
              <v:stroke on="f" weight="0.510236220472441pt"/>
              <v:imagedata o:title=""/>
              <o:lock v:ext="edit" aspectratio="f"/>
            </v:rect>
          </w:pict>
        </mc:Fallback>
      </mc:AlternateContent>
    </w:r>
    <w:r>
      <w:tab/>
    </w:r>
  </w:p>
  <w:p>
    <w:pPr>
      <w:pStyle w:val="25"/>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103" name="文本框 38"/>
              <wp:cNvGraphicFramePr/>
              <a:graphic xmlns:a="http://schemas.openxmlformats.org/drawingml/2006/main">
                <a:graphicData uri="http://schemas.microsoft.com/office/word/2010/wordprocessingShape">
                  <wps:wsp>
                    <wps:cNvSpPr/>
                    <wps:spPr>
                      <a:xfrm>
                        <a:off x="0" y="0"/>
                        <a:ext cx="182952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25"/>
                            <w:rPr>
                              <w:color w:val="000000"/>
                            </w:rPr>
                          </w:pPr>
                          <w:r>
                            <w:rPr>
                              <w:color w:val="000000"/>
                            </w:rPr>
                            <w:fldChar w:fldCharType="begin"/>
                          </w:r>
                          <w:r>
                            <w:instrText xml:space="preserve">PAGE</w:instrText>
                          </w:r>
                          <w:r>
                            <w:fldChar w:fldCharType="separate"/>
                          </w:r>
                          <w:r>
                            <w:t>135</w:t>
                          </w:r>
                          <w:r>
                            <w:fldChar w:fldCharType="end"/>
                          </w:r>
                        </w:p>
                      </w:txbxContent>
                    </wps:txbx>
                    <wps:bodyPr lIns="0" tIns="0" rIns="0" bIns="0">
                      <a:spAutoFit/>
                    </wps:bodyPr>
                  </wps:wsp>
                </a:graphicData>
              </a:graphic>
            </wp:anchor>
          </w:drawing>
        </mc:Choice>
        <mc:Fallback>
          <w:pict>
            <v:rect id="文本框 38"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d+suHRAAAABAEAAA8AAAAAAAAAAQAgAAAAIgAAAGRycy9kb3ducmV2LnhtbFBL&#10;AQIUABQAAAAIAIdO4kDbBi5rxAEAAIIDAAAOAAAAAAAAAAEAIAAAACABAABkcnMvZTJvRG9jLnht&#10;bFBLBQYAAAAABgAGAFkBAABWBQAAAAA=&#10;">
              <v:fill on="f" focussize="0,0"/>
              <v:stroke on="f" weight="0.510236220472441pt"/>
              <v:imagedata o:title=""/>
              <o:lock v:ext="edit" aspectratio="f"/>
              <v:textbox inset="0mm,0mm,0mm,0mm" style="mso-fit-shape-to-text:t;">
                <w:txbxContent>
                  <w:p>
                    <w:pPr>
                      <w:pStyle w:val="25"/>
                      <w:rPr>
                        <w:color w:val="000000"/>
                      </w:rPr>
                    </w:pPr>
                    <w:r>
                      <w:rPr>
                        <w:color w:val="000000"/>
                      </w:rPr>
                      <w:fldChar w:fldCharType="begin"/>
                    </w:r>
                    <w:r>
                      <w:instrText xml:space="preserve">PAGE</w:instrText>
                    </w:r>
                    <w:r>
                      <w:fldChar w:fldCharType="separate"/>
                    </w:r>
                    <w:r>
                      <w:t>135</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105" name="文本框 61"/>
              <wp:cNvGraphicFramePr/>
              <a:graphic xmlns:a="http://schemas.openxmlformats.org/drawingml/2006/main">
                <a:graphicData uri="http://schemas.microsoft.com/office/word/2010/wordprocessingShape">
                  <wps:wsp>
                    <wps:cNvSpPr/>
                    <wps:spPr>
                      <a:xfrm>
                        <a:off x="0" y="0"/>
                        <a:ext cx="1829520" cy="138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25"/>
                            <w:rPr>
                              <w:color w:val="000000"/>
                            </w:rPr>
                          </w:pPr>
                        </w:p>
                      </w:txbxContent>
                    </wps:txbx>
                    <wps:bodyPr lIns="0" tIns="0" rIns="0" bIns="0">
                      <a:spAutoFit/>
                    </wps:bodyPr>
                  </wps:wsp>
                </a:graphicData>
              </a:graphic>
            </wp:anchor>
          </w:drawing>
        </mc:Choice>
        <mc:Fallback>
          <w:pict>
            <v:rect id="文本框 61"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TZ6K7TAAAABAEAAA8AAAAAAAAAAQAgAAAAIgAAAGRycy9kb3ducmV2LnhtbFBLAQIUABQA&#10;AAAIAIdO4kBIv/+HvAEAAHkDAAAOAAAAAAAAAAEAIAAAACIBAABkcnMvZTJvRG9jLnhtbFBLBQYA&#10;AAAABgAGAFkBAABQBQAAAAA=&#10;">
              <v:fill on="f" focussize="0,0"/>
              <v:stroke on="f"/>
              <v:imagedata o:title=""/>
              <o:lock v:ext="edit" aspectratio="f"/>
              <v:textbox inset="0mm,0mm,0mm,0mm" style="mso-fit-shape-to-text:t;">
                <w:txbxContent>
                  <w:p>
                    <w:pPr>
                      <w:pStyle w:val="25"/>
                      <w:rPr>
                        <w:color w:val="000000"/>
                      </w:rPr>
                    </w:pP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107" name="文本框 39"/>
              <wp:cNvGraphicFramePr/>
              <a:graphic xmlns:a="http://schemas.openxmlformats.org/drawingml/2006/main">
                <a:graphicData uri="http://schemas.microsoft.com/office/word/2010/wordprocessingShape">
                  <wps:wsp>
                    <wps:cNvSpPr/>
                    <wps:spPr>
                      <a:xfrm>
                        <a:off x="0" y="0"/>
                        <a:ext cx="182952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25"/>
                            <w:rPr>
                              <w:color w:val="000000"/>
                            </w:rPr>
                          </w:pPr>
                          <w:r>
                            <w:rPr>
                              <w:color w:val="000000"/>
                            </w:rPr>
                            <w:fldChar w:fldCharType="begin"/>
                          </w:r>
                          <w:r>
                            <w:instrText xml:space="preserve">PAGE</w:instrText>
                          </w:r>
                          <w:r>
                            <w:fldChar w:fldCharType="separate"/>
                          </w:r>
                          <w:r>
                            <w:t>141</w:t>
                          </w:r>
                          <w:r>
                            <w:fldChar w:fldCharType="end"/>
                          </w:r>
                        </w:p>
                      </w:txbxContent>
                    </wps:txbx>
                    <wps:bodyPr lIns="0" tIns="0" rIns="0" bIns="0">
                      <a:spAutoFit/>
                    </wps:bodyPr>
                  </wps:wsp>
                </a:graphicData>
              </a:graphic>
            </wp:anchor>
          </w:drawing>
        </mc:Choice>
        <mc:Fallback>
          <w:pict>
            <v:rect id="文本框 39"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3frLh0QAAAAQBAAAPAAAAAAAAAAEAIAAAACIAAABkcnMvZG93bnJldi54bWxQ&#10;SwECFAAUAAAACACHTuJAfLYT8MUBAACCAwAADgAAAAAAAAABACAAAAAgAQAAZHJzL2Uyb0RvYy54&#10;bWxQSwUGAAAAAAYABgBZAQAAVwUAAAAA&#10;">
              <v:fill on="f" focussize="0,0"/>
              <v:stroke on="f" weight="0.510236220472441pt"/>
              <v:imagedata o:title=""/>
              <o:lock v:ext="edit" aspectratio="f"/>
              <v:textbox inset="0mm,0mm,0mm,0mm" style="mso-fit-shape-to-text:t;">
                <w:txbxContent>
                  <w:p>
                    <w:pPr>
                      <w:pStyle w:val="25"/>
                      <w:rPr>
                        <w:color w:val="000000"/>
                      </w:rPr>
                    </w:pPr>
                    <w:r>
                      <w:rPr>
                        <w:color w:val="000000"/>
                      </w:rPr>
                      <w:fldChar w:fldCharType="begin"/>
                    </w:r>
                    <w:r>
                      <w:instrText xml:space="preserve">PAGE</w:instrText>
                    </w:r>
                    <w:r>
                      <w:fldChar w:fldCharType="separate"/>
                    </w:r>
                    <w:r>
                      <w:t>141</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109" name="文本框 64"/>
              <wp:cNvGraphicFramePr/>
              <a:graphic xmlns:a="http://schemas.openxmlformats.org/drawingml/2006/main">
                <a:graphicData uri="http://schemas.microsoft.com/office/word/2010/wordprocessingShape">
                  <wps:wsp>
                    <wps:cNvSpPr/>
                    <wps:spPr>
                      <a:xfrm>
                        <a:off x="0" y="0"/>
                        <a:ext cx="1829520" cy="138600"/>
                      </a:xfrm>
                      <a:prstGeom prst="rect">
                        <a:avLst/>
                      </a:prstGeom>
                      <a:noFill/>
                      <a:ln>
                        <a:noFill/>
                      </a:ln>
                    </wps:spPr>
                    <wps:style>
                      <a:lnRef idx="0">
                        <a:srgbClr val="FFFFFF"/>
                      </a:lnRef>
                      <a:fillRef idx="0">
                        <a:srgbClr val="FFFFFF"/>
                      </a:fillRef>
                      <a:effectRef idx="0">
                        <a:srgbClr val="FFFFFF"/>
                      </a:effectRef>
                      <a:fontRef idx="minor"/>
                    </wps:style>
                    <wps:txbx>
                      <w:txbxContent>
                        <w:p>
                          <w:pPr>
                            <w:pStyle w:val="25"/>
                            <w:rPr>
                              <w:color w:val="000000"/>
                            </w:rPr>
                          </w:pPr>
                        </w:p>
                      </w:txbxContent>
                    </wps:txbx>
                    <wps:bodyPr lIns="0" tIns="0" rIns="0" bIns="0">
                      <a:spAutoFit/>
                    </wps:bodyPr>
                  </wps:wsp>
                </a:graphicData>
              </a:graphic>
            </wp:anchor>
          </w:drawing>
        </mc:Choice>
        <mc:Fallback>
          <w:pict>
            <v:rect id="文本框 64"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TZ6K7TAAAABAEAAA8AAAAAAAAAAQAgAAAAIgAAAGRycy9kb3ducmV2LnhtbFBLAQIUABQA&#10;AAAIAIdO4kAoRf+mvAEAAHkDAAAOAAAAAAAAAAEAIAAAACIBAABkcnMvZTJvRG9jLnhtbFBLBQYA&#10;AAAABgAGAFkBAABQBQAAAAA=&#10;">
              <v:fill on="f" focussize="0,0"/>
              <v:stroke on="f"/>
              <v:imagedata o:title=""/>
              <o:lock v:ext="edit" aspectratio="f"/>
              <v:textbox inset="0mm,0mm,0mm,0mm" style="mso-fit-shape-to-text:t;">
                <w:txbxContent>
                  <w:p>
                    <w:pPr>
                      <w:pStyle w:val="25"/>
                      <w:rPr>
                        <w:color w:val="000000"/>
                      </w:rPr>
                    </w:pP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margin">
                <wp:align>center</wp:align>
              </wp:positionH>
              <wp:positionV relativeFrom="paragraph">
                <wp:posOffset>635</wp:posOffset>
              </wp:positionV>
              <wp:extent cx="1830070" cy="139065"/>
              <wp:effectExtent l="0" t="0" r="0" b="0"/>
              <wp:wrapNone/>
              <wp:docPr id="111" name="文本框 40"/>
              <wp:cNvGraphicFramePr/>
              <a:graphic xmlns:a="http://schemas.openxmlformats.org/drawingml/2006/main">
                <a:graphicData uri="http://schemas.microsoft.com/office/word/2010/wordprocessingShape">
                  <wps:wsp>
                    <wps:cNvSpPr/>
                    <wps:spPr>
                      <a:xfrm>
                        <a:off x="0" y="0"/>
                        <a:ext cx="182952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25"/>
                            <w:rPr>
                              <w:color w:val="000000"/>
                            </w:rPr>
                          </w:pPr>
                          <w:r>
                            <w:rPr>
                              <w:color w:val="000000"/>
                            </w:rPr>
                            <w:fldChar w:fldCharType="begin"/>
                          </w:r>
                          <w:r>
                            <w:instrText xml:space="preserve">PAGE</w:instrText>
                          </w:r>
                          <w:r>
                            <w:fldChar w:fldCharType="separate"/>
                          </w:r>
                          <w:r>
                            <w:t>145</w:t>
                          </w:r>
                          <w:r>
                            <w:fldChar w:fldCharType="end"/>
                          </w:r>
                        </w:p>
                      </w:txbxContent>
                    </wps:txbx>
                    <wps:bodyPr lIns="0" tIns="0" rIns="0" bIns="0">
                      <a:spAutoFit/>
                    </wps:bodyPr>
                  </wps:wsp>
                </a:graphicData>
              </a:graphic>
            </wp:anchor>
          </w:drawing>
        </mc:Choice>
        <mc:Fallback>
          <w:pict>
            <v:rect id="文本框 40" o:spid="_x0000_s1026" o:spt="1" style="position:absolute;left:0pt;margin-top:0.05pt;height:10.95pt;width:144.1pt;mso-position-horizontal:center;mso-position-horizontal-relative:margin;z-index:-251657216;mso-width-relative:page;mso-height-relative:page;" filled="f" stroked="f" coordsize="21600,21600" o:gfxdata="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36y4dEAAAAEAQAADwAAAAAAAAABACAAAAAiAAAAZHJzL2Rvd25yZXYueG1sUEsB&#10;AhQAFAAAAAgAh07iQI7xycbDAQAAggMAAA4AAAAAAAAAAQAgAAAAIAEAAGRycy9lMm9Eb2MueG1s&#10;UEsFBgAAAAAGAAYAWQEAAFUFAAAAAA==&#10;">
              <v:fill on="f" focussize="0,0"/>
              <v:stroke on="f" weight="0.510236220472441pt"/>
              <v:imagedata o:title=""/>
              <o:lock v:ext="edit" aspectratio="f"/>
              <v:textbox inset="0mm,0mm,0mm,0mm" style="mso-fit-shape-to-text:t;">
                <w:txbxContent>
                  <w:p>
                    <w:pPr>
                      <w:pStyle w:val="25"/>
                      <w:rPr>
                        <w:color w:val="000000"/>
                      </w:rPr>
                    </w:pPr>
                    <w:r>
                      <w:rPr>
                        <w:color w:val="000000"/>
                      </w:rPr>
                      <w:fldChar w:fldCharType="begin"/>
                    </w:r>
                    <w:r>
                      <w:instrText xml:space="preserve">PAGE</w:instrText>
                    </w:r>
                    <w:r>
                      <w:fldChar w:fldCharType="separate"/>
                    </w:r>
                    <w:r>
                      <w:t>145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lowerLetter"/>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B5E306ED"/>
    <w:multiLevelType w:val="multilevel"/>
    <w:tmpl w:val="B5E306ED"/>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F205925"/>
    <w:multiLevelType w:val="multilevel"/>
    <w:tmpl w:val="BF205925"/>
    <w:lvl w:ilvl="0" w:tentative="0">
      <w:start w:val="1"/>
      <w:numFmt w:val="decimal"/>
      <w:lvlText w:val="（%1）"/>
      <w:lvlJc w:val="left"/>
      <w:pPr>
        <w:ind w:left="1455" w:hanging="735"/>
      </w:p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C8879AEF"/>
    <w:multiLevelType w:val="multilevel"/>
    <w:tmpl w:val="C8879AEF"/>
    <w:lvl w:ilvl="0" w:tentative="0">
      <w:start w:val="3"/>
      <w:numFmt w:val="decimal"/>
      <w:lvlText w:val="%1"/>
      <w:lvlJc w:val="left"/>
      <w:pPr>
        <w:ind w:left="465" w:hanging="465"/>
      </w:pPr>
    </w:lvl>
    <w:lvl w:ilvl="1" w:tentative="0">
      <w:start w:val="7"/>
      <w:numFmt w:val="decimal"/>
      <w:lvlText w:val="%1.%2"/>
      <w:lvlJc w:val="left"/>
      <w:pPr>
        <w:ind w:left="1282" w:hanging="720"/>
      </w:pPr>
    </w:lvl>
    <w:lvl w:ilvl="2" w:tentative="0">
      <w:start w:val="1"/>
      <w:numFmt w:val="decimal"/>
      <w:lvlText w:val="%1.%2.%3"/>
      <w:lvlJc w:val="left"/>
      <w:pPr>
        <w:ind w:left="1844" w:hanging="720"/>
      </w:pPr>
    </w:lvl>
    <w:lvl w:ilvl="3" w:tentative="0">
      <w:start w:val="1"/>
      <w:numFmt w:val="decimal"/>
      <w:lvlText w:val="%1.%2.%3.%4"/>
      <w:lvlJc w:val="left"/>
      <w:pPr>
        <w:ind w:left="2766" w:hanging="1080"/>
      </w:pPr>
    </w:lvl>
    <w:lvl w:ilvl="4" w:tentative="0">
      <w:start w:val="1"/>
      <w:numFmt w:val="decimal"/>
      <w:lvlText w:val="%1.%2.%3.%4.%5"/>
      <w:lvlJc w:val="left"/>
      <w:pPr>
        <w:ind w:left="3688" w:hanging="1440"/>
      </w:pPr>
    </w:lvl>
    <w:lvl w:ilvl="5" w:tentative="0">
      <w:start w:val="1"/>
      <w:numFmt w:val="decimal"/>
      <w:lvlText w:val="%1.%2.%3.%4.%5.%6"/>
      <w:lvlJc w:val="left"/>
      <w:pPr>
        <w:ind w:left="4250" w:hanging="1440"/>
      </w:pPr>
    </w:lvl>
    <w:lvl w:ilvl="6" w:tentative="0">
      <w:start w:val="1"/>
      <w:numFmt w:val="decimal"/>
      <w:lvlText w:val="%1.%2.%3.%4.%5.%6.%7"/>
      <w:lvlJc w:val="left"/>
      <w:pPr>
        <w:ind w:left="5172" w:hanging="1800"/>
      </w:pPr>
    </w:lvl>
    <w:lvl w:ilvl="7" w:tentative="0">
      <w:start w:val="1"/>
      <w:numFmt w:val="decimal"/>
      <w:lvlText w:val="%1.%2.%3.%4.%5.%6.%7.%8"/>
      <w:lvlJc w:val="left"/>
      <w:pPr>
        <w:ind w:left="6094" w:hanging="2160"/>
      </w:pPr>
    </w:lvl>
    <w:lvl w:ilvl="8" w:tentative="0">
      <w:start w:val="1"/>
      <w:numFmt w:val="decimal"/>
      <w:lvlText w:val="%1.%2.%3.%4.%5.%6.%7.%8.%9"/>
      <w:lvlJc w:val="left"/>
      <w:pPr>
        <w:ind w:left="6656" w:hanging="2160"/>
      </w:pPr>
    </w:lvl>
  </w:abstractNum>
  <w:abstractNum w:abstractNumId="4">
    <w:nsid w:val="CF092B84"/>
    <w:multiLevelType w:val="multilevel"/>
    <w:tmpl w:val="CF092B84"/>
    <w:lvl w:ilvl="0" w:tentative="0">
      <w:start w:val="1"/>
      <w:numFmt w:val="decimal"/>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0053208E"/>
    <w:multiLevelType w:val="multilevel"/>
    <w:tmpl w:val="0053208E"/>
    <w:lvl w:ilvl="0" w:tentative="0">
      <w:start w:val="1"/>
      <w:numFmt w:val="decimal"/>
      <w:pStyle w:val="6"/>
      <w:lvlText w:val="%1、"/>
      <w:lvlJc w:val="left"/>
      <w:pPr>
        <w:ind w:left="360" w:hanging="360"/>
      </w:pPr>
      <w:rPr>
        <w:rFonts w:ascii="宋体" w:hAnsi="宋体"/>
        <w:b/>
        <w:sz w:val="21"/>
      </w:rPr>
    </w:lvl>
    <w:lvl w:ilvl="1" w:tentative="0">
      <w:start w:val="1"/>
      <w:numFmt w:val="none"/>
      <w:suff w:val="nothing"/>
      <w:lvlText w:val=""/>
      <w:lvlJc w:val="left"/>
      <w:pPr>
        <w:ind w:left="0" w:firstLine="0"/>
      </w:pPr>
    </w:lvl>
    <w:lvl w:ilvl="2" w:tentative="0">
      <w:start w:val="1"/>
      <w:numFmt w:val="lowerRoman"/>
      <w:pStyle w:val="5"/>
      <w:lvlText w:val="%3."/>
      <w:lvlJc w:val="right"/>
      <w:pPr>
        <w:ind w:left="1620" w:hanging="42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00E264E1"/>
    <w:multiLevelType w:val="singleLevel"/>
    <w:tmpl w:val="00E264E1"/>
    <w:lvl w:ilvl="0" w:tentative="0">
      <w:start w:val="34"/>
      <w:numFmt w:val="decimal"/>
      <w:suff w:val="nothing"/>
      <w:lvlText w:val="%1、"/>
      <w:lvlJc w:val="left"/>
    </w:lvl>
  </w:abstractNum>
  <w:abstractNum w:abstractNumId="7">
    <w:nsid w:val="0248C179"/>
    <w:multiLevelType w:val="multilevel"/>
    <w:tmpl w:val="0248C179"/>
    <w:lvl w:ilvl="0" w:tentative="0">
      <w:start w:val="1"/>
      <w:numFmt w:val="lowerLetter"/>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03D62ECE"/>
    <w:multiLevelType w:val="multilevel"/>
    <w:tmpl w:val="03D62ECE"/>
    <w:lvl w:ilvl="0" w:tentative="0">
      <w:start w:val="5"/>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5B654F3"/>
    <w:multiLevelType w:val="multilevel"/>
    <w:tmpl w:val="25B654F3"/>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A8F537B"/>
    <w:multiLevelType w:val="multilevel"/>
    <w:tmpl w:val="2A8F537B"/>
    <w:lvl w:ilvl="0" w:tentative="0">
      <w:start w:val="3"/>
      <w:numFmt w:val="taiwaneseCountingThousand"/>
      <w:suff w:val="space"/>
      <w:lvlText w:val="第%1部分"/>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1">
    <w:nsid w:val="4D4DC07F"/>
    <w:multiLevelType w:val="multilevel"/>
    <w:tmpl w:val="4D4DC07F"/>
    <w:lvl w:ilvl="0" w:tentative="0">
      <w:start w:val="1"/>
      <w:numFmt w:val="lowerLetter"/>
      <w:suff w:val="nothing"/>
      <w:lvlText w:val="（%1）"/>
      <w:lvlJc w:val="left"/>
      <w:pPr>
        <w:ind w:left="0" w:firstLine="0"/>
      </w:pPr>
      <w:rPr>
        <w:rFonts w:ascii="宋体" w:hAnsi="宋体"/>
        <w:b/>
        <w:sz w:val="24"/>
        <w:lang w:val="en-U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2">
    <w:nsid w:val="59ADCABA"/>
    <w:multiLevelType w:val="multilevel"/>
    <w:tmpl w:val="59ADCABA"/>
    <w:lvl w:ilvl="0" w:tentative="0">
      <w:start w:val="3"/>
      <w:numFmt w:val="decimal"/>
      <w:suff w:val="nothing"/>
      <w:lvlText w:val="%1、"/>
      <w:lvlJc w:val="left"/>
      <w:pPr>
        <w:ind w:left="0" w:firstLine="0"/>
      </w:pPr>
      <w:rPr>
        <w:rFonts w:ascii="仿宋" w:hAnsi="仿宋"/>
        <w:b/>
        <w:color w:val="auto"/>
        <w:sz w:val="2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3">
    <w:nsid w:val="5A241D34"/>
    <w:multiLevelType w:val="multilevel"/>
    <w:tmpl w:val="5A241D34"/>
    <w:lvl w:ilvl="0" w:tentative="0">
      <w:start w:val="3"/>
      <w:numFmt w:val="decimal"/>
      <w:lvlText w:val="%1"/>
      <w:lvlJc w:val="left"/>
      <w:pPr>
        <w:ind w:left="465" w:hanging="465"/>
      </w:pPr>
    </w:lvl>
    <w:lvl w:ilvl="1" w:tentative="0">
      <w:start w:val="5"/>
      <w:numFmt w:val="decimal"/>
      <w:lvlText w:val="%1.%2"/>
      <w:lvlJc w:val="left"/>
      <w:pPr>
        <w:ind w:left="1282" w:hanging="720"/>
      </w:pPr>
    </w:lvl>
    <w:lvl w:ilvl="2" w:tentative="0">
      <w:start w:val="1"/>
      <w:numFmt w:val="decimal"/>
      <w:lvlText w:val="%1.%2.%3"/>
      <w:lvlJc w:val="left"/>
      <w:pPr>
        <w:ind w:left="1844" w:hanging="720"/>
      </w:pPr>
    </w:lvl>
    <w:lvl w:ilvl="3" w:tentative="0">
      <w:start w:val="1"/>
      <w:numFmt w:val="decimal"/>
      <w:lvlText w:val="%1.%2.%3.%4"/>
      <w:lvlJc w:val="left"/>
      <w:pPr>
        <w:ind w:left="2766" w:hanging="1080"/>
      </w:pPr>
    </w:lvl>
    <w:lvl w:ilvl="4" w:tentative="0">
      <w:start w:val="1"/>
      <w:numFmt w:val="decimal"/>
      <w:lvlText w:val="%1.%2.%3.%4.%5"/>
      <w:lvlJc w:val="left"/>
      <w:pPr>
        <w:ind w:left="3688" w:hanging="1440"/>
      </w:pPr>
    </w:lvl>
    <w:lvl w:ilvl="5" w:tentative="0">
      <w:start w:val="1"/>
      <w:numFmt w:val="decimal"/>
      <w:lvlText w:val="%1.%2.%3.%4.%5.%6"/>
      <w:lvlJc w:val="left"/>
      <w:pPr>
        <w:ind w:left="4250" w:hanging="1440"/>
      </w:pPr>
    </w:lvl>
    <w:lvl w:ilvl="6" w:tentative="0">
      <w:start w:val="1"/>
      <w:numFmt w:val="decimal"/>
      <w:lvlText w:val="%1.%2.%3.%4.%5.%6.%7"/>
      <w:lvlJc w:val="left"/>
      <w:pPr>
        <w:ind w:left="5172" w:hanging="1800"/>
      </w:pPr>
    </w:lvl>
    <w:lvl w:ilvl="7" w:tentative="0">
      <w:start w:val="1"/>
      <w:numFmt w:val="decimal"/>
      <w:lvlText w:val="%1.%2.%3.%4.%5.%6.%7.%8"/>
      <w:lvlJc w:val="left"/>
      <w:pPr>
        <w:ind w:left="6094" w:hanging="2160"/>
      </w:pPr>
    </w:lvl>
    <w:lvl w:ilvl="8" w:tentative="0">
      <w:start w:val="1"/>
      <w:numFmt w:val="decimal"/>
      <w:lvlText w:val="%1.%2.%3.%4.%5.%6.%7.%8.%9"/>
      <w:lvlJc w:val="left"/>
      <w:pPr>
        <w:ind w:left="6656" w:hanging="2160"/>
      </w:pPr>
    </w:lvl>
  </w:abstractNum>
  <w:abstractNum w:abstractNumId="14">
    <w:nsid w:val="72183CF9"/>
    <w:multiLevelType w:val="multilevel"/>
    <w:tmpl w:val="72183CF9"/>
    <w:lvl w:ilvl="0" w:tentative="0">
      <w:start w:val="2"/>
      <w:numFmt w:val="taiwaneseCountingThousand"/>
      <w:suff w:val="nothing"/>
      <w:lvlText w:val="%1、"/>
      <w:lvlJc w:val="left"/>
      <w:pPr>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5">
    <w:nsid w:val="7AD1A36A"/>
    <w:multiLevelType w:val="singleLevel"/>
    <w:tmpl w:val="7AD1A36A"/>
    <w:lvl w:ilvl="0" w:tentative="0">
      <w:start w:val="1"/>
      <w:numFmt w:val="decimal"/>
      <w:suff w:val="nothing"/>
      <w:lvlText w:val="%1、"/>
      <w:lvlJc w:val="left"/>
    </w:lvl>
  </w:abstractNum>
  <w:num w:numId="1">
    <w:abstractNumId w:val="5"/>
  </w:num>
  <w:num w:numId="2">
    <w:abstractNumId w:val="15"/>
  </w:num>
  <w:num w:numId="3">
    <w:abstractNumId w:val="6"/>
  </w:num>
  <w:num w:numId="4">
    <w:abstractNumId w:val="4"/>
  </w:num>
  <w:num w:numId="5">
    <w:abstractNumId w:val="12"/>
  </w:num>
  <w:num w:numId="6">
    <w:abstractNumId w:val="2"/>
  </w:num>
  <w:num w:numId="7">
    <w:abstractNumId w:val="1"/>
  </w:num>
  <w:num w:numId="8">
    <w:abstractNumId w:val="8"/>
  </w:num>
  <w:num w:numId="9">
    <w:abstractNumId w:val="9"/>
  </w:num>
  <w:num w:numId="10">
    <w:abstractNumId w:val="14"/>
  </w:num>
  <w:num w:numId="11">
    <w:abstractNumId w:val="7"/>
  </w:num>
  <w:num w:numId="12">
    <w:abstractNumId w:val="0"/>
  </w:num>
  <w:num w:numId="13">
    <w:abstractNumId w:val="10"/>
  </w:num>
  <w:num w:numId="14">
    <w:abstractNumId w:val="13"/>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721119"/>
    <w:rsid w:val="072E400F"/>
    <w:rsid w:val="0A2E710E"/>
    <w:rsid w:val="0B417025"/>
    <w:rsid w:val="12DC22DA"/>
    <w:rsid w:val="158C5D54"/>
    <w:rsid w:val="183D2DE1"/>
    <w:rsid w:val="1AF35A5E"/>
    <w:rsid w:val="22F01F1A"/>
    <w:rsid w:val="257C2325"/>
    <w:rsid w:val="28391704"/>
    <w:rsid w:val="2CB21DA2"/>
    <w:rsid w:val="2CBA0592"/>
    <w:rsid w:val="2E2D195B"/>
    <w:rsid w:val="309D4005"/>
    <w:rsid w:val="35881091"/>
    <w:rsid w:val="361E22FC"/>
    <w:rsid w:val="3AE62BAD"/>
    <w:rsid w:val="43F21F13"/>
    <w:rsid w:val="473A2997"/>
    <w:rsid w:val="478476E7"/>
    <w:rsid w:val="47F95C38"/>
    <w:rsid w:val="49C242A6"/>
    <w:rsid w:val="4AAB1B05"/>
    <w:rsid w:val="4C1C493F"/>
    <w:rsid w:val="4ED65DF4"/>
    <w:rsid w:val="543D5060"/>
    <w:rsid w:val="5A3C1A74"/>
    <w:rsid w:val="631474A0"/>
    <w:rsid w:val="68E72F4D"/>
    <w:rsid w:val="73B53146"/>
    <w:rsid w:val="775F2841"/>
    <w:rsid w:val="792028B2"/>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bidi w:val="0"/>
      <w:jc w:val="both"/>
    </w:pPr>
    <w:rPr>
      <w:rFonts w:asciiTheme="minorHAnsi" w:hAnsiTheme="minorHAnsi" w:eastAsiaTheme="minorEastAsia" w:cstheme="minorBidi"/>
      <w:color w:val="auto"/>
      <w:kern w:val="2"/>
      <w:sz w:val="21"/>
      <w:szCs w:val="22"/>
      <w:lang w:val="en-US" w:eastAsia="zh-CN" w:bidi="ar-SA"/>
    </w:rPr>
  </w:style>
  <w:style w:type="paragraph" w:styleId="3">
    <w:name w:val="heading 1"/>
    <w:basedOn w:val="1"/>
    <w:next w:val="1"/>
    <w:qFormat/>
    <w:uiPriority w:val="0"/>
    <w:pPr>
      <w:keepNext/>
      <w:spacing w:line="360" w:lineRule="auto"/>
      <w:jc w:val="center"/>
    </w:pPr>
    <w:rPr>
      <w:rFonts w:ascii="黑体" w:hAnsi="黑体" w:eastAsia="黑体" w:cs="Times New Roman"/>
      <w:b/>
      <w:sz w:val="32"/>
      <w:szCs w:val="20"/>
      <w:lang w:val="zh-CN"/>
    </w:rPr>
  </w:style>
  <w:style w:type="paragraph" w:styleId="4">
    <w:name w:val="heading 2"/>
    <w:basedOn w:val="1"/>
    <w:next w:val="1"/>
    <w:link w:val="78"/>
    <w:qFormat/>
    <w:uiPriority w:val="0"/>
    <w:pPr>
      <w:keepNext/>
      <w:keepLines/>
      <w:spacing w:before="260" w:after="260" w:line="415" w:lineRule="auto"/>
      <w:outlineLvl w:val="1"/>
    </w:pPr>
    <w:rPr>
      <w:rFonts w:ascii="Cambria" w:hAnsi="Cambria" w:eastAsia="宋体" w:cs="Times New Roman"/>
      <w:b/>
      <w:bCs/>
      <w:kern w:val="0"/>
      <w:sz w:val="32"/>
      <w:szCs w:val="32"/>
      <w:lang w:val="zh-CN"/>
    </w:rPr>
  </w:style>
  <w:style w:type="paragraph" w:styleId="5">
    <w:name w:val="heading 3"/>
    <w:basedOn w:val="1"/>
    <w:next w:val="1"/>
    <w:link w:val="90"/>
    <w:qFormat/>
    <w:uiPriority w:val="0"/>
    <w:pPr>
      <w:keepNext/>
      <w:keepLines/>
      <w:numPr>
        <w:ilvl w:val="2"/>
        <w:numId w:val="1"/>
      </w:numPr>
      <w:tabs>
        <w:tab w:val="left" w:pos="709"/>
      </w:tabs>
      <w:spacing w:line="360" w:lineRule="auto"/>
      <w:outlineLvl w:val="2"/>
    </w:pPr>
    <w:rPr>
      <w:rFonts w:ascii="宋体" w:hAnsi="宋体" w:eastAsia="宋体" w:cs="Times New Roman"/>
      <w:sz w:val="24"/>
      <w:szCs w:val="32"/>
      <w:lang w:val="zh-CN"/>
    </w:rPr>
  </w:style>
  <w:style w:type="paragraph" w:styleId="6">
    <w:name w:val="heading 4"/>
    <w:basedOn w:val="1"/>
    <w:next w:val="1"/>
    <w:link w:val="82"/>
    <w:qFormat/>
    <w:uiPriority w:val="0"/>
    <w:pPr>
      <w:keepNext/>
      <w:numPr>
        <w:ilvl w:val="0"/>
        <w:numId w:val="1"/>
      </w:numPr>
      <w:tabs>
        <w:tab w:val="left" w:pos="360"/>
      </w:tabs>
      <w:spacing w:line="360" w:lineRule="auto"/>
      <w:ind w:left="0" w:firstLine="0"/>
      <w:outlineLvl w:val="0"/>
    </w:pPr>
    <w:rPr>
      <w:rFonts w:ascii="黑体" w:hAnsi="黑体" w:eastAsia="黑体" w:cs="Times New Roman"/>
      <w:b/>
      <w:szCs w:val="24"/>
      <w:lang w:val="zh-CN"/>
    </w:rPr>
  </w:style>
  <w:style w:type="paragraph" w:styleId="7">
    <w:name w:val="heading 5"/>
    <w:basedOn w:val="1"/>
    <w:next w:val="1"/>
    <w:link w:val="70"/>
    <w:qFormat/>
    <w:uiPriority w:val="0"/>
    <w:pPr>
      <w:keepNext/>
      <w:keepLines/>
      <w:widowControl/>
      <w:tabs>
        <w:tab w:val="left" w:pos="1008"/>
      </w:tabs>
      <w:spacing w:before="280" w:after="290" w:line="374" w:lineRule="auto"/>
      <w:ind w:left="1008" w:hanging="1008"/>
      <w:jc w:val="left"/>
      <w:outlineLvl w:val="4"/>
    </w:pPr>
    <w:rPr>
      <w:rFonts w:ascii="Times New Roman" w:hAnsi="Times New Roman" w:eastAsia="宋体" w:cs="Times New Roman"/>
      <w:b/>
      <w:bCs/>
      <w:kern w:val="0"/>
      <w:sz w:val="28"/>
      <w:szCs w:val="28"/>
      <w:lang w:val="zh-CN"/>
    </w:rPr>
  </w:style>
  <w:style w:type="paragraph" w:styleId="8">
    <w:name w:val="heading 6"/>
    <w:basedOn w:val="1"/>
    <w:next w:val="1"/>
    <w:link w:val="73"/>
    <w:qFormat/>
    <w:uiPriority w:val="0"/>
    <w:pPr>
      <w:keepNext/>
      <w:keepLines/>
      <w:widowControl/>
      <w:tabs>
        <w:tab w:val="left" w:pos="1152"/>
      </w:tabs>
      <w:spacing w:before="240" w:after="64" w:line="319" w:lineRule="auto"/>
      <w:ind w:left="1152" w:hanging="1152"/>
      <w:jc w:val="left"/>
      <w:outlineLvl w:val="5"/>
    </w:pPr>
    <w:rPr>
      <w:rFonts w:ascii="Arial" w:hAnsi="Arial" w:eastAsia="黑体" w:cs="Times New Roman"/>
      <w:b/>
      <w:bCs/>
      <w:kern w:val="0"/>
      <w:sz w:val="24"/>
      <w:szCs w:val="24"/>
      <w:lang w:val="zh-CN"/>
    </w:rPr>
  </w:style>
  <w:style w:type="paragraph" w:styleId="9">
    <w:name w:val="heading 7"/>
    <w:basedOn w:val="1"/>
    <w:next w:val="1"/>
    <w:link w:val="75"/>
    <w:qFormat/>
    <w:uiPriority w:val="0"/>
    <w:pPr>
      <w:keepNext/>
      <w:keepLines/>
      <w:widowControl/>
      <w:tabs>
        <w:tab w:val="left" w:pos="1296"/>
      </w:tabs>
      <w:spacing w:before="240" w:after="64" w:line="319" w:lineRule="auto"/>
      <w:ind w:left="1296" w:hanging="1296"/>
      <w:jc w:val="left"/>
      <w:outlineLvl w:val="6"/>
    </w:pPr>
    <w:rPr>
      <w:rFonts w:ascii="Times New Roman" w:hAnsi="Times New Roman" w:eastAsia="宋体" w:cs="Times New Roman"/>
      <w:b/>
      <w:bCs/>
      <w:kern w:val="0"/>
      <w:sz w:val="24"/>
      <w:szCs w:val="24"/>
      <w:lang w:val="zh-CN"/>
    </w:rPr>
  </w:style>
  <w:style w:type="paragraph" w:styleId="10">
    <w:name w:val="heading 8"/>
    <w:basedOn w:val="1"/>
    <w:next w:val="1"/>
    <w:link w:val="65"/>
    <w:qFormat/>
    <w:uiPriority w:val="0"/>
    <w:pPr>
      <w:keepNext/>
      <w:keepLines/>
      <w:widowControl/>
      <w:tabs>
        <w:tab w:val="left" w:pos="1440"/>
      </w:tabs>
      <w:spacing w:before="240" w:after="64" w:line="319" w:lineRule="auto"/>
      <w:ind w:left="1440" w:hanging="1440"/>
      <w:jc w:val="left"/>
      <w:outlineLvl w:val="7"/>
    </w:pPr>
    <w:rPr>
      <w:rFonts w:ascii="Arial" w:hAnsi="Arial" w:eastAsia="黑体" w:cs="Times New Roman"/>
      <w:kern w:val="0"/>
      <w:sz w:val="24"/>
      <w:szCs w:val="24"/>
      <w:lang w:val="zh-CN"/>
    </w:rPr>
  </w:style>
  <w:style w:type="paragraph" w:styleId="11">
    <w:name w:val="heading 9"/>
    <w:basedOn w:val="1"/>
    <w:next w:val="1"/>
    <w:link w:val="62"/>
    <w:qFormat/>
    <w:uiPriority w:val="0"/>
    <w:pPr>
      <w:keepNext/>
      <w:keepLines/>
      <w:widowControl/>
      <w:tabs>
        <w:tab w:val="left" w:pos="1584"/>
      </w:tabs>
      <w:spacing w:before="240" w:after="64" w:line="319" w:lineRule="auto"/>
      <w:ind w:left="1584" w:hanging="1584"/>
      <w:jc w:val="left"/>
      <w:outlineLvl w:val="8"/>
    </w:pPr>
    <w:rPr>
      <w:rFonts w:ascii="Arial" w:hAnsi="Arial" w:eastAsia="黑体" w:cs="Times New Roman"/>
      <w:kern w:val="0"/>
      <w:sz w:val="20"/>
      <w:szCs w:val="21"/>
      <w:lang w:val="zh-CN"/>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Times New Roman"/>
      <w:kern w:val="0"/>
      <w:sz w:val="28"/>
      <w:szCs w:val="24"/>
    </w:rPr>
  </w:style>
  <w:style w:type="paragraph" w:styleId="12">
    <w:name w:val="toc 7"/>
    <w:basedOn w:val="1"/>
    <w:next w:val="1"/>
    <w:unhideWhenUsed/>
    <w:qFormat/>
    <w:uiPriority w:val="39"/>
    <w:pPr>
      <w:ind w:left="2520" w:firstLine="0"/>
    </w:pPr>
    <w:rPr>
      <w:rFonts w:ascii="Calibri" w:hAnsi="Calibri" w:eastAsia="宋体" w:cs="Times New Roman"/>
    </w:rPr>
  </w:style>
  <w:style w:type="paragraph" w:styleId="13">
    <w:name w:val="Normal Indent"/>
    <w:basedOn w:val="1"/>
    <w:qFormat/>
    <w:uiPriority w:val="0"/>
    <w:pPr>
      <w:ind w:firstLine="420"/>
    </w:pPr>
    <w:rPr>
      <w:rFonts w:ascii="Times New Roman" w:hAnsi="Times New Roman" w:eastAsia="宋体" w:cs="Times New Roman"/>
      <w:szCs w:val="20"/>
    </w:rPr>
  </w:style>
  <w:style w:type="paragraph" w:styleId="14">
    <w:name w:val="caption"/>
    <w:basedOn w:val="1"/>
    <w:next w:val="1"/>
    <w:qFormat/>
    <w:uiPriority w:val="0"/>
    <w:pPr>
      <w:suppressLineNumbers/>
      <w:spacing w:before="120" w:after="120"/>
    </w:pPr>
    <w:rPr>
      <w:rFonts w:cs="Arial Unicode MS"/>
      <w:i/>
      <w:iCs/>
      <w:sz w:val="24"/>
      <w:szCs w:val="24"/>
    </w:rPr>
  </w:style>
  <w:style w:type="paragraph" w:styleId="15">
    <w:name w:val="Document Map"/>
    <w:basedOn w:val="1"/>
    <w:qFormat/>
    <w:uiPriority w:val="0"/>
    <w:rPr>
      <w:rFonts w:ascii="宋体" w:hAnsi="宋体" w:eastAsia="宋体" w:cs="Times New Roman"/>
      <w:kern w:val="0"/>
      <w:sz w:val="18"/>
      <w:szCs w:val="18"/>
    </w:rPr>
  </w:style>
  <w:style w:type="paragraph" w:styleId="16">
    <w:name w:val="annotation text"/>
    <w:basedOn w:val="1"/>
    <w:qFormat/>
    <w:uiPriority w:val="0"/>
    <w:pPr>
      <w:jc w:val="left"/>
    </w:pPr>
    <w:rPr>
      <w:rFonts w:ascii="Times New Roman" w:hAnsi="Times New Roman" w:eastAsia="宋体" w:cs="Times New Roman"/>
      <w:szCs w:val="24"/>
    </w:rPr>
  </w:style>
  <w:style w:type="paragraph" w:styleId="17">
    <w:name w:val="Body Text Indent"/>
    <w:basedOn w:val="1"/>
    <w:unhideWhenUsed/>
    <w:qFormat/>
    <w:uiPriority w:val="0"/>
    <w:pPr>
      <w:spacing w:before="0" w:after="120"/>
      <w:ind w:left="420" w:firstLine="0"/>
    </w:pPr>
    <w:rPr>
      <w:rFonts w:ascii="Calibri" w:hAnsi="Calibri" w:eastAsia="宋体" w:cs="Times New Roman"/>
      <w:kern w:val="0"/>
      <w:sz w:val="20"/>
      <w:szCs w:val="20"/>
    </w:rPr>
  </w:style>
  <w:style w:type="paragraph" w:styleId="18">
    <w:name w:val="toc 5"/>
    <w:basedOn w:val="1"/>
    <w:next w:val="1"/>
    <w:unhideWhenUsed/>
    <w:qFormat/>
    <w:uiPriority w:val="39"/>
    <w:pPr>
      <w:ind w:left="1680" w:firstLine="0"/>
    </w:pPr>
    <w:rPr>
      <w:rFonts w:ascii="Calibri" w:hAnsi="Calibri" w:eastAsia="宋体" w:cs="Times New Roman"/>
    </w:rPr>
  </w:style>
  <w:style w:type="paragraph" w:styleId="19">
    <w:name w:val="toc 3"/>
    <w:basedOn w:val="1"/>
    <w:next w:val="1"/>
    <w:unhideWhenUsed/>
    <w:qFormat/>
    <w:uiPriority w:val="39"/>
    <w:pPr>
      <w:ind w:left="420" w:firstLine="0"/>
      <w:jc w:val="left"/>
    </w:pPr>
    <w:rPr>
      <w:rFonts w:ascii="Calibri" w:hAnsi="Calibri" w:eastAsia="宋体" w:cs="Times New Roman"/>
      <w:i/>
      <w:iCs/>
      <w:sz w:val="20"/>
      <w:szCs w:val="20"/>
    </w:rPr>
  </w:style>
  <w:style w:type="paragraph" w:styleId="20">
    <w:name w:val="Plain Text"/>
    <w:basedOn w:val="1"/>
    <w:link w:val="58"/>
    <w:unhideWhenUsed/>
    <w:qFormat/>
    <w:uiPriority w:val="0"/>
    <w:rPr>
      <w:rFonts w:ascii="宋体" w:hAnsi="宋体"/>
      <w:kern w:val="0"/>
      <w:sz w:val="20"/>
      <w:szCs w:val="21"/>
    </w:rPr>
  </w:style>
  <w:style w:type="paragraph" w:styleId="21">
    <w:name w:val="toc 8"/>
    <w:basedOn w:val="1"/>
    <w:next w:val="1"/>
    <w:unhideWhenUsed/>
    <w:qFormat/>
    <w:uiPriority w:val="39"/>
    <w:pPr>
      <w:ind w:left="2940" w:firstLine="0"/>
    </w:pPr>
    <w:rPr>
      <w:rFonts w:ascii="Calibri" w:hAnsi="Calibri" w:eastAsia="宋体" w:cs="Times New Roman"/>
    </w:rPr>
  </w:style>
  <w:style w:type="paragraph" w:styleId="22">
    <w:name w:val="Date"/>
    <w:basedOn w:val="1"/>
    <w:next w:val="1"/>
    <w:qFormat/>
    <w:uiPriority w:val="0"/>
    <w:pPr>
      <w:ind w:left="100" w:firstLine="425"/>
    </w:pPr>
    <w:rPr>
      <w:rFonts w:ascii="黑体" w:hAnsi="黑体" w:eastAsia="黑体" w:cs="Times New Roman"/>
      <w:b/>
      <w:color w:val="000000"/>
      <w:kern w:val="0"/>
      <w:sz w:val="36"/>
      <w:szCs w:val="20"/>
    </w:rPr>
  </w:style>
  <w:style w:type="paragraph" w:styleId="23">
    <w:name w:val="Body Text Indent 2"/>
    <w:basedOn w:val="1"/>
    <w:unhideWhenUsed/>
    <w:qFormat/>
    <w:uiPriority w:val="0"/>
    <w:pPr>
      <w:spacing w:line="360" w:lineRule="auto"/>
      <w:ind w:left="1260" w:firstLine="0"/>
    </w:pPr>
    <w:rPr>
      <w:rFonts w:ascii="宋体" w:hAnsi="宋体"/>
      <w:kern w:val="0"/>
      <w:sz w:val="20"/>
      <w:szCs w:val="20"/>
    </w:rPr>
  </w:style>
  <w:style w:type="paragraph" w:styleId="24">
    <w:name w:val="Balloon Text"/>
    <w:basedOn w:val="1"/>
    <w:unhideWhenUsed/>
    <w:qFormat/>
    <w:uiPriority w:val="0"/>
    <w:rPr>
      <w:rFonts w:ascii="Calibri" w:hAnsi="Calibri" w:eastAsia="宋体" w:cs="Times New Roman"/>
      <w:kern w:val="0"/>
      <w:sz w:val="18"/>
      <w:szCs w:val="18"/>
    </w:rPr>
  </w:style>
  <w:style w:type="paragraph" w:styleId="25">
    <w:name w:val="footer"/>
    <w:basedOn w:val="1"/>
    <w:unhideWhenUsed/>
    <w:qFormat/>
    <w:uiPriority w:val="99"/>
    <w:pPr>
      <w:tabs>
        <w:tab w:val="center" w:pos="4153"/>
        <w:tab w:val="right" w:pos="8306"/>
      </w:tabs>
      <w:snapToGrid w:val="0"/>
      <w:jc w:val="left"/>
    </w:pPr>
    <w:rPr>
      <w:sz w:val="18"/>
      <w:szCs w:val="18"/>
    </w:rPr>
  </w:style>
  <w:style w:type="paragraph" w:styleId="26">
    <w:name w:val="header"/>
    <w:basedOn w:val="1"/>
    <w:unhideWhenUsed/>
    <w:qFormat/>
    <w:uiPriority w:val="99"/>
    <w:pPr>
      <w:pBdr>
        <w:bottom w:val="single" w:color="000000" w:sz="6" w:space="1"/>
      </w:pBdr>
      <w:tabs>
        <w:tab w:val="center" w:pos="4153"/>
        <w:tab w:val="right" w:pos="8306"/>
      </w:tabs>
      <w:snapToGrid w:val="0"/>
      <w:jc w:val="center"/>
    </w:pPr>
    <w:rPr>
      <w:sz w:val="18"/>
      <w:szCs w:val="18"/>
    </w:rPr>
  </w:style>
  <w:style w:type="paragraph" w:styleId="27">
    <w:name w:val="toc 1"/>
    <w:basedOn w:val="1"/>
    <w:next w:val="1"/>
    <w:unhideWhenUsed/>
    <w:qFormat/>
    <w:uiPriority w:val="39"/>
    <w:pPr>
      <w:spacing w:before="120" w:after="120"/>
      <w:jc w:val="left"/>
    </w:pPr>
    <w:rPr>
      <w:rFonts w:ascii="Calibri" w:hAnsi="Calibri" w:eastAsia="宋体" w:cs="Times New Roman"/>
      <w:b/>
      <w:bCs/>
      <w:caps/>
      <w:sz w:val="28"/>
      <w:szCs w:val="20"/>
    </w:rPr>
  </w:style>
  <w:style w:type="paragraph" w:styleId="28">
    <w:name w:val="toc 4"/>
    <w:basedOn w:val="1"/>
    <w:next w:val="1"/>
    <w:unhideWhenUsed/>
    <w:qFormat/>
    <w:uiPriority w:val="39"/>
    <w:pPr>
      <w:ind w:left="1260" w:firstLine="0"/>
    </w:pPr>
    <w:rPr>
      <w:rFonts w:ascii="Calibri" w:hAnsi="Calibri" w:eastAsia="宋体" w:cs="Times New Roman"/>
    </w:rPr>
  </w:style>
  <w:style w:type="paragraph" w:styleId="29">
    <w:name w:val="index heading"/>
    <w:basedOn w:val="1"/>
    <w:next w:val="30"/>
    <w:semiHidden/>
    <w:qFormat/>
    <w:uiPriority w:val="0"/>
    <w:rPr>
      <w:rFonts w:ascii="Times New Roman" w:hAnsi="Times New Roman" w:eastAsia="宋体" w:cs="Times New Roman"/>
      <w:szCs w:val="24"/>
    </w:rPr>
  </w:style>
  <w:style w:type="paragraph" w:styleId="30">
    <w:name w:val="index 1"/>
    <w:basedOn w:val="1"/>
    <w:next w:val="1"/>
    <w:unhideWhenUsed/>
    <w:qFormat/>
    <w:uiPriority w:val="0"/>
    <w:rPr>
      <w:rFonts w:ascii="Calibri" w:hAnsi="Calibri" w:eastAsia="宋体" w:cs="Times New Roman"/>
    </w:rPr>
  </w:style>
  <w:style w:type="paragraph" w:styleId="31">
    <w:name w:val="List"/>
    <w:basedOn w:val="2"/>
    <w:qFormat/>
    <w:uiPriority w:val="0"/>
    <w:rPr>
      <w:rFonts w:cs="Arial Unicode MS"/>
    </w:rPr>
  </w:style>
  <w:style w:type="paragraph" w:styleId="32">
    <w:name w:val="toc 6"/>
    <w:basedOn w:val="1"/>
    <w:next w:val="1"/>
    <w:unhideWhenUsed/>
    <w:qFormat/>
    <w:uiPriority w:val="39"/>
    <w:pPr>
      <w:ind w:left="1050" w:firstLine="0"/>
      <w:jc w:val="left"/>
    </w:pPr>
    <w:rPr>
      <w:rFonts w:ascii="Calibri" w:hAnsi="Calibri" w:eastAsia="宋体" w:cs="Times New Roman"/>
      <w:sz w:val="18"/>
      <w:szCs w:val="18"/>
    </w:rPr>
  </w:style>
  <w:style w:type="paragraph" w:styleId="33">
    <w:name w:val="Body Text Indent 3"/>
    <w:basedOn w:val="1"/>
    <w:unhideWhenUsed/>
    <w:qFormat/>
    <w:uiPriority w:val="0"/>
    <w:pPr>
      <w:spacing w:before="0" w:after="120"/>
      <w:ind w:left="420" w:firstLine="0"/>
    </w:pPr>
    <w:rPr>
      <w:rFonts w:ascii="Calibri" w:hAnsi="Calibri" w:eastAsia="宋体" w:cs="Times New Roman"/>
      <w:kern w:val="0"/>
      <w:sz w:val="16"/>
      <w:szCs w:val="16"/>
    </w:rPr>
  </w:style>
  <w:style w:type="paragraph" w:styleId="34">
    <w:name w:val="toc 2"/>
    <w:basedOn w:val="1"/>
    <w:next w:val="1"/>
    <w:unhideWhenUsed/>
    <w:qFormat/>
    <w:uiPriority w:val="39"/>
    <w:pPr>
      <w:tabs>
        <w:tab w:val="right" w:leader="dot" w:pos="8398"/>
      </w:tabs>
      <w:spacing w:line="360" w:lineRule="auto"/>
      <w:ind w:left="210" w:firstLine="0"/>
      <w:jc w:val="center"/>
    </w:pPr>
    <w:rPr>
      <w:rFonts w:ascii="宋体" w:hAnsi="宋体" w:eastAsia="宋体" w:cs="Times New Roman"/>
      <w:b/>
      <w:bCs/>
      <w:smallCaps/>
      <w:szCs w:val="21"/>
    </w:rPr>
  </w:style>
  <w:style w:type="paragraph" w:styleId="35">
    <w:name w:val="toc 9"/>
    <w:basedOn w:val="1"/>
    <w:next w:val="1"/>
    <w:unhideWhenUsed/>
    <w:qFormat/>
    <w:uiPriority w:val="39"/>
    <w:pPr>
      <w:ind w:left="3360" w:firstLine="0"/>
    </w:pPr>
    <w:rPr>
      <w:rFonts w:ascii="Calibri" w:hAnsi="Calibri" w:eastAsia="宋体" w:cs="Times New Roman"/>
    </w:rPr>
  </w:style>
  <w:style w:type="paragraph" w:styleId="36">
    <w:name w:val="Body Text 2"/>
    <w:basedOn w:val="1"/>
    <w:qFormat/>
    <w:uiPriority w:val="0"/>
    <w:pPr>
      <w:widowControl/>
      <w:snapToGrid w:val="0"/>
      <w:spacing w:line="360" w:lineRule="auto"/>
      <w:jc w:val="left"/>
    </w:pPr>
    <w:rPr>
      <w:rFonts w:ascii="宋体" w:hAnsi="宋体" w:eastAsia="宋体" w:cs="Times New Roman"/>
      <w:kern w:val="0"/>
      <w:sz w:val="24"/>
      <w:szCs w:val="18"/>
    </w:rPr>
  </w:style>
  <w:style w:type="paragraph" w:styleId="3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38">
    <w:name w:val="Normal (Web)"/>
    <w:basedOn w:val="1"/>
    <w:unhideWhenUsed/>
    <w:qFormat/>
    <w:uiPriority w:val="99"/>
    <w:pPr>
      <w:widowControl/>
      <w:jc w:val="left"/>
    </w:pPr>
    <w:rPr>
      <w:rFonts w:ascii="宋体" w:hAnsi="宋体" w:cs="宋体"/>
      <w:kern w:val="0"/>
      <w:sz w:val="24"/>
    </w:rPr>
  </w:style>
  <w:style w:type="paragraph" w:styleId="39">
    <w:name w:val="annotation subject"/>
    <w:basedOn w:val="16"/>
    <w:next w:val="16"/>
    <w:unhideWhenUsed/>
    <w:qFormat/>
    <w:uiPriority w:val="99"/>
    <w:rPr>
      <w:b/>
      <w:bCs/>
      <w:szCs w:val="22"/>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style>
  <w:style w:type="character" w:styleId="45">
    <w:name w:val="annotation reference"/>
    <w:unhideWhenUsed/>
    <w:qFormat/>
    <w:uiPriority w:val="99"/>
    <w:rPr>
      <w:sz w:val="21"/>
      <w:szCs w:val="21"/>
    </w:rPr>
  </w:style>
  <w:style w:type="character" w:customStyle="1" w:styleId="46">
    <w:name w:val="强调1"/>
    <w:qFormat/>
    <w:uiPriority w:val="20"/>
    <w:rPr>
      <w:i/>
      <w:iCs/>
    </w:rPr>
  </w:style>
  <w:style w:type="character" w:customStyle="1" w:styleId="47">
    <w:name w:val="Internet 链接"/>
    <w:qFormat/>
    <w:uiPriority w:val="99"/>
    <w:rPr>
      <w:color w:val="0000FF"/>
      <w:u w:val="single"/>
    </w:rPr>
  </w:style>
  <w:style w:type="character" w:customStyle="1" w:styleId="48">
    <w:name w:val="页眉 字符"/>
    <w:basedOn w:val="42"/>
    <w:qFormat/>
    <w:uiPriority w:val="99"/>
    <w:rPr>
      <w:sz w:val="18"/>
      <w:szCs w:val="18"/>
    </w:rPr>
  </w:style>
  <w:style w:type="character" w:customStyle="1" w:styleId="49">
    <w:name w:val="页脚 字符"/>
    <w:basedOn w:val="42"/>
    <w:qFormat/>
    <w:uiPriority w:val="99"/>
    <w:rPr>
      <w:sz w:val="18"/>
      <w:szCs w:val="18"/>
    </w:rPr>
  </w:style>
  <w:style w:type="character" w:customStyle="1" w:styleId="50">
    <w:name w:val="标题 1 字符"/>
    <w:basedOn w:val="42"/>
    <w:qFormat/>
    <w:uiPriority w:val="9"/>
    <w:rPr>
      <w:rFonts w:asciiTheme="minorHAnsi" w:hAnsiTheme="minorHAnsi" w:eastAsiaTheme="minorEastAsia" w:cstheme="minorBidi"/>
      <w:b/>
      <w:bCs/>
      <w:kern w:val="2"/>
      <w:sz w:val="44"/>
      <w:szCs w:val="44"/>
    </w:rPr>
  </w:style>
  <w:style w:type="character" w:customStyle="1" w:styleId="51">
    <w:name w:val="标题 2 字符"/>
    <w:basedOn w:val="42"/>
    <w:semiHidden/>
    <w:qFormat/>
    <w:uiPriority w:val="9"/>
    <w:rPr>
      <w:rFonts w:asciiTheme="majorHAnsi" w:hAnsiTheme="majorHAnsi" w:eastAsiaTheme="majorEastAsia" w:cstheme="majorBidi"/>
      <w:b/>
      <w:bCs/>
      <w:kern w:val="2"/>
      <w:sz w:val="32"/>
      <w:szCs w:val="32"/>
    </w:rPr>
  </w:style>
  <w:style w:type="character" w:customStyle="1" w:styleId="52">
    <w:name w:val="标题 3 字符"/>
    <w:basedOn w:val="42"/>
    <w:semiHidden/>
    <w:qFormat/>
    <w:uiPriority w:val="9"/>
    <w:rPr>
      <w:rFonts w:asciiTheme="minorHAnsi" w:hAnsiTheme="minorHAnsi" w:eastAsiaTheme="minorEastAsia" w:cstheme="minorBidi"/>
      <w:b/>
      <w:bCs/>
      <w:kern w:val="2"/>
      <w:sz w:val="32"/>
      <w:szCs w:val="32"/>
    </w:rPr>
  </w:style>
  <w:style w:type="character" w:customStyle="1" w:styleId="53">
    <w:name w:val="标题 4 字符"/>
    <w:basedOn w:val="42"/>
    <w:semiHidden/>
    <w:qFormat/>
    <w:uiPriority w:val="9"/>
    <w:rPr>
      <w:rFonts w:asciiTheme="majorHAnsi" w:hAnsiTheme="majorHAnsi" w:eastAsiaTheme="majorEastAsia" w:cstheme="majorBidi"/>
      <w:b/>
      <w:bCs/>
      <w:kern w:val="2"/>
      <w:sz w:val="28"/>
      <w:szCs w:val="28"/>
    </w:rPr>
  </w:style>
  <w:style w:type="character" w:customStyle="1" w:styleId="54">
    <w:name w:val="标题 5 字符"/>
    <w:basedOn w:val="42"/>
    <w:semiHidden/>
    <w:qFormat/>
    <w:uiPriority w:val="9"/>
    <w:rPr>
      <w:rFonts w:asciiTheme="minorHAnsi" w:hAnsiTheme="minorHAnsi" w:eastAsiaTheme="minorEastAsia" w:cstheme="minorBidi"/>
      <w:b/>
      <w:bCs/>
      <w:kern w:val="2"/>
      <w:sz w:val="28"/>
      <w:szCs w:val="28"/>
    </w:rPr>
  </w:style>
  <w:style w:type="character" w:customStyle="1" w:styleId="55">
    <w:name w:val="标题 6 字符"/>
    <w:basedOn w:val="42"/>
    <w:qFormat/>
    <w:uiPriority w:val="0"/>
    <w:rPr>
      <w:rFonts w:asciiTheme="majorHAnsi" w:hAnsiTheme="majorHAnsi" w:eastAsiaTheme="majorEastAsia" w:cstheme="majorBidi"/>
      <w:b/>
      <w:bCs/>
      <w:kern w:val="2"/>
      <w:sz w:val="24"/>
      <w:szCs w:val="24"/>
    </w:rPr>
  </w:style>
  <w:style w:type="character" w:customStyle="1" w:styleId="56">
    <w:name w:val="标题 7 字符"/>
    <w:basedOn w:val="42"/>
    <w:semiHidden/>
    <w:qFormat/>
    <w:uiPriority w:val="9"/>
    <w:rPr>
      <w:rFonts w:asciiTheme="minorHAnsi" w:hAnsiTheme="minorHAnsi" w:eastAsiaTheme="minorEastAsia" w:cstheme="minorBidi"/>
      <w:b/>
      <w:bCs/>
      <w:kern w:val="2"/>
      <w:sz w:val="24"/>
      <w:szCs w:val="24"/>
    </w:rPr>
  </w:style>
  <w:style w:type="character" w:customStyle="1" w:styleId="57">
    <w:name w:val="标题 8 字符"/>
    <w:basedOn w:val="42"/>
    <w:semiHidden/>
    <w:qFormat/>
    <w:uiPriority w:val="9"/>
    <w:rPr>
      <w:rFonts w:asciiTheme="majorHAnsi" w:hAnsiTheme="majorHAnsi" w:eastAsiaTheme="majorEastAsia" w:cstheme="majorBidi"/>
      <w:kern w:val="2"/>
      <w:sz w:val="24"/>
      <w:szCs w:val="24"/>
    </w:rPr>
  </w:style>
  <w:style w:type="character" w:customStyle="1" w:styleId="58">
    <w:name w:val="标题 9 字符"/>
    <w:basedOn w:val="42"/>
    <w:link w:val="20"/>
    <w:semiHidden/>
    <w:qFormat/>
    <w:uiPriority w:val="9"/>
    <w:rPr>
      <w:rFonts w:asciiTheme="majorHAnsi" w:hAnsiTheme="majorHAnsi" w:eastAsiaTheme="majorEastAsia" w:cstheme="majorBidi"/>
      <w:kern w:val="2"/>
      <w:sz w:val="21"/>
      <w:szCs w:val="21"/>
    </w:rPr>
  </w:style>
  <w:style w:type="character" w:customStyle="1" w:styleId="59">
    <w:name w:val="页眉 Char"/>
    <w:qFormat/>
    <w:uiPriority w:val="99"/>
    <w:rPr>
      <w:rFonts w:ascii="Times New Roman" w:hAnsi="Times New Roman" w:eastAsia="宋体" w:cs="Times New Roman"/>
      <w:sz w:val="18"/>
      <w:szCs w:val="20"/>
    </w:rPr>
  </w:style>
  <w:style w:type="character" w:customStyle="1" w:styleId="60">
    <w:name w:val="正文文本缩进 2 字符"/>
    <w:qFormat/>
    <w:uiPriority w:val="0"/>
    <w:rPr>
      <w:rFonts w:ascii="宋体" w:hAnsiTheme="minorHAnsi" w:eastAsiaTheme="minorEastAsia" w:cstheme="minorBidi"/>
    </w:rPr>
  </w:style>
  <w:style w:type="character" w:customStyle="1" w:styleId="61">
    <w:name w:val="正文文本缩进 Char1"/>
    <w:semiHidden/>
    <w:qFormat/>
    <w:uiPriority w:val="99"/>
    <w:rPr>
      <w:rFonts w:ascii="Times New Roman" w:hAnsi="Times New Roman" w:eastAsia="宋体" w:cs="Times New Roman"/>
      <w:szCs w:val="24"/>
    </w:rPr>
  </w:style>
  <w:style w:type="character" w:customStyle="1" w:styleId="62">
    <w:name w:val="标题 7 字符1"/>
    <w:link w:val="11"/>
    <w:qFormat/>
    <w:uiPriority w:val="0"/>
    <w:rPr>
      <w:b/>
      <w:bCs/>
      <w:sz w:val="24"/>
      <w:szCs w:val="24"/>
      <w:lang w:val="zh-CN" w:eastAsia="zh-CN"/>
    </w:rPr>
  </w:style>
  <w:style w:type="character" w:customStyle="1" w:styleId="63">
    <w:name w:val="文档结构图 Char1"/>
    <w:semiHidden/>
    <w:qFormat/>
    <w:uiPriority w:val="99"/>
    <w:rPr>
      <w:rFonts w:ascii="宋体" w:hAnsi="宋体" w:eastAsia="宋体" w:cs="Times New Roman"/>
      <w:sz w:val="18"/>
      <w:szCs w:val="18"/>
    </w:rPr>
  </w:style>
  <w:style w:type="character" w:customStyle="1" w:styleId="64">
    <w:name w:val="列表段落 字符"/>
    <w:qFormat/>
    <w:locked/>
    <w:uiPriority w:val="99"/>
    <w:rPr>
      <w:rFonts w:asciiTheme="minorHAnsi" w:hAnsiTheme="minorHAnsi" w:eastAsiaTheme="minorEastAsia" w:cstheme="minorBidi"/>
      <w:kern w:val="2"/>
      <w:sz w:val="21"/>
      <w:szCs w:val="22"/>
    </w:rPr>
  </w:style>
  <w:style w:type="character" w:customStyle="1" w:styleId="65">
    <w:name w:val="标题 6 字符1"/>
    <w:link w:val="10"/>
    <w:qFormat/>
    <w:uiPriority w:val="0"/>
    <w:rPr>
      <w:rFonts w:ascii="Arial" w:hAnsi="Arial" w:eastAsia="黑体"/>
      <w:b/>
      <w:bCs/>
      <w:sz w:val="24"/>
      <w:szCs w:val="24"/>
      <w:lang w:val="zh-CN" w:eastAsia="zh-CN"/>
    </w:rPr>
  </w:style>
  <w:style w:type="character" w:customStyle="1" w:styleId="66">
    <w:name w:val="批注框文本 字符1"/>
    <w:qFormat/>
    <w:uiPriority w:val="0"/>
    <w:rPr>
      <w:rFonts w:ascii="Calibri" w:hAnsi="Calibri"/>
      <w:sz w:val="18"/>
      <w:szCs w:val="18"/>
    </w:rPr>
  </w:style>
  <w:style w:type="character" w:customStyle="1" w:styleId="67">
    <w:name w:val="明显强调1"/>
    <w:qFormat/>
    <w:uiPriority w:val="21"/>
    <w:rPr>
      <w:b/>
      <w:bCs/>
      <w:i/>
      <w:iCs/>
      <w:color w:val="4F81BD"/>
    </w:rPr>
  </w:style>
  <w:style w:type="character" w:customStyle="1" w:styleId="68">
    <w:name w:val="正文文本 2 Char1"/>
    <w:semiHidden/>
    <w:qFormat/>
    <w:uiPriority w:val="99"/>
    <w:rPr>
      <w:rFonts w:ascii="Times New Roman" w:hAnsi="Times New Roman" w:eastAsia="宋体" w:cs="Times New Roman"/>
      <w:szCs w:val="24"/>
    </w:rPr>
  </w:style>
  <w:style w:type="character" w:customStyle="1" w:styleId="69">
    <w:name w:val="apple-converted-space"/>
    <w:basedOn w:val="42"/>
    <w:qFormat/>
    <w:uiPriority w:val="0"/>
  </w:style>
  <w:style w:type="character" w:customStyle="1" w:styleId="70">
    <w:name w:val="标题 3 字符1"/>
    <w:link w:val="7"/>
    <w:qFormat/>
    <w:uiPriority w:val="0"/>
    <w:rPr>
      <w:rFonts w:ascii="宋体" w:hAnsi="宋体"/>
      <w:kern w:val="2"/>
      <w:sz w:val="24"/>
      <w:szCs w:val="32"/>
      <w:lang w:val="zh-CN" w:eastAsia="zh-CN"/>
    </w:rPr>
  </w:style>
  <w:style w:type="character" w:customStyle="1" w:styleId="71">
    <w:name w:val="批注文字 Char1"/>
    <w:semiHidden/>
    <w:qFormat/>
    <w:uiPriority w:val="99"/>
    <w:rPr>
      <w:kern w:val="2"/>
      <w:sz w:val="21"/>
      <w:szCs w:val="22"/>
    </w:rPr>
  </w:style>
  <w:style w:type="character" w:customStyle="1" w:styleId="72">
    <w:name w:val="页脚 Char"/>
    <w:qFormat/>
    <w:uiPriority w:val="99"/>
    <w:rPr>
      <w:rFonts w:ascii="Times New Roman" w:hAnsi="Times New Roman" w:eastAsia="宋体" w:cs="Times New Roman"/>
      <w:sz w:val="18"/>
      <w:szCs w:val="20"/>
    </w:rPr>
  </w:style>
  <w:style w:type="character" w:customStyle="1" w:styleId="73">
    <w:name w:val="标题 4 字符1"/>
    <w:link w:val="8"/>
    <w:qFormat/>
    <w:uiPriority w:val="0"/>
    <w:rPr>
      <w:rFonts w:ascii="黑体" w:hAnsi="黑体" w:eastAsia="黑体"/>
      <w:b/>
      <w:kern w:val="2"/>
      <w:sz w:val="21"/>
      <w:szCs w:val="24"/>
      <w:lang w:val="zh-CN" w:eastAsia="zh-CN"/>
    </w:rPr>
  </w:style>
  <w:style w:type="character" w:customStyle="1" w:styleId="74">
    <w:name w:val="无间隔 字符"/>
    <w:qFormat/>
    <w:uiPriority w:val="1"/>
    <w:rPr>
      <w:sz w:val="22"/>
      <w:szCs w:val="22"/>
    </w:rPr>
  </w:style>
  <w:style w:type="character" w:customStyle="1" w:styleId="75">
    <w:name w:val="标题 5 字符1"/>
    <w:link w:val="9"/>
    <w:qFormat/>
    <w:uiPriority w:val="0"/>
    <w:rPr>
      <w:b/>
      <w:bCs/>
      <w:sz w:val="28"/>
      <w:szCs w:val="28"/>
      <w:lang w:val="zh-CN" w:eastAsia="zh-CN"/>
    </w:rPr>
  </w:style>
  <w:style w:type="character" w:customStyle="1" w:styleId="76">
    <w:name w:val="不明显强调1"/>
    <w:qFormat/>
    <w:uiPriority w:val="19"/>
    <w:rPr>
      <w:i/>
      <w:iCs/>
      <w:color w:val="808080"/>
    </w:rPr>
  </w:style>
  <w:style w:type="character" w:customStyle="1" w:styleId="77">
    <w:name w:val="正文文本 Char1"/>
    <w:semiHidden/>
    <w:qFormat/>
    <w:uiPriority w:val="99"/>
    <w:rPr>
      <w:rFonts w:ascii="Times New Roman" w:hAnsi="Times New Roman" w:eastAsia="宋体" w:cs="Times New Roman"/>
      <w:szCs w:val="24"/>
    </w:rPr>
  </w:style>
  <w:style w:type="character" w:customStyle="1" w:styleId="78">
    <w:name w:val="正文文本 字符1"/>
    <w:link w:val="4"/>
    <w:qFormat/>
    <w:uiPriority w:val="0"/>
    <w:rPr>
      <w:rFonts w:ascii="宋体" w:hAnsi="宋体"/>
      <w:sz w:val="28"/>
      <w:szCs w:val="24"/>
    </w:rPr>
  </w:style>
  <w:style w:type="character" w:customStyle="1" w:styleId="79">
    <w:name w:val="明显强调11"/>
    <w:qFormat/>
    <w:uiPriority w:val="21"/>
    <w:rPr>
      <w:b/>
      <w:bCs/>
      <w:i/>
      <w:iCs/>
      <w:color w:val="4F81BD"/>
    </w:rPr>
  </w:style>
  <w:style w:type="character" w:customStyle="1" w:styleId="80">
    <w:name w:val="不明显强调2"/>
    <w:qFormat/>
    <w:uiPriority w:val="19"/>
    <w:rPr>
      <w:i/>
      <w:iCs/>
      <w:color w:val="808080"/>
    </w:rPr>
  </w:style>
  <w:style w:type="character" w:customStyle="1" w:styleId="81">
    <w:name w:val="标题-2 Char"/>
    <w:qFormat/>
    <w:uiPriority w:val="0"/>
    <w:rPr>
      <w:rFonts w:ascii="宋体" w:hAnsi="宋体"/>
      <w:b/>
      <w:bCs/>
      <w:kern w:val="2"/>
      <w:sz w:val="30"/>
      <w:szCs w:val="32"/>
    </w:rPr>
  </w:style>
  <w:style w:type="character" w:customStyle="1" w:styleId="82">
    <w:name w:val="标题 2 字符1"/>
    <w:link w:val="6"/>
    <w:qFormat/>
    <w:uiPriority w:val="0"/>
    <w:rPr>
      <w:rFonts w:ascii="Cambria" w:hAnsi="Cambria"/>
      <w:b/>
      <w:bCs/>
      <w:sz w:val="32"/>
      <w:szCs w:val="32"/>
      <w:lang w:val="zh-CN" w:eastAsia="zh-CN"/>
    </w:rPr>
  </w:style>
  <w:style w:type="character" w:customStyle="1" w:styleId="83">
    <w:name w:val="批注主题 字符1"/>
    <w:qFormat/>
    <w:uiPriority w:val="99"/>
    <w:rPr>
      <w:b/>
      <w:bCs/>
      <w:kern w:val="2"/>
      <w:sz w:val="21"/>
      <w:szCs w:val="22"/>
    </w:rPr>
  </w:style>
  <w:style w:type="character" w:customStyle="1" w:styleId="84">
    <w:name w:val="批注文字 字符1"/>
    <w:qFormat/>
    <w:uiPriority w:val="0"/>
    <w:rPr>
      <w:kern w:val="2"/>
      <w:sz w:val="21"/>
      <w:szCs w:val="24"/>
    </w:rPr>
  </w:style>
  <w:style w:type="character" w:customStyle="1" w:styleId="85">
    <w:name w:val="标题 9 字符1"/>
    <w:qFormat/>
    <w:uiPriority w:val="0"/>
    <w:rPr>
      <w:rFonts w:ascii="Arial" w:hAnsi="Arial" w:eastAsia="黑体"/>
      <w:szCs w:val="21"/>
      <w:lang w:val="zh-CN" w:eastAsia="zh-CN"/>
    </w:rPr>
  </w:style>
  <w:style w:type="character" w:customStyle="1" w:styleId="86">
    <w:name w:val="标题 8 字符1"/>
    <w:qFormat/>
    <w:uiPriority w:val="0"/>
    <w:rPr>
      <w:rFonts w:ascii="Arial" w:hAnsi="Arial" w:eastAsia="黑体"/>
      <w:sz w:val="24"/>
      <w:szCs w:val="24"/>
      <w:lang w:val="zh-CN" w:eastAsia="zh-CN"/>
    </w:rPr>
  </w:style>
  <w:style w:type="character" w:customStyle="1" w:styleId="87">
    <w:name w:val="正文文本 2 字符1"/>
    <w:qFormat/>
    <w:uiPriority w:val="0"/>
    <w:rPr>
      <w:rFonts w:ascii="宋体" w:hAnsi="宋体"/>
      <w:sz w:val="24"/>
      <w:szCs w:val="18"/>
    </w:rPr>
  </w:style>
  <w:style w:type="character" w:customStyle="1" w:styleId="88">
    <w:name w:val="正文文本缩进 字符1"/>
    <w:qFormat/>
    <w:uiPriority w:val="0"/>
    <w:rPr>
      <w:rFonts w:ascii="Calibri" w:hAnsi="Calibri"/>
    </w:rPr>
  </w:style>
  <w:style w:type="character" w:customStyle="1" w:styleId="89">
    <w:name w:val="纯文本 字符"/>
    <w:qFormat/>
    <w:uiPriority w:val="0"/>
    <w:rPr>
      <w:rFonts w:ascii="宋体" w:hAnsi="宋体" w:eastAsiaTheme="minorEastAsia" w:cstheme="minorBidi"/>
      <w:szCs w:val="21"/>
    </w:rPr>
  </w:style>
  <w:style w:type="character" w:customStyle="1" w:styleId="90">
    <w:name w:val="标题 1 字符1"/>
    <w:link w:val="5"/>
    <w:qFormat/>
    <w:uiPriority w:val="0"/>
    <w:rPr>
      <w:rFonts w:ascii="黑体" w:hAnsi="黑体" w:eastAsia="黑体"/>
      <w:b/>
      <w:kern w:val="2"/>
      <w:sz w:val="32"/>
      <w:lang w:val="zh-CN" w:eastAsia="zh-CN"/>
    </w:rPr>
  </w:style>
  <w:style w:type="character" w:customStyle="1" w:styleId="91">
    <w:name w:val="HTML 预设格式 字符1"/>
    <w:qFormat/>
    <w:uiPriority w:val="99"/>
    <w:rPr>
      <w:rFonts w:ascii="宋体" w:hAnsi="宋体"/>
      <w:sz w:val="24"/>
      <w:szCs w:val="24"/>
    </w:rPr>
  </w:style>
  <w:style w:type="character" w:customStyle="1" w:styleId="92">
    <w:name w:val="纯文本 Char"/>
    <w:qFormat/>
    <w:uiPriority w:val="0"/>
    <w:rPr>
      <w:rFonts w:ascii="宋体" w:hAnsi="宋体" w:eastAsia="宋体" w:cs="Courier New"/>
      <w:szCs w:val="21"/>
    </w:rPr>
  </w:style>
  <w:style w:type="character" w:customStyle="1" w:styleId="93">
    <w:name w:val="正文文本缩进 3 字符1"/>
    <w:qFormat/>
    <w:uiPriority w:val="0"/>
    <w:rPr>
      <w:rFonts w:ascii="Calibri" w:hAnsi="Calibri"/>
      <w:sz w:val="16"/>
      <w:szCs w:val="16"/>
    </w:rPr>
  </w:style>
  <w:style w:type="character" w:customStyle="1" w:styleId="94">
    <w:name w:val="日期 字符1"/>
    <w:qFormat/>
    <w:uiPriority w:val="0"/>
    <w:rPr>
      <w:rFonts w:ascii="黑体" w:hAnsi="黑体" w:eastAsia="黑体"/>
      <w:b/>
      <w:color w:val="000000"/>
      <w:sz w:val="36"/>
    </w:rPr>
  </w:style>
  <w:style w:type="character" w:customStyle="1" w:styleId="95">
    <w:name w:val="文档结构图 字符1"/>
    <w:qFormat/>
    <w:uiPriority w:val="0"/>
    <w:rPr>
      <w:rFonts w:ascii="宋体" w:hAnsi="宋体"/>
      <w:sz w:val="18"/>
      <w:szCs w:val="18"/>
    </w:rPr>
  </w:style>
  <w:style w:type="character" w:customStyle="1" w:styleId="96">
    <w:name w:val="正文文本缩进 3 Char1"/>
    <w:semiHidden/>
    <w:qFormat/>
    <w:uiPriority w:val="99"/>
    <w:rPr>
      <w:rFonts w:ascii="Times New Roman" w:hAnsi="Times New Roman" w:eastAsia="宋体" w:cs="Times New Roman"/>
      <w:sz w:val="16"/>
      <w:szCs w:val="16"/>
    </w:rPr>
  </w:style>
  <w:style w:type="character" w:customStyle="1" w:styleId="97">
    <w:name w:val="文档结构图 字符"/>
    <w:basedOn w:val="42"/>
    <w:semiHidden/>
    <w:qFormat/>
    <w:uiPriority w:val="99"/>
    <w:rPr>
      <w:rFonts w:ascii="Microsoft YaHei UI" w:eastAsia="Microsoft YaHei UI" w:hAnsiTheme="minorHAnsi" w:cstheme="minorBidi"/>
      <w:kern w:val="2"/>
      <w:sz w:val="18"/>
      <w:szCs w:val="18"/>
    </w:rPr>
  </w:style>
  <w:style w:type="character" w:customStyle="1" w:styleId="98">
    <w:name w:val="批注文字 字符"/>
    <w:basedOn w:val="42"/>
    <w:semiHidden/>
    <w:qFormat/>
    <w:uiPriority w:val="99"/>
    <w:rPr>
      <w:rFonts w:asciiTheme="minorHAnsi" w:hAnsiTheme="minorHAnsi" w:eastAsiaTheme="minorEastAsia" w:cstheme="minorBidi"/>
      <w:kern w:val="2"/>
      <w:sz w:val="21"/>
      <w:szCs w:val="22"/>
    </w:rPr>
  </w:style>
  <w:style w:type="character" w:customStyle="1" w:styleId="99">
    <w:name w:val="批注主题 字符"/>
    <w:basedOn w:val="98"/>
    <w:semiHidden/>
    <w:qFormat/>
    <w:uiPriority w:val="99"/>
    <w:rPr>
      <w:rFonts w:asciiTheme="minorHAnsi" w:hAnsiTheme="minorHAnsi" w:eastAsiaTheme="minorEastAsia" w:cstheme="minorBidi"/>
      <w:b/>
      <w:bCs/>
      <w:kern w:val="2"/>
      <w:sz w:val="21"/>
      <w:szCs w:val="22"/>
    </w:rPr>
  </w:style>
  <w:style w:type="character" w:customStyle="1" w:styleId="100">
    <w:name w:val="正文文本 字符"/>
    <w:basedOn w:val="42"/>
    <w:semiHidden/>
    <w:qFormat/>
    <w:uiPriority w:val="99"/>
    <w:rPr>
      <w:rFonts w:asciiTheme="minorHAnsi" w:hAnsiTheme="minorHAnsi" w:eastAsiaTheme="minorEastAsia" w:cstheme="minorBidi"/>
      <w:kern w:val="2"/>
      <w:sz w:val="21"/>
      <w:szCs w:val="22"/>
    </w:rPr>
  </w:style>
  <w:style w:type="character" w:customStyle="1" w:styleId="101">
    <w:name w:val="日期 字符"/>
    <w:basedOn w:val="42"/>
    <w:semiHidden/>
    <w:qFormat/>
    <w:uiPriority w:val="99"/>
    <w:rPr>
      <w:rFonts w:asciiTheme="minorHAnsi" w:hAnsiTheme="minorHAnsi" w:eastAsiaTheme="minorEastAsia" w:cstheme="minorBidi"/>
      <w:kern w:val="2"/>
      <w:sz w:val="21"/>
      <w:szCs w:val="22"/>
    </w:rPr>
  </w:style>
  <w:style w:type="character" w:customStyle="1" w:styleId="102">
    <w:name w:val="正文文本缩进 字符"/>
    <w:basedOn w:val="42"/>
    <w:semiHidden/>
    <w:qFormat/>
    <w:uiPriority w:val="99"/>
    <w:rPr>
      <w:rFonts w:asciiTheme="minorHAnsi" w:hAnsiTheme="minorHAnsi" w:eastAsiaTheme="minorEastAsia" w:cstheme="minorBidi"/>
      <w:kern w:val="2"/>
      <w:sz w:val="21"/>
      <w:szCs w:val="22"/>
    </w:rPr>
  </w:style>
  <w:style w:type="character" w:customStyle="1" w:styleId="103">
    <w:name w:val="正文文本缩进 3 字符"/>
    <w:basedOn w:val="42"/>
    <w:semiHidden/>
    <w:qFormat/>
    <w:uiPriority w:val="99"/>
    <w:rPr>
      <w:rFonts w:asciiTheme="minorHAnsi" w:hAnsiTheme="minorHAnsi" w:eastAsiaTheme="minorEastAsia" w:cstheme="minorBidi"/>
      <w:kern w:val="2"/>
      <w:sz w:val="16"/>
      <w:szCs w:val="16"/>
    </w:rPr>
  </w:style>
  <w:style w:type="character" w:customStyle="1" w:styleId="104">
    <w:name w:val="正文文本 2 字符"/>
    <w:basedOn w:val="42"/>
    <w:semiHidden/>
    <w:qFormat/>
    <w:uiPriority w:val="99"/>
    <w:rPr>
      <w:rFonts w:asciiTheme="minorHAnsi" w:hAnsiTheme="minorHAnsi" w:eastAsiaTheme="minorEastAsia" w:cstheme="minorBidi"/>
      <w:kern w:val="2"/>
      <w:sz w:val="21"/>
      <w:szCs w:val="22"/>
    </w:rPr>
  </w:style>
  <w:style w:type="character" w:customStyle="1" w:styleId="105">
    <w:name w:val="批注框文本 字符"/>
    <w:basedOn w:val="42"/>
    <w:semiHidden/>
    <w:qFormat/>
    <w:uiPriority w:val="99"/>
    <w:rPr>
      <w:rFonts w:asciiTheme="minorHAnsi" w:hAnsiTheme="minorHAnsi" w:eastAsiaTheme="minorEastAsia" w:cstheme="minorBidi"/>
      <w:kern w:val="2"/>
      <w:sz w:val="18"/>
      <w:szCs w:val="18"/>
    </w:rPr>
  </w:style>
  <w:style w:type="character" w:customStyle="1" w:styleId="106">
    <w:name w:val="HTML 预设格式 字符"/>
    <w:basedOn w:val="42"/>
    <w:semiHidden/>
    <w:qFormat/>
    <w:uiPriority w:val="99"/>
    <w:rPr>
      <w:rFonts w:ascii="Courier New" w:hAnsi="Courier New" w:cs="Courier New" w:eastAsiaTheme="minorEastAsia"/>
      <w:kern w:val="2"/>
    </w:rPr>
  </w:style>
  <w:style w:type="character" w:customStyle="1" w:styleId="107">
    <w:name w:val="ListLabel 1"/>
    <w:qFormat/>
    <w:uiPriority w:val="0"/>
    <w:rPr>
      <w:u w:val="none"/>
    </w:rPr>
  </w:style>
  <w:style w:type="character" w:customStyle="1" w:styleId="108">
    <w:name w:val="ListLabel 2"/>
    <w:qFormat/>
    <w:uiPriority w:val="0"/>
    <w:rPr>
      <w:sz w:val="20"/>
    </w:rPr>
  </w:style>
  <w:style w:type="character" w:customStyle="1" w:styleId="109">
    <w:name w:val="ListLabel 3"/>
    <w:qFormat/>
    <w:uiPriority w:val="0"/>
    <w:rPr>
      <w:rFonts w:ascii="仿宋" w:hAnsi="仿宋"/>
      <w:b/>
      <w:color w:val="auto"/>
      <w:sz w:val="24"/>
    </w:rPr>
  </w:style>
  <w:style w:type="character" w:customStyle="1" w:styleId="110">
    <w:name w:val="ListLabel 4"/>
    <w:qFormat/>
    <w:uiPriority w:val="0"/>
    <w:rPr>
      <w:rFonts w:ascii="宋体" w:hAnsi="宋体"/>
      <w:b/>
      <w:sz w:val="24"/>
      <w:lang w:val="en-US"/>
    </w:rPr>
  </w:style>
  <w:style w:type="character" w:customStyle="1" w:styleId="111">
    <w:name w:val="ListLabel 5"/>
    <w:qFormat/>
    <w:uiPriority w:val="0"/>
    <w:rPr>
      <w:rFonts w:ascii="宋体" w:hAnsi="宋体" w:cs="宋体"/>
      <w:color w:val="auto"/>
      <w:szCs w:val="21"/>
    </w:rPr>
  </w:style>
  <w:style w:type="character" w:customStyle="1" w:styleId="112">
    <w:name w:val="ListLabel 6"/>
    <w:qFormat/>
    <w:uiPriority w:val="0"/>
    <w:rPr>
      <w:rFonts w:ascii="宋体" w:hAnsi="宋体"/>
      <w:b/>
      <w:sz w:val="21"/>
    </w:rPr>
  </w:style>
  <w:style w:type="character" w:customStyle="1" w:styleId="113">
    <w:name w:val="ListLabel 7"/>
    <w:qFormat/>
    <w:uiPriority w:val="0"/>
    <w:rPr>
      <w:rFonts w:ascii="仿宋" w:hAnsi="仿宋"/>
      <w:b/>
      <w:color w:val="auto"/>
      <w:sz w:val="24"/>
    </w:rPr>
  </w:style>
  <w:style w:type="character" w:customStyle="1" w:styleId="114">
    <w:name w:val="ListLabel 8"/>
    <w:qFormat/>
    <w:uiPriority w:val="0"/>
    <w:rPr>
      <w:rFonts w:ascii="宋体" w:hAnsi="宋体"/>
      <w:b/>
      <w:sz w:val="24"/>
      <w:lang w:val="en-US"/>
    </w:rPr>
  </w:style>
  <w:style w:type="character" w:customStyle="1" w:styleId="115">
    <w:name w:val="ListLabel 9"/>
    <w:qFormat/>
    <w:uiPriority w:val="0"/>
    <w:rPr>
      <w:rFonts w:ascii="宋体" w:hAnsi="宋体" w:cs="宋体"/>
      <w:color w:val="auto"/>
      <w:szCs w:val="21"/>
    </w:rPr>
  </w:style>
  <w:style w:type="character" w:customStyle="1" w:styleId="116">
    <w:name w:val="WW8Num20z0"/>
    <w:qFormat/>
    <w:uiPriority w:val="0"/>
  </w:style>
  <w:style w:type="character" w:customStyle="1" w:styleId="117">
    <w:name w:val="WW8Num20z1"/>
    <w:qFormat/>
    <w:uiPriority w:val="0"/>
  </w:style>
  <w:style w:type="character" w:customStyle="1" w:styleId="118">
    <w:name w:val="WW8Num20z2"/>
    <w:qFormat/>
    <w:uiPriority w:val="0"/>
  </w:style>
  <w:style w:type="character" w:customStyle="1" w:styleId="119">
    <w:name w:val="WW8Num20z3"/>
    <w:qFormat/>
    <w:uiPriority w:val="0"/>
  </w:style>
  <w:style w:type="character" w:customStyle="1" w:styleId="120">
    <w:name w:val="WW8Num20z4"/>
    <w:qFormat/>
    <w:uiPriority w:val="0"/>
  </w:style>
  <w:style w:type="character" w:customStyle="1" w:styleId="121">
    <w:name w:val="WW8Num20z5"/>
    <w:qFormat/>
    <w:uiPriority w:val="0"/>
  </w:style>
  <w:style w:type="character" w:customStyle="1" w:styleId="122">
    <w:name w:val="WW8Num20z6"/>
    <w:qFormat/>
    <w:uiPriority w:val="0"/>
  </w:style>
  <w:style w:type="character" w:customStyle="1" w:styleId="123">
    <w:name w:val="WW8Num20z7"/>
    <w:qFormat/>
    <w:uiPriority w:val="0"/>
  </w:style>
  <w:style w:type="character" w:customStyle="1" w:styleId="124">
    <w:name w:val="WW8Num20z8"/>
    <w:qFormat/>
    <w:uiPriority w:val="0"/>
  </w:style>
  <w:style w:type="character" w:customStyle="1" w:styleId="125">
    <w:name w:val="WW8Num11z0"/>
    <w:qFormat/>
    <w:uiPriority w:val="0"/>
  </w:style>
  <w:style w:type="character" w:customStyle="1" w:styleId="126">
    <w:name w:val="WW8Num11z1"/>
    <w:qFormat/>
    <w:uiPriority w:val="0"/>
  </w:style>
  <w:style w:type="character" w:customStyle="1" w:styleId="127">
    <w:name w:val="WW8Num11z2"/>
    <w:qFormat/>
    <w:uiPriority w:val="0"/>
  </w:style>
  <w:style w:type="character" w:customStyle="1" w:styleId="128">
    <w:name w:val="WW8Num11z3"/>
    <w:qFormat/>
    <w:uiPriority w:val="0"/>
  </w:style>
  <w:style w:type="character" w:customStyle="1" w:styleId="129">
    <w:name w:val="WW8Num11z4"/>
    <w:qFormat/>
    <w:uiPriority w:val="0"/>
  </w:style>
  <w:style w:type="character" w:customStyle="1" w:styleId="130">
    <w:name w:val="WW8Num11z5"/>
    <w:qFormat/>
    <w:uiPriority w:val="0"/>
  </w:style>
  <w:style w:type="character" w:customStyle="1" w:styleId="131">
    <w:name w:val="WW8Num11z6"/>
    <w:qFormat/>
    <w:uiPriority w:val="0"/>
  </w:style>
  <w:style w:type="character" w:customStyle="1" w:styleId="132">
    <w:name w:val="WW8Num11z7"/>
    <w:qFormat/>
    <w:uiPriority w:val="0"/>
  </w:style>
  <w:style w:type="character" w:customStyle="1" w:styleId="133">
    <w:name w:val="WW8Num11z8"/>
    <w:qFormat/>
    <w:uiPriority w:val="0"/>
  </w:style>
  <w:style w:type="character" w:customStyle="1" w:styleId="134">
    <w:name w:val="WW8Num40z0"/>
    <w:qFormat/>
    <w:uiPriority w:val="0"/>
  </w:style>
  <w:style w:type="character" w:customStyle="1" w:styleId="135">
    <w:name w:val="WW8Num40z1"/>
    <w:qFormat/>
    <w:uiPriority w:val="0"/>
  </w:style>
  <w:style w:type="character" w:customStyle="1" w:styleId="136">
    <w:name w:val="WW8Num40z2"/>
    <w:qFormat/>
    <w:uiPriority w:val="0"/>
  </w:style>
  <w:style w:type="character" w:customStyle="1" w:styleId="137">
    <w:name w:val="WW8Num40z3"/>
    <w:qFormat/>
    <w:uiPriority w:val="0"/>
  </w:style>
  <w:style w:type="character" w:customStyle="1" w:styleId="138">
    <w:name w:val="WW8Num40z4"/>
    <w:qFormat/>
    <w:uiPriority w:val="0"/>
  </w:style>
  <w:style w:type="character" w:customStyle="1" w:styleId="139">
    <w:name w:val="WW8Num40z5"/>
    <w:qFormat/>
    <w:uiPriority w:val="0"/>
  </w:style>
  <w:style w:type="character" w:customStyle="1" w:styleId="140">
    <w:name w:val="WW8Num40z6"/>
    <w:qFormat/>
    <w:uiPriority w:val="0"/>
  </w:style>
  <w:style w:type="character" w:customStyle="1" w:styleId="141">
    <w:name w:val="WW8Num40z7"/>
    <w:qFormat/>
    <w:uiPriority w:val="0"/>
  </w:style>
  <w:style w:type="character" w:customStyle="1" w:styleId="142">
    <w:name w:val="WW8Num40z8"/>
    <w:qFormat/>
    <w:uiPriority w:val="0"/>
  </w:style>
  <w:style w:type="character" w:customStyle="1" w:styleId="143">
    <w:name w:val="WW8Num25z0"/>
    <w:qFormat/>
    <w:uiPriority w:val="0"/>
  </w:style>
  <w:style w:type="character" w:customStyle="1" w:styleId="144">
    <w:name w:val="WW8Num25z1"/>
    <w:qFormat/>
    <w:uiPriority w:val="0"/>
  </w:style>
  <w:style w:type="character" w:customStyle="1" w:styleId="145">
    <w:name w:val="WW8Num25z2"/>
    <w:qFormat/>
    <w:uiPriority w:val="0"/>
  </w:style>
  <w:style w:type="character" w:customStyle="1" w:styleId="146">
    <w:name w:val="WW8Num25z3"/>
    <w:qFormat/>
    <w:uiPriority w:val="0"/>
  </w:style>
  <w:style w:type="character" w:customStyle="1" w:styleId="147">
    <w:name w:val="WW8Num25z4"/>
    <w:qFormat/>
    <w:uiPriority w:val="0"/>
  </w:style>
  <w:style w:type="character" w:customStyle="1" w:styleId="148">
    <w:name w:val="WW8Num25z5"/>
    <w:qFormat/>
    <w:uiPriority w:val="0"/>
  </w:style>
  <w:style w:type="character" w:customStyle="1" w:styleId="149">
    <w:name w:val="WW8Num25z6"/>
    <w:qFormat/>
    <w:uiPriority w:val="0"/>
  </w:style>
  <w:style w:type="character" w:customStyle="1" w:styleId="150">
    <w:name w:val="WW8Num25z7"/>
    <w:qFormat/>
    <w:uiPriority w:val="0"/>
  </w:style>
  <w:style w:type="character" w:customStyle="1" w:styleId="151">
    <w:name w:val="WW8Num25z8"/>
    <w:qFormat/>
    <w:uiPriority w:val="0"/>
  </w:style>
  <w:style w:type="paragraph" w:customStyle="1" w:styleId="152">
    <w:name w:val="标题样式"/>
    <w:basedOn w:val="1"/>
    <w:next w:val="2"/>
    <w:qFormat/>
    <w:uiPriority w:val="0"/>
    <w:pPr>
      <w:keepNext/>
      <w:spacing w:before="240" w:after="120"/>
    </w:pPr>
    <w:rPr>
      <w:rFonts w:ascii="Liberation Sans" w:hAnsi="Liberation Sans" w:eastAsia="微软雅黑" w:cs="Arial Unicode MS"/>
      <w:sz w:val="28"/>
      <w:szCs w:val="28"/>
    </w:rPr>
  </w:style>
  <w:style w:type="paragraph" w:customStyle="1" w:styleId="153">
    <w:name w:val="索引"/>
    <w:basedOn w:val="1"/>
    <w:qFormat/>
    <w:uiPriority w:val="0"/>
    <w:pPr>
      <w:suppressLineNumbers/>
    </w:pPr>
    <w:rPr>
      <w:rFonts w:cs="Arial Unicode MS"/>
    </w:rPr>
  </w:style>
  <w:style w:type="paragraph" w:customStyle="1" w:styleId="154">
    <w:name w:val="列出段落1"/>
    <w:basedOn w:val="1"/>
    <w:qFormat/>
    <w:uiPriority w:val="0"/>
    <w:pPr>
      <w:ind w:firstLine="420"/>
    </w:pPr>
  </w:style>
  <w:style w:type="paragraph" w:styleId="155">
    <w:name w:val="List Paragraph"/>
    <w:basedOn w:val="1"/>
    <w:qFormat/>
    <w:uiPriority w:val="99"/>
    <w:pPr>
      <w:ind w:firstLine="420"/>
    </w:pPr>
  </w:style>
  <w:style w:type="paragraph" w:styleId="156">
    <w:name w:val="No Spacing"/>
    <w:qFormat/>
    <w:uiPriority w:val="1"/>
    <w:pPr>
      <w:widowControl/>
      <w:bidi w:val="0"/>
      <w:jc w:val="left"/>
    </w:pPr>
    <w:rPr>
      <w:rFonts w:ascii="Times New Roman" w:hAnsi="Times New Roman" w:eastAsia="宋体" w:cs="Times New Roman"/>
      <w:color w:val="auto"/>
      <w:kern w:val="0"/>
      <w:sz w:val="22"/>
      <w:szCs w:val="22"/>
      <w:lang w:val="en-US" w:eastAsia="zh-CN" w:bidi="ar-SA"/>
    </w:rPr>
  </w:style>
  <w:style w:type="paragraph" w:customStyle="1" w:styleId="157">
    <w:name w:val="标题-2"/>
    <w:basedOn w:val="4"/>
    <w:qFormat/>
    <w:uiPriority w:val="0"/>
    <w:pPr>
      <w:spacing w:before="0" w:after="0" w:line="360" w:lineRule="auto"/>
      <w:jc w:val="left"/>
    </w:pPr>
    <w:rPr>
      <w:rFonts w:ascii="宋体" w:hAnsi="宋体"/>
      <w:kern w:val="2"/>
      <w:sz w:val="30"/>
      <w:lang w:val="en-US"/>
    </w:rPr>
  </w:style>
  <w:style w:type="paragraph" w:customStyle="1" w:styleId="158">
    <w:name w:val="Char1"/>
    <w:basedOn w:val="1"/>
    <w:qFormat/>
    <w:uiPriority w:val="0"/>
    <w:rPr>
      <w:rFonts w:ascii="仿宋_GB2312" w:hAnsi="仿宋_GB2312" w:eastAsia="仿宋_GB2312" w:cs="Times New Roman"/>
      <w:b/>
      <w:sz w:val="32"/>
      <w:szCs w:val="32"/>
    </w:rPr>
  </w:style>
  <w:style w:type="paragraph" w:customStyle="1" w:styleId="159">
    <w:name w:val="列出段落111"/>
    <w:basedOn w:val="1"/>
    <w:qFormat/>
    <w:uiPriority w:val="34"/>
    <w:pPr>
      <w:ind w:firstLine="420"/>
    </w:pPr>
    <w:rPr>
      <w:rFonts w:ascii="Calibri" w:hAnsi="Calibri" w:eastAsia="宋体" w:cs="Times New Roman"/>
      <w:sz w:val="20"/>
      <w:szCs w:val="20"/>
    </w:rPr>
  </w:style>
  <w:style w:type="paragraph" w:customStyle="1" w:styleId="160">
    <w:name w:val="标书 正文"/>
    <w:basedOn w:val="1"/>
    <w:qFormat/>
    <w:uiPriority w:val="0"/>
    <w:pPr>
      <w:snapToGrid w:val="0"/>
      <w:spacing w:line="360" w:lineRule="auto"/>
      <w:ind w:firstLine="200"/>
    </w:pPr>
    <w:rPr>
      <w:rFonts w:ascii="宋体" w:hAnsi="宋体" w:eastAsia="宋体" w:cs="Times New Roman"/>
      <w:sz w:val="24"/>
      <w:szCs w:val="24"/>
    </w:rPr>
  </w:style>
  <w:style w:type="paragraph" w:customStyle="1" w:styleId="161">
    <w:name w:val="修订1"/>
    <w:semiHidden/>
    <w:qFormat/>
    <w:uiPriority w:val="99"/>
    <w:pPr>
      <w:widowControl/>
      <w:bidi w:val="0"/>
      <w:jc w:val="left"/>
    </w:pPr>
    <w:rPr>
      <w:rFonts w:ascii="Calibri" w:hAnsi="Calibri" w:eastAsia="宋体" w:cs="Times New Roman"/>
      <w:color w:val="auto"/>
      <w:kern w:val="2"/>
      <w:sz w:val="21"/>
      <w:szCs w:val="22"/>
      <w:lang w:val="en-US" w:eastAsia="zh-CN" w:bidi="ar-SA"/>
    </w:rPr>
  </w:style>
  <w:style w:type="paragraph" w:customStyle="1" w:styleId="162">
    <w:name w:val="无间隔1"/>
    <w:qFormat/>
    <w:uiPriority w:val="1"/>
    <w:pPr>
      <w:widowControl/>
      <w:bidi w:val="0"/>
      <w:jc w:val="left"/>
    </w:pPr>
    <w:rPr>
      <w:rFonts w:ascii="Calibri" w:hAnsi="Calibri" w:eastAsia="宋体" w:cs="Times New Roman"/>
      <w:color w:val="auto"/>
      <w:kern w:val="0"/>
      <w:sz w:val="22"/>
      <w:szCs w:val="22"/>
      <w:lang w:val="en-US" w:eastAsia="zh-CN" w:bidi="ar-SA"/>
    </w:rPr>
  </w:style>
  <w:style w:type="paragraph" w:customStyle="1" w:styleId="163">
    <w:name w:val="Char"/>
    <w:basedOn w:val="1"/>
    <w:qFormat/>
    <w:uiPriority w:val="0"/>
    <w:pPr>
      <w:widowControl/>
      <w:spacing w:before="0" w:after="160" w:line="240" w:lineRule="exact"/>
      <w:jc w:val="left"/>
    </w:pPr>
    <w:rPr>
      <w:rFonts w:ascii="Verdana" w:hAnsi="Verdana" w:eastAsia="仿宋_GB2312" w:cs="Times New Roman"/>
      <w:kern w:val="0"/>
      <w:sz w:val="24"/>
      <w:szCs w:val="20"/>
      <w:lang w:eastAsia="en-US"/>
    </w:rPr>
  </w:style>
  <w:style w:type="paragraph" w:customStyle="1" w:styleId="164">
    <w:name w:val="reader-word-layer"/>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165">
    <w:name w:val="列出段落11"/>
    <w:basedOn w:val="1"/>
    <w:qFormat/>
    <w:uiPriority w:val="34"/>
    <w:pPr>
      <w:ind w:firstLine="420"/>
    </w:pPr>
    <w:rPr>
      <w:rFonts w:ascii="Calibri" w:hAnsi="Calibri" w:eastAsia="宋体" w:cs="Times New Roman"/>
      <w:sz w:val="20"/>
      <w:szCs w:val="20"/>
    </w:rPr>
  </w:style>
  <w:style w:type="paragraph" w:customStyle="1" w:styleId="166">
    <w:name w:val="Char2"/>
    <w:basedOn w:val="1"/>
    <w:qFormat/>
    <w:uiPriority w:val="0"/>
    <w:pPr>
      <w:widowControl/>
      <w:spacing w:before="0" w:after="160" w:line="240" w:lineRule="exact"/>
      <w:jc w:val="left"/>
    </w:pPr>
    <w:rPr>
      <w:rFonts w:ascii="Verdana" w:hAnsi="Verdana" w:eastAsia="仿宋_GB2312" w:cs="Times New Roman"/>
      <w:spacing w:val="-4"/>
      <w:kern w:val="0"/>
      <w:sz w:val="24"/>
      <w:szCs w:val="20"/>
      <w:lang w:eastAsia="en-US"/>
    </w:rPr>
  </w:style>
  <w:style w:type="paragraph" w:customStyle="1" w:styleId="167">
    <w:name w:val="Char11"/>
    <w:basedOn w:val="1"/>
    <w:qFormat/>
    <w:uiPriority w:val="0"/>
    <w:rPr>
      <w:rFonts w:ascii="仿宋_GB2312" w:hAnsi="仿宋_GB2312" w:eastAsia="仿宋_GB2312" w:cs="Times New Roman"/>
      <w:b/>
      <w:sz w:val="32"/>
      <w:szCs w:val="32"/>
    </w:rPr>
  </w:style>
  <w:style w:type="paragraph" w:customStyle="1" w:styleId="168">
    <w:name w:val="正文1"/>
    <w:basedOn w:val="1"/>
    <w:qFormat/>
    <w:uiPriority w:val="34"/>
    <w:rPr>
      <w:rFonts w:ascii="Calibri" w:hAnsi="Calibri" w:eastAsia="Calibri" w:cs="宋体"/>
      <w:kern w:val="0"/>
      <w:szCs w:val="20"/>
      <w:lang w:eastAsia="en-US"/>
    </w:rPr>
  </w:style>
  <w:style w:type="paragraph" w:customStyle="1" w:styleId="169">
    <w:name w:val="列出段落2"/>
    <w:basedOn w:val="1"/>
    <w:qFormat/>
    <w:uiPriority w:val="34"/>
    <w:pPr>
      <w:ind w:firstLine="420"/>
    </w:pPr>
    <w:rPr>
      <w:rFonts w:ascii="Calibri" w:hAnsi="Calibri" w:eastAsia="宋体" w:cs="Times New Roman"/>
      <w:sz w:val="20"/>
      <w:szCs w:val="20"/>
    </w:rPr>
  </w:style>
  <w:style w:type="paragraph" w:customStyle="1" w:styleId="170">
    <w:name w:val="_Style 2"/>
    <w:basedOn w:val="1"/>
    <w:qFormat/>
    <w:uiPriority w:val="99"/>
    <w:pPr>
      <w:ind w:firstLine="420"/>
    </w:pPr>
    <w:rPr>
      <w:rFonts w:ascii="Calibri" w:hAnsi="Calibri" w:eastAsia="宋体" w:cs="Times New Roman"/>
    </w:rPr>
  </w:style>
  <w:style w:type="paragraph" w:customStyle="1" w:styleId="171">
    <w:name w:val="Default"/>
    <w:qFormat/>
    <w:uiPriority w:val="99"/>
    <w:pPr>
      <w:widowControl w:val="0"/>
      <w:bidi w:val="0"/>
      <w:jc w:val="left"/>
    </w:pPr>
    <w:rPr>
      <w:rFonts w:ascii="Arial" w:hAnsi="Arial" w:eastAsia="宋体" w:cs="Arial"/>
      <w:color w:val="000000"/>
      <w:kern w:val="0"/>
      <w:sz w:val="24"/>
      <w:szCs w:val="24"/>
      <w:lang w:val="en-US" w:eastAsia="zh-CN" w:bidi="ar-SA"/>
    </w:rPr>
  </w:style>
  <w:style w:type="paragraph" w:customStyle="1" w:styleId="172">
    <w:name w:val="框架内容"/>
    <w:basedOn w:val="1"/>
    <w:qFormat/>
    <w:uiPriority w:val="0"/>
  </w:style>
</w:styles>
</file>

<file path=word/_rels/document.xml.rels><?xml version="1.0" encoding="UTF-8" standalone="yes"?>
<Relationships xmlns="http://schemas.openxmlformats.org/package/2006/relationships"><Relationship Id="rId99" Type="http://schemas.openxmlformats.org/officeDocument/2006/relationships/control" Target="activeX/activeX44.xml"/><Relationship Id="rId98" Type="http://schemas.openxmlformats.org/officeDocument/2006/relationships/image" Target="media/image40.wmf"/><Relationship Id="rId97" Type="http://schemas.openxmlformats.org/officeDocument/2006/relationships/control" Target="activeX/activeX43.xml"/><Relationship Id="rId96" Type="http://schemas.openxmlformats.org/officeDocument/2006/relationships/image" Target="media/image39.wmf"/><Relationship Id="rId95" Type="http://schemas.openxmlformats.org/officeDocument/2006/relationships/control" Target="activeX/activeX42.xml"/><Relationship Id="rId94" Type="http://schemas.openxmlformats.org/officeDocument/2006/relationships/control" Target="activeX/activeX41.xml"/><Relationship Id="rId93" Type="http://schemas.openxmlformats.org/officeDocument/2006/relationships/image" Target="media/image38.wmf"/><Relationship Id="rId92" Type="http://schemas.openxmlformats.org/officeDocument/2006/relationships/control" Target="activeX/activeX40.xml"/><Relationship Id="rId91" Type="http://schemas.openxmlformats.org/officeDocument/2006/relationships/image" Target="media/image37.wmf"/><Relationship Id="rId90" Type="http://schemas.openxmlformats.org/officeDocument/2006/relationships/control" Target="activeX/activeX39.xml"/><Relationship Id="rId9" Type="http://schemas.openxmlformats.org/officeDocument/2006/relationships/header" Target="header2.xml"/><Relationship Id="rId89" Type="http://schemas.openxmlformats.org/officeDocument/2006/relationships/image" Target="media/image36.wmf"/><Relationship Id="rId88" Type="http://schemas.openxmlformats.org/officeDocument/2006/relationships/control" Target="activeX/activeX38.xml"/><Relationship Id="rId87" Type="http://schemas.openxmlformats.org/officeDocument/2006/relationships/image" Target="media/image35.wmf"/><Relationship Id="rId86" Type="http://schemas.openxmlformats.org/officeDocument/2006/relationships/control" Target="activeX/activeX37.xml"/><Relationship Id="rId85" Type="http://schemas.openxmlformats.org/officeDocument/2006/relationships/image" Target="media/image34.wmf"/><Relationship Id="rId84" Type="http://schemas.openxmlformats.org/officeDocument/2006/relationships/control" Target="activeX/activeX36.xml"/><Relationship Id="rId83" Type="http://schemas.openxmlformats.org/officeDocument/2006/relationships/image" Target="media/image33.wmf"/><Relationship Id="rId82" Type="http://schemas.openxmlformats.org/officeDocument/2006/relationships/control" Target="activeX/activeX35.xml"/><Relationship Id="rId81" Type="http://schemas.openxmlformats.org/officeDocument/2006/relationships/image" Target="media/image32.wmf"/><Relationship Id="rId80" Type="http://schemas.openxmlformats.org/officeDocument/2006/relationships/control" Target="activeX/activeX34.xml"/><Relationship Id="rId8" Type="http://schemas.openxmlformats.org/officeDocument/2006/relationships/footer" Target="footer5.xml"/><Relationship Id="rId79" Type="http://schemas.openxmlformats.org/officeDocument/2006/relationships/image" Target="media/image31.wmf"/><Relationship Id="rId78" Type="http://schemas.openxmlformats.org/officeDocument/2006/relationships/control" Target="activeX/activeX33.xml"/><Relationship Id="rId77" Type="http://schemas.openxmlformats.org/officeDocument/2006/relationships/control" Target="activeX/activeX32.xml"/><Relationship Id="rId76" Type="http://schemas.openxmlformats.org/officeDocument/2006/relationships/image" Target="media/image30.wmf"/><Relationship Id="rId75" Type="http://schemas.openxmlformats.org/officeDocument/2006/relationships/control" Target="activeX/activeX31.xml"/><Relationship Id="rId74" Type="http://schemas.openxmlformats.org/officeDocument/2006/relationships/image" Target="media/image29.wmf"/><Relationship Id="rId73" Type="http://schemas.openxmlformats.org/officeDocument/2006/relationships/control" Target="activeX/activeX30.xml"/><Relationship Id="rId72" Type="http://schemas.openxmlformats.org/officeDocument/2006/relationships/image" Target="media/image28.wmf"/><Relationship Id="rId71" Type="http://schemas.openxmlformats.org/officeDocument/2006/relationships/control" Target="activeX/activeX29.xml"/><Relationship Id="rId70" Type="http://schemas.openxmlformats.org/officeDocument/2006/relationships/control" Target="activeX/activeX28.xml"/><Relationship Id="rId7" Type="http://schemas.openxmlformats.org/officeDocument/2006/relationships/header" Target="header1.xml"/><Relationship Id="rId69" Type="http://schemas.openxmlformats.org/officeDocument/2006/relationships/image" Target="media/image27.wmf"/><Relationship Id="rId68" Type="http://schemas.openxmlformats.org/officeDocument/2006/relationships/control" Target="activeX/activeX27.xml"/><Relationship Id="rId67" Type="http://schemas.openxmlformats.org/officeDocument/2006/relationships/image" Target="media/image26.wmf"/><Relationship Id="rId66" Type="http://schemas.openxmlformats.org/officeDocument/2006/relationships/control" Target="activeX/activeX26.xml"/><Relationship Id="rId65" Type="http://schemas.openxmlformats.org/officeDocument/2006/relationships/image" Target="media/image25.wmf"/><Relationship Id="rId64" Type="http://schemas.openxmlformats.org/officeDocument/2006/relationships/control" Target="activeX/activeX25.xml"/><Relationship Id="rId63" Type="http://schemas.openxmlformats.org/officeDocument/2006/relationships/image" Target="media/image24.wmf"/><Relationship Id="rId62" Type="http://schemas.openxmlformats.org/officeDocument/2006/relationships/control" Target="activeX/activeX24.xml"/><Relationship Id="rId61" Type="http://schemas.openxmlformats.org/officeDocument/2006/relationships/image" Target="media/image23.wmf"/><Relationship Id="rId60" Type="http://schemas.openxmlformats.org/officeDocument/2006/relationships/control" Target="activeX/activeX23.xml"/><Relationship Id="rId6" Type="http://schemas.openxmlformats.org/officeDocument/2006/relationships/footer" Target="footer4.xml"/><Relationship Id="rId59" Type="http://schemas.openxmlformats.org/officeDocument/2006/relationships/image" Target="media/image22.wmf"/><Relationship Id="rId58" Type="http://schemas.openxmlformats.org/officeDocument/2006/relationships/control" Target="activeX/activeX22.xml"/><Relationship Id="rId57" Type="http://schemas.openxmlformats.org/officeDocument/2006/relationships/image" Target="media/image21.wmf"/><Relationship Id="rId56" Type="http://schemas.openxmlformats.org/officeDocument/2006/relationships/control" Target="activeX/activeX21.xml"/><Relationship Id="rId55" Type="http://schemas.openxmlformats.org/officeDocument/2006/relationships/image" Target="media/image20.wmf"/><Relationship Id="rId54" Type="http://schemas.openxmlformats.org/officeDocument/2006/relationships/control" Target="activeX/activeX20.xml"/><Relationship Id="rId53" Type="http://schemas.openxmlformats.org/officeDocument/2006/relationships/image" Target="media/image19.wmf"/><Relationship Id="rId52" Type="http://schemas.openxmlformats.org/officeDocument/2006/relationships/control" Target="activeX/activeX19.xml"/><Relationship Id="rId51" Type="http://schemas.openxmlformats.org/officeDocument/2006/relationships/image" Target="media/image18.wmf"/><Relationship Id="rId50" Type="http://schemas.openxmlformats.org/officeDocument/2006/relationships/control" Target="activeX/activeX18.xml"/><Relationship Id="rId5" Type="http://schemas.openxmlformats.org/officeDocument/2006/relationships/footer" Target="footer3.xml"/><Relationship Id="rId49" Type="http://schemas.openxmlformats.org/officeDocument/2006/relationships/image" Target="media/image17.wmf"/><Relationship Id="rId48" Type="http://schemas.openxmlformats.org/officeDocument/2006/relationships/control" Target="activeX/activeX17.xml"/><Relationship Id="rId47" Type="http://schemas.openxmlformats.org/officeDocument/2006/relationships/image" Target="media/image16.wmf"/><Relationship Id="rId46" Type="http://schemas.openxmlformats.org/officeDocument/2006/relationships/control" Target="activeX/activeX16.xml"/><Relationship Id="rId45" Type="http://schemas.openxmlformats.org/officeDocument/2006/relationships/image" Target="media/image15.wmf"/><Relationship Id="rId44" Type="http://schemas.openxmlformats.org/officeDocument/2006/relationships/control" Target="activeX/activeX15.xml"/><Relationship Id="rId43" Type="http://schemas.openxmlformats.org/officeDocument/2006/relationships/image" Target="media/image14.wmf"/><Relationship Id="rId42" Type="http://schemas.openxmlformats.org/officeDocument/2006/relationships/control" Target="activeX/activeX14.xml"/><Relationship Id="rId41" Type="http://schemas.openxmlformats.org/officeDocument/2006/relationships/image" Target="media/image13.wmf"/><Relationship Id="rId40" Type="http://schemas.openxmlformats.org/officeDocument/2006/relationships/control" Target="activeX/activeX13.xml"/><Relationship Id="rId4" Type="http://schemas.openxmlformats.org/officeDocument/2006/relationships/footer" Target="footer2.xml"/><Relationship Id="rId39" Type="http://schemas.openxmlformats.org/officeDocument/2006/relationships/image" Target="media/image12.wmf"/><Relationship Id="rId38" Type="http://schemas.openxmlformats.org/officeDocument/2006/relationships/control" Target="activeX/activeX12.xml"/><Relationship Id="rId37" Type="http://schemas.openxmlformats.org/officeDocument/2006/relationships/image" Target="media/image11.wmf"/><Relationship Id="rId36" Type="http://schemas.openxmlformats.org/officeDocument/2006/relationships/control" Target="activeX/activeX11.xml"/><Relationship Id="rId35" Type="http://schemas.openxmlformats.org/officeDocument/2006/relationships/image" Target="media/image10.wmf"/><Relationship Id="rId34" Type="http://schemas.openxmlformats.org/officeDocument/2006/relationships/control" Target="activeX/activeX10.xml"/><Relationship Id="rId33" Type="http://schemas.openxmlformats.org/officeDocument/2006/relationships/image" Target="media/image9.wmf"/><Relationship Id="rId32" Type="http://schemas.openxmlformats.org/officeDocument/2006/relationships/control" Target="activeX/activeX9.xml"/><Relationship Id="rId31" Type="http://schemas.openxmlformats.org/officeDocument/2006/relationships/image" Target="media/image8.wmf"/><Relationship Id="rId30" Type="http://schemas.openxmlformats.org/officeDocument/2006/relationships/control" Target="activeX/activeX8.xml"/><Relationship Id="rId3" Type="http://schemas.openxmlformats.org/officeDocument/2006/relationships/footer" Target="footer1.xml"/><Relationship Id="rId29" Type="http://schemas.openxmlformats.org/officeDocument/2006/relationships/image" Target="media/image7.wmf"/><Relationship Id="rId28" Type="http://schemas.openxmlformats.org/officeDocument/2006/relationships/control" Target="activeX/activeX7.xml"/><Relationship Id="rId27" Type="http://schemas.openxmlformats.org/officeDocument/2006/relationships/image" Target="media/image6.wmf"/><Relationship Id="rId26" Type="http://schemas.openxmlformats.org/officeDocument/2006/relationships/control" Target="activeX/activeX6.xml"/><Relationship Id="rId25" Type="http://schemas.openxmlformats.org/officeDocument/2006/relationships/image" Target="media/image5.wmf"/><Relationship Id="rId246" Type="http://schemas.openxmlformats.org/officeDocument/2006/relationships/fontTable" Target="fontTable.xml"/><Relationship Id="rId245" Type="http://schemas.openxmlformats.org/officeDocument/2006/relationships/numbering" Target="numbering.xml"/><Relationship Id="rId244" Type="http://schemas.openxmlformats.org/officeDocument/2006/relationships/customXml" Target="../customXml/item1.xml"/><Relationship Id="rId243" Type="http://schemas.openxmlformats.org/officeDocument/2006/relationships/control" Target="activeX/activeX146.xml"/><Relationship Id="rId242" Type="http://schemas.openxmlformats.org/officeDocument/2006/relationships/control" Target="activeX/activeX145.xml"/><Relationship Id="rId241" Type="http://schemas.openxmlformats.org/officeDocument/2006/relationships/control" Target="activeX/activeX144.xml"/><Relationship Id="rId240" Type="http://schemas.openxmlformats.org/officeDocument/2006/relationships/control" Target="activeX/activeX143.xml"/><Relationship Id="rId24" Type="http://schemas.openxmlformats.org/officeDocument/2006/relationships/control" Target="activeX/activeX5.xml"/><Relationship Id="rId239" Type="http://schemas.openxmlformats.org/officeDocument/2006/relationships/control" Target="activeX/activeX142.xml"/><Relationship Id="rId238" Type="http://schemas.openxmlformats.org/officeDocument/2006/relationships/control" Target="activeX/activeX141.xml"/><Relationship Id="rId237" Type="http://schemas.openxmlformats.org/officeDocument/2006/relationships/control" Target="activeX/activeX140.xml"/><Relationship Id="rId236" Type="http://schemas.openxmlformats.org/officeDocument/2006/relationships/control" Target="activeX/activeX139.xml"/><Relationship Id="rId235" Type="http://schemas.openxmlformats.org/officeDocument/2006/relationships/control" Target="activeX/activeX138.xml"/><Relationship Id="rId234" Type="http://schemas.openxmlformats.org/officeDocument/2006/relationships/control" Target="activeX/activeX137.xml"/><Relationship Id="rId233" Type="http://schemas.openxmlformats.org/officeDocument/2006/relationships/control" Target="activeX/activeX136.xml"/><Relationship Id="rId232" Type="http://schemas.openxmlformats.org/officeDocument/2006/relationships/control" Target="activeX/activeX135.xml"/><Relationship Id="rId231" Type="http://schemas.openxmlformats.org/officeDocument/2006/relationships/control" Target="activeX/activeX134.xml"/><Relationship Id="rId230" Type="http://schemas.openxmlformats.org/officeDocument/2006/relationships/control" Target="activeX/activeX133.xml"/><Relationship Id="rId23" Type="http://schemas.openxmlformats.org/officeDocument/2006/relationships/image" Target="media/image4.wmf"/><Relationship Id="rId229" Type="http://schemas.openxmlformats.org/officeDocument/2006/relationships/control" Target="activeX/activeX132.xml"/><Relationship Id="rId228" Type="http://schemas.openxmlformats.org/officeDocument/2006/relationships/control" Target="activeX/activeX131.xml"/><Relationship Id="rId227" Type="http://schemas.openxmlformats.org/officeDocument/2006/relationships/control" Target="activeX/activeX130.xml"/><Relationship Id="rId226" Type="http://schemas.openxmlformats.org/officeDocument/2006/relationships/control" Target="activeX/activeX129.xml"/><Relationship Id="rId225" Type="http://schemas.openxmlformats.org/officeDocument/2006/relationships/image" Target="media/image82.png"/><Relationship Id="rId224" Type="http://schemas.openxmlformats.org/officeDocument/2006/relationships/control" Target="activeX/activeX128.xml"/><Relationship Id="rId223" Type="http://schemas.openxmlformats.org/officeDocument/2006/relationships/control" Target="activeX/activeX127.xml"/><Relationship Id="rId222" Type="http://schemas.openxmlformats.org/officeDocument/2006/relationships/control" Target="activeX/activeX126.xml"/><Relationship Id="rId221" Type="http://schemas.openxmlformats.org/officeDocument/2006/relationships/control" Target="activeX/activeX125.xml"/><Relationship Id="rId220" Type="http://schemas.openxmlformats.org/officeDocument/2006/relationships/control" Target="activeX/activeX124.xml"/><Relationship Id="rId22" Type="http://schemas.openxmlformats.org/officeDocument/2006/relationships/control" Target="activeX/activeX4.xml"/><Relationship Id="rId219" Type="http://schemas.openxmlformats.org/officeDocument/2006/relationships/control" Target="activeX/activeX123.xml"/><Relationship Id="rId218" Type="http://schemas.openxmlformats.org/officeDocument/2006/relationships/control" Target="activeX/activeX122.xml"/><Relationship Id="rId217" Type="http://schemas.openxmlformats.org/officeDocument/2006/relationships/control" Target="activeX/activeX121.xml"/><Relationship Id="rId216" Type="http://schemas.openxmlformats.org/officeDocument/2006/relationships/control" Target="activeX/activeX120.xml"/><Relationship Id="rId215" Type="http://schemas.openxmlformats.org/officeDocument/2006/relationships/control" Target="activeX/activeX119.xml"/><Relationship Id="rId214" Type="http://schemas.openxmlformats.org/officeDocument/2006/relationships/control" Target="activeX/activeX118.xml"/><Relationship Id="rId213" Type="http://schemas.openxmlformats.org/officeDocument/2006/relationships/control" Target="activeX/activeX117.xml"/><Relationship Id="rId212" Type="http://schemas.openxmlformats.org/officeDocument/2006/relationships/control" Target="activeX/activeX116.xml"/><Relationship Id="rId211" Type="http://schemas.openxmlformats.org/officeDocument/2006/relationships/control" Target="activeX/activeX115.xml"/><Relationship Id="rId210" Type="http://schemas.openxmlformats.org/officeDocument/2006/relationships/control" Target="activeX/activeX114.xml"/><Relationship Id="rId21" Type="http://schemas.openxmlformats.org/officeDocument/2006/relationships/image" Target="media/image3.wmf"/><Relationship Id="rId209" Type="http://schemas.openxmlformats.org/officeDocument/2006/relationships/control" Target="activeX/activeX113.xml"/><Relationship Id="rId208" Type="http://schemas.openxmlformats.org/officeDocument/2006/relationships/control" Target="activeX/activeX112.xml"/><Relationship Id="rId207" Type="http://schemas.openxmlformats.org/officeDocument/2006/relationships/control" Target="activeX/activeX111.xml"/><Relationship Id="rId206" Type="http://schemas.openxmlformats.org/officeDocument/2006/relationships/control" Target="activeX/activeX110.xml"/><Relationship Id="rId205" Type="http://schemas.openxmlformats.org/officeDocument/2006/relationships/control" Target="activeX/activeX109.xml"/><Relationship Id="rId204" Type="http://schemas.openxmlformats.org/officeDocument/2006/relationships/control" Target="activeX/activeX108.xml"/><Relationship Id="rId203" Type="http://schemas.openxmlformats.org/officeDocument/2006/relationships/control" Target="activeX/activeX107.xml"/><Relationship Id="rId202" Type="http://schemas.openxmlformats.org/officeDocument/2006/relationships/control" Target="activeX/activeX106.xml"/><Relationship Id="rId201" Type="http://schemas.openxmlformats.org/officeDocument/2006/relationships/control" Target="activeX/activeX105.xml"/><Relationship Id="rId200" Type="http://schemas.openxmlformats.org/officeDocument/2006/relationships/control" Target="activeX/activeX104.xml"/><Relationship Id="rId20" Type="http://schemas.openxmlformats.org/officeDocument/2006/relationships/control" Target="activeX/activeX3.xml"/><Relationship Id="rId2" Type="http://schemas.openxmlformats.org/officeDocument/2006/relationships/settings" Target="settings.xml"/><Relationship Id="rId199" Type="http://schemas.openxmlformats.org/officeDocument/2006/relationships/control" Target="activeX/activeX103.xml"/><Relationship Id="rId198" Type="http://schemas.openxmlformats.org/officeDocument/2006/relationships/image" Target="media/image81.wmf"/><Relationship Id="rId197" Type="http://schemas.openxmlformats.org/officeDocument/2006/relationships/control" Target="activeX/activeX102.xml"/><Relationship Id="rId196" Type="http://schemas.openxmlformats.org/officeDocument/2006/relationships/control" Target="activeX/activeX101.xml"/><Relationship Id="rId195" Type="http://schemas.openxmlformats.org/officeDocument/2006/relationships/control" Target="activeX/activeX100.xml"/><Relationship Id="rId194" Type="http://schemas.openxmlformats.org/officeDocument/2006/relationships/control" Target="activeX/activeX99.xml"/><Relationship Id="rId193" Type="http://schemas.openxmlformats.org/officeDocument/2006/relationships/control" Target="activeX/activeX98.xml"/><Relationship Id="rId192" Type="http://schemas.openxmlformats.org/officeDocument/2006/relationships/control" Target="activeX/activeX97.xml"/><Relationship Id="rId191" Type="http://schemas.openxmlformats.org/officeDocument/2006/relationships/control" Target="activeX/activeX96.xml"/><Relationship Id="rId190" Type="http://schemas.openxmlformats.org/officeDocument/2006/relationships/control" Target="activeX/activeX95.xml"/><Relationship Id="rId19" Type="http://schemas.openxmlformats.org/officeDocument/2006/relationships/image" Target="media/image2.wmf"/><Relationship Id="rId189" Type="http://schemas.openxmlformats.org/officeDocument/2006/relationships/control" Target="activeX/activeX94.xml"/><Relationship Id="rId188" Type="http://schemas.openxmlformats.org/officeDocument/2006/relationships/image" Target="media/image80.jpeg"/><Relationship Id="rId187" Type="http://schemas.openxmlformats.org/officeDocument/2006/relationships/image" Target="media/image79.jpeg"/><Relationship Id="rId186" Type="http://schemas.openxmlformats.org/officeDocument/2006/relationships/image" Target="media/image78.jpeg"/><Relationship Id="rId185" Type="http://schemas.openxmlformats.org/officeDocument/2006/relationships/image" Target="media/image77.wmf"/><Relationship Id="rId184" Type="http://schemas.openxmlformats.org/officeDocument/2006/relationships/control" Target="activeX/activeX93.xml"/><Relationship Id="rId183" Type="http://schemas.openxmlformats.org/officeDocument/2006/relationships/control" Target="activeX/activeX92.xml"/><Relationship Id="rId182" Type="http://schemas.openxmlformats.org/officeDocument/2006/relationships/control" Target="activeX/activeX91.xml"/><Relationship Id="rId181" Type="http://schemas.openxmlformats.org/officeDocument/2006/relationships/control" Target="activeX/activeX90.xml"/><Relationship Id="rId180" Type="http://schemas.openxmlformats.org/officeDocument/2006/relationships/control" Target="activeX/activeX89.xml"/><Relationship Id="rId18" Type="http://schemas.openxmlformats.org/officeDocument/2006/relationships/control" Target="activeX/activeX2.xml"/><Relationship Id="rId179" Type="http://schemas.openxmlformats.org/officeDocument/2006/relationships/control" Target="activeX/activeX88.xml"/><Relationship Id="rId178" Type="http://schemas.openxmlformats.org/officeDocument/2006/relationships/control" Target="activeX/activeX87.xml"/><Relationship Id="rId177" Type="http://schemas.openxmlformats.org/officeDocument/2006/relationships/control" Target="activeX/activeX86.xml"/><Relationship Id="rId176" Type="http://schemas.openxmlformats.org/officeDocument/2006/relationships/control" Target="activeX/activeX85.xml"/><Relationship Id="rId175" Type="http://schemas.openxmlformats.org/officeDocument/2006/relationships/control" Target="activeX/activeX84.xml"/><Relationship Id="rId174" Type="http://schemas.openxmlformats.org/officeDocument/2006/relationships/control" Target="activeX/activeX83.xml"/><Relationship Id="rId173" Type="http://schemas.openxmlformats.org/officeDocument/2006/relationships/control" Target="activeX/activeX82.xml"/><Relationship Id="rId172" Type="http://schemas.openxmlformats.org/officeDocument/2006/relationships/control" Target="activeX/activeX81.xml"/><Relationship Id="rId171" Type="http://schemas.openxmlformats.org/officeDocument/2006/relationships/image" Target="media/image76.wmf"/><Relationship Id="rId170" Type="http://schemas.openxmlformats.org/officeDocument/2006/relationships/control" Target="activeX/activeX80.xml"/><Relationship Id="rId17" Type="http://schemas.openxmlformats.org/officeDocument/2006/relationships/image" Target="media/image1.wmf"/><Relationship Id="rId169" Type="http://schemas.openxmlformats.org/officeDocument/2006/relationships/image" Target="media/image75.wmf"/><Relationship Id="rId168" Type="http://schemas.openxmlformats.org/officeDocument/2006/relationships/control" Target="activeX/activeX79.xml"/><Relationship Id="rId167" Type="http://schemas.openxmlformats.org/officeDocument/2006/relationships/image" Target="media/image74.wmf"/><Relationship Id="rId166" Type="http://schemas.openxmlformats.org/officeDocument/2006/relationships/control" Target="activeX/activeX78.xml"/><Relationship Id="rId165" Type="http://schemas.openxmlformats.org/officeDocument/2006/relationships/image" Target="media/image73.wmf"/><Relationship Id="rId164" Type="http://schemas.openxmlformats.org/officeDocument/2006/relationships/control" Target="activeX/activeX77.xml"/><Relationship Id="rId163" Type="http://schemas.openxmlformats.org/officeDocument/2006/relationships/image" Target="media/image72.wmf"/><Relationship Id="rId162" Type="http://schemas.openxmlformats.org/officeDocument/2006/relationships/control" Target="activeX/activeX76.xml"/><Relationship Id="rId161" Type="http://schemas.openxmlformats.org/officeDocument/2006/relationships/image" Target="media/image71.wmf"/><Relationship Id="rId160" Type="http://schemas.openxmlformats.org/officeDocument/2006/relationships/control" Target="activeX/activeX75.xml"/><Relationship Id="rId16" Type="http://schemas.openxmlformats.org/officeDocument/2006/relationships/control" Target="activeX/activeX1.xml"/><Relationship Id="rId159" Type="http://schemas.openxmlformats.org/officeDocument/2006/relationships/image" Target="media/image70.wmf"/><Relationship Id="rId158" Type="http://schemas.openxmlformats.org/officeDocument/2006/relationships/control" Target="activeX/activeX74.xml"/><Relationship Id="rId157" Type="http://schemas.openxmlformats.org/officeDocument/2006/relationships/image" Target="media/image69.wmf"/><Relationship Id="rId156" Type="http://schemas.openxmlformats.org/officeDocument/2006/relationships/control" Target="activeX/activeX73.xml"/><Relationship Id="rId155" Type="http://schemas.openxmlformats.org/officeDocument/2006/relationships/image" Target="media/image68.wmf"/><Relationship Id="rId154" Type="http://schemas.openxmlformats.org/officeDocument/2006/relationships/control" Target="activeX/activeX72.xml"/><Relationship Id="rId153" Type="http://schemas.openxmlformats.org/officeDocument/2006/relationships/image" Target="media/image67.wmf"/><Relationship Id="rId152" Type="http://schemas.openxmlformats.org/officeDocument/2006/relationships/control" Target="activeX/activeX71.xml"/><Relationship Id="rId151" Type="http://schemas.openxmlformats.org/officeDocument/2006/relationships/image" Target="media/image66.wmf"/><Relationship Id="rId150" Type="http://schemas.openxmlformats.org/officeDocument/2006/relationships/control" Target="activeX/activeX70.xml"/><Relationship Id="rId15" Type="http://schemas.openxmlformats.org/officeDocument/2006/relationships/theme" Target="theme/theme1.xml"/><Relationship Id="rId149" Type="http://schemas.openxmlformats.org/officeDocument/2006/relationships/image" Target="media/image65.wmf"/><Relationship Id="rId148" Type="http://schemas.openxmlformats.org/officeDocument/2006/relationships/control" Target="activeX/activeX69.xml"/><Relationship Id="rId147" Type="http://schemas.openxmlformats.org/officeDocument/2006/relationships/image" Target="media/image64.wmf"/><Relationship Id="rId146" Type="http://schemas.openxmlformats.org/officeDocument/2006/relationships/control" Target="activeX/activeX68.xml"/><Relationship Id="rId145" Type="http://schemas.openxmlformats.org/officeDocument/2006/relationships/image" Target="media/image63.wmf"/><Relationship Id="rId144" Type="http://schemas.openxmlformats.org/officeDocument/2006/relationships/control" Target="activeX/activeX67.xml"/><Relationship Id="rId143" Type="http://schemas.openxmlformats.org/officeDocument/2006/relationships/image" Target="media/image62.wmf"/><Relationship Id="rId142" Type="http://schemas.openxmlformats.org/officeDocument/2006/relationships/control" Target="activeX/activeX66.xml"/><Relationship Id="rId141" Type="http://schemas.openxmlformats.org/officeDocument/2006/relationships/image" Target="media/image61.wmf"/><Relationship Id="rId140" Type="http://schemas.openxmlformats.org/officeDocument/2006/relationships/control" Target="activeX/activeX65.xml"/><Relationship Id="rId14" Type="http://schemas.openxmlformats.org/officeDocument/2006/relationships/footer" Target="footer8.xml"/><Relationship Id="rId139" Type="http://schemas.openxmlformats.org/officeDocument/2006/relationships/image" Target="media/image60.wmf"/><Relationship Id="rId138" Type="http://schemas.openxmlformats.org/officeDocument/2006/relationships/control" Target="activeX/activeX64.xml"/><Relationship Id="rId137" Type="http://schemas.openxmlformats.org/officeDocument/2006/relationships/image" Target="media/image59.wmf"/><Relationship Id="rId136" Type="http://schemas.openxmlformats.org/officeDocument/2006/relationships/control" Target="activeX/activeX63.xml"/><Relationship Id="rId135" Type="http://schemas.openxmlformats.org/officeDocument/2006/relationships/image" Target="media/image58.wmf"/><Relationship Id="rId134" Type="http://schemas.openxmlformats.org/officeDocument/2006/relationships/control" Target="activeX/activeX62.xml"/><Relationship Id="rId133" Type="http://schemas.openxmlformats.org/officeDocument/2006/relationships/image" Target="media/image57.wmf"/><Relationship Id="rId132" Type="http://schemas.openxmlformats.org/officeDocument/2006/relationships/control" Target="activeX/activeX61.xml"/><Relationship Id="rId131" Type="http://schemas.openxmlformats.org/officeDocument/2006/relationships/image" Target="media/image56.wmf"/><Relationship Id="rId130" Type="http://schemas.openxmlformats.org/officeDocument/2006/relationships/control" Target="activeX/activeX60.xml"/><Relationship Id="rId13" Type="http://schemas.openxmlformats.org/officeDocument/2006/relationships/header" Target="header4.xml"/><Relationship Id="rId129" Type="http://schemas.openxmlformats.org/officeDocument/2006/relationships/image" Target="media/image55.wmf"/><Relationship Id="rId128" Type="http://schemas.openxmlformats.org/officeDocument/2006/relationships/control" Target="activeX/activeX59.xml"/><Relationship Id="rId127" Type="http://schemas.openxmlformats.org/officeDocument/2006/relationships/image" Target="media/image54.wmf"/><Relationship Id="rId126" Type="http://schemas.openxmlformats.org/officeDocument/2006/relationships/control" Target="activeX/activeX58.xml"/><Relationship Id="rId125" Type="http://schemas.openxmlformats.org/officeDocument/2006/relationships/image" Target="media/image53.wmf"/><Relationship Id="rId124" Type="http://schemas.openxmlformats.org/officeDocument/2006/relationships/control" Target="activeX/activeX57.xml"/><Relationship Id="rId123" Type="http://schemas.openxmlformats.org/officeDocument/2006/relationships/image" Target="media/image52.wmf"/><Relationship Id="rId122" Type="http://schemas.openxmlformats.org/officeDocument/2006/relationships/control" Target="activeX/activeX56.xml"/><Relationship Id="rId121" Type="http://schemas.openxmlformats.org/officeDocument/2006/relationships/image" Target="media/image51.wmf"/><Relationship Id="rId120" Type="http://schemas.openxmlformats.org/officeDocument/2006/relationships/control" Target="activeX/activeX55.xml"/><Relationship Id="rId12" Type="http://schemas.openxmlformats.org/officeDocument/2006/relationships/footer" Target="footer7.xml"/><Relationship Id="rId119" Type="http://schemas.openxmlformats.org/officeDocument/2006/relationships/image" Target="media/image50.wmf"/><Relationship Id="rId118" Type="http://schemas.openxmlformats.org/officeDocument/2006/relationships/control" Target="activeX/activeX54.xml"/><Relationship Id="rId117" Type="http://schemas.openxmlformats.org/officeDocument/2006/relationships/image" Target="media/image49.wmf"/><Relationship Id="rId116" Type="http://schemas.openxmlformats.org/officeDocument/2006/relationships/control" Target="activeX/activeX53.xml"/><Relationship Id="rId115" Type="http://schemas.openxmlformats.org/officeDocument/2006/relationships/image" Target="media/image48.wmf"/><Relationship Id="rId114" Type="http://schemas.openxmlformats.org/officeDocument/2006/relationships/control" Target="activeX/activeX52.xml"/><Relationship Id="rId113" Type="http://schemas.openxmlformats.org/officeDocument/2006/relationships/image" Target="media/image47.wmf"/><Relationship Id="rId112" Type="http://schemas.openxmlformats.org/officeDocument/2006/relationships/control" Target="activeX/activeX51.xml"/><Relationship Id="rId111" Type="http://schemas.openxmlformats.org/officeDocument/2006/relationships/image" Target="media/image46.wmf"/><Relationship Id="rId110" Type="http://schemas.openxmlformats.org/officeDocument/2006/relationships/control" Target="activeX/activeX50.xml"/><Relationship Id="rId11" Type="http://schemas.openxmlformats.org/officeDocument/2006/relationships/header" Target="header3.xml"/><Relationship Id="rId109" Type="http://schemas.openxmlformats.org/officeDocument/2006/relationships/image" Target="media/image45.wmf"/><Relationship Id="rId108" Type="http://schemas.openxmlformats.org/officeDocument/2006/relationships/control" Target="activeX/activeX49.xml"/><Relationship Id="rId107" Type="http://schemas.openxmlformats.org/officeDocument/2006/relationships/image" Target="media/image44.wmf"/><Relationship Id="rId106" Type="http://schemas.openxmlformats.org/officeDocument/2006/relationships/control" Target="activeX/activeX48.xml"/><Relationship Id="rId105" Type="http://schemas.openxmlformats.org/officeDocument/2006/relationships/image" Target="media/image43.wmf"/><Relationship Id="rId104" Type="http://schemas.openxmlformats.org/officeDocument/2006/relationships/control" Target="activeX/activeX47.xml"/><Relationship Id="rId103" Type="http://schemas.openxmlformats.org/officeDocument/2006/relationships/image" Target="media/image42.wmf"/><Relationship Id="rId102" Type="http://schemas.openxmlformats.org/officeDocument/2006/relationships/control" Target="activeX/activeX46.xml"/><Relationship Id="rId101" Type="http://schemas.openxmlformats.org/officeDocument/2006/relationships/image" Target="media/image41.wmf"/><Relationship Id="rId100" Type="http://schemas.openxmlformats.org/officeDocument/2006/relationships/control" Target="activeX/activeX45.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0.xml.rels><?xml version="1.0" encoding="UTF-8" standalone="yes"?>
<Relationships xmlns="http://schemas.openxmlformats.org/package/2006/relationships"><Relationship Id="rId1" Type="http://schemas.microsoft.com/office/2006/relationships/activeXControlBinary" Target="activeX43.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66.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67.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41.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3.xml.rels><?xml version="1.0" encoding="UTF-8" standalone="yes"?>
<Relationships xmlns="http://schemas.openxmlformats.org/package/2006/relationships"><Relationship Id="rId1" Type="http://schemas.microsoft.com/office/2006/relationships/activeXControlBinary" Target="activeX50.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36.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46.bin"/></Relationships>
</file>

<file path=word/activeX/_rels/activeX16.xml.rels><?xml version="1.0" encoding="UTF-8" standalone="yes"?>
<Relationships xmlns="http://schemas.openxmlformats.org/package/2006/relationships"><Relationship Id="rId1" Type="http://schemas.microsoft.com/office/2006/relationships/activeXControlBinary" Target="activeX47.bin"/></Relationships>
</file>

<file path=word/activeX/_rels/activeX1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40.bin"/></Relationships>
</file>

<file path=word/activeX/_rels/activeX2.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0.xml.rels><?xml version="1.0" encoding="UTF-8" standalone="yes"?>
<Relationships xmlns="http://schemas.openxmlformats.org/package/2006/relationships"><Relationship Id="rId1" Type="http://schemas.microsoft.com/office/2006/relationships/activeXControlBinary" Target="activeX4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8.bin"/></Relationships>
</file>

<file path=word/activeX/_rels/activeX23.xml.rels><?xml version="1.0" encoding="UTF-8" standalone="yes"?>
<Relationships xmlns="http://schemas.openxmlformats.org/package/2006/relationships"><Relationship Id="rId1" Type="http://schemas.microsoft.com/office/2006/relationships/activeXControlBinary" Target="activeX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9.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3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7.xml.rels><?xml version="1.0" encoding="UTF-8" standalone="yes"?>
<Relationships xmlns="http://schemas.openxmlformats.org/package/2006/relationships"><Relationship Id="rId1" Type="http://schemas.microsoft.com/office/2006/relationships/activeXControlBinary" Target="activeX6.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1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7.bin"/></Relationships>
</file>

<file path=word/activeX/_rels/activeX41.xml.rels><?xml version="1.0" encoding="UTF-8" standalone="yes"?>
<Relationships xmlns="http://schemas.openxmlformats.org/package/2006/relationships"><Relationship Id="rId1" Type="http://schemas.microsoft.com/office/2006/relationships/activeXControlBinary" Target="activeX1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1.bin"/></Relationships>
</file>

<file path=word/activeX/_rels/activeX45.xml.rels><?xml version="1.0" encoding="UTF-8" standalone="yes"?>
<Relationships xmlns="http://schemas.openxmlformats.org/package/2006/relationships"><Relationship Id="rId1" Type="http://schemas.microsoft.com/office/2006/relationships/activeXControlBinary" Target="activeX1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bin"/></Relationships>
</file>

<file path=word/activeX/_rels/activeX47.xml.rels><?xml version="1.0" encoding="UTF-8" standalone="yes"?>
<Relationships xmlns="http://schemas.openxmlformats.org/package/2006/relationships"><Relationship Id="rId1" Type="http://schemas.microsoft.com/office/2006/relationships/activeXControlBinary" Target="activeX29.bin"/></Relationships>
</file>

<file path=word/activeX/_rels/activeX48.xml.rels><?xml version="1.0" encoding="UTF-8" standalone="yes"?>
<Relationships xmlns="http://schemas.openxmlformats.org/package/2006/relationships"><Relationship Id="rId1" Type="http://schemas.microsoft.com/office/2006/relationships/activeXControlBinary" Target="activeX22.bin"/></Relationships>
</file>

<file path=word/activeX/_rels/activeX49.xml.rels><?xml version="1.0" encoding="UTF-8" standalone="yes"?>
<Relationships xmlns="http://schemas.openxmlformats.org/package/2006/relationships"><Relationship Id="rId1" Type="http://schemas.microsoft.com/office/2006/relationships/activeXControlBinary" Target="activeX2.bin"/></Relationships>
</file>

<file path=word/activeX/_rels/activeX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23.bin"/></Relationships>
</file>

<file path=word/activeX/_rels/activeX51.xml.rels><?xml version="1.0" encoding="UTF-8" standalone="yes"?>
<Relationships xmlns="http://schemas.openxmlformats.org/package/2006/relationships"><Relationship Id="rId1" Type="http://schemas.microsoft.com/office/2006/relationships/activeXControlBinary" Target="activeX30.bin"/></Relationships>
</file>

<file path=word/activeX/_rels/activeX52.xml.rels><?xml version="1.0" encoding="UTF-8" standalone="yes"?>
<Relationships xmlns="http://schemas.openxmlformats.org/package/2006/relationships"><Relationship Id="rId1" Type="http://schemas.microsoft.com/office/2006/relationships/activeXControlBinary" Target="activeX31.bin"/></Relationships>
</file>

<file path=word/activeX/_rels/activeX53.xml.rels><?xml version="1.0" encoding="UTF-8" standalone="yes"?>
<Relationships xmlns="http://schemas.openxmlformats.org/package/2006/relationships"><Relationship Id="rId1" Type="http://schemas.microsoft.com/office/2006/relationships/activeXControlBinary" Target="activeX88.bin"/></Relationships>
</file>

<file path=word/activeX/_rels/activeX54.xml.rels><?xml version="1.0" encoding="UTF-8" standalone="yes"?>
<Relationships xmlns="http://schemas.openxmlformats.org/package/2006/relationships"><Relationship Id="rId1" Type="http://schemas.microsoft.com/office/2006/relationships/activeXControlBinary" Target="activeX73.bin"/></Relationships>
</file>

<file path=word/activeX/_rels/activeX55.xml.rels><?xml version="1.0" encoding="UTF-8" standalone="yes"?>
<Relationships xmlns="http://schemas.openxmlformats.org/package/2006/relationships"><Relationship Id="rId1" Type="http://schemas.microsoft.com/office/2006/relationships/activeXControlBinary" Target="activeX71.bin"/></Relationships>
</file>

<file path=word/activeX/_rels/activeX56.xml.rels><?xml version="1.0" encoding="UTF-8" standalone="yes"?>
<Relationships xmlns="http://schemas.openxmlformats.org/package/2006/relationships"><Relationship Id="rId1" Type="http://schemas.microsoft.com/office/2006/relationships/activeXControlBinary" Target="activeX74.bin"/></Relationships>
</file>

<file path=word/activeX/_rels/activeX57.xml.rels><?xml version="1.0" encoding="UTF-8" standalone="yes"?>
<Relationships xmlns="http://schemas.openxmlformats.org/package/2006/relationships"><Relationship Id="rId1" Type="http://schemas.microsoft.com/office/2006/relationships/activeXControlBinary" Target="activeX95.bin"/></Relationships>
</file>

<file path=word/activeX/_rels/activeX58.xml.rels><?xml version="1.0" encoding="UTF-8" standalone="yes"?>
<Relationships xmlns="http://schemas.openxmlformats.org/package/2006/relationships"><Relationship Id="rId1" Type="http://schemas.microsoft.com/office/2006/relationships/activeXControlBinary" Target="activeX82.bin"/></Relationships>
</file>

<file path=word/activeX/_rels/activeX59.xml.rels><?xml version="1.0" encoding="UTF-8" standalone="yes"?>
<Relationships xmlns="http://schemas.openxmlformats.org/package/2006/relationships"><Relationship Id="rId1" Type="http://schemas.microsoft.com/office/2006/relationships/activeXControlBinary" Target="activeX83.bin"/></Relationships>
</file>

<file path=word/activeX/_rels/activeX6.xml.rels><?xml version="1.0" encoding="UTF-8" standalone="yes"?>
<Relationships xmlns="http://schemas.openxmlformats.org/package/2006/relationships"><Relationship Id="rId1" Type="http://schemas.microsoft.com/office/2006/relationships/activeXControlBinary" Target="activeX38.bin"/></Relationships>
</file>

<file path=word/activeX/_rels/activeX60.xml.rels><?xml version="1.0" encoding="UTF-8" standalone="yes"?>
<Relationships xmlns="http://schemas.openxmlformats.org/package/2006/relationships"><Relationship Id="rId1" Type="http://schemas.microsoft.com/office/2006/relationships/activeXControlBinary" Target="activeX75.bin"/></Relationships>
</file>

<file path=word/activeX/_rels/activeX61.xml.rels><?xml version="1.0" encoding="UTF-8" standalone="yes"?>
<Relationships xmlns="http://schemas.openxmlformats.org/package/2006/relationships"><Relationship Id="rId1" Type="http://schemas.microsoft.com/office/2006/relationships/activeXControlBinary" Target="activeX77.bin"/></Relationships>
</file>

<file path=word/activeX/_rels/activeX62.xml.rels><?xml version="1.0" encoding="UTF-8" standalone="yes"?>
<Relationships xmlns="http://schemas.openxmlformats.org/package/2006/relationships"><Relationship Id="rId1" Type="http://schemas.microsoft.com/office/2006/relationships/activeXControlBinary" Target="activeX79.bin"/></Relationships>
</file>

<file path=word/activeX/_rels/activeX63.xml.rels><?xml version="1.0" encoding="UTF-8" standalone="yes"?>
<Relationships xmlns="http://schemas.openxmlformats.org/package/2006/relationships"><Relationship Id="rId1" Type="http://schemas.microsoft.com/office/2006/relationships/activeXControlBinary" Target="activeX94.bin"/></Relationships>
</file>

<file path=word/activeX/_rels/activeX64.xml.rels><?xml version="1.0" encoding="UTF-8" standalone="yes"?>
<Relationships xmlns="http://schemas.openxmlformats.org/package/2006/relationships"><Relationship Id="rId1" Type="http://schemas.microsoft.com/office/2006/relationships/activeXControlBinary" Target="activeX86.bin"/></Relationships>
</file>

<file path=word/activeX/_rels/activeX65.xml.rels><?xml version="1.0" encoding="UTF-8" standalone="yes"?>
<Relationships xmlns="http://schemas.openxmlformats.org/package/2006/relationships"><Relationship Id="rId1" Type="http://schemas.microsoft.com/office/2006/relationships/activeXControlBinary" Target="activeX90.bin"/></Relationships>
</file>

<file path=word/activeX/_rels/activeX66.xml.rels><?xml version="1.0" encoding="UTF-8" standalone="yes"?>
<Relationships xmlns="http://schemas.openxmlformats.org/package/2006/relationships"><Relationship Id="rId1" Type="http://schemas.microsoft.com/office/2006/relationships/activeXControlBinary" Target="activeX91.bin"/></Relationships>
</file>

<file path=word/activeX/_rels/activeX67.xml.rels><?xml version="1.0" encoding="UTF-8" standalone="yes"?>
<Relationships xmlns="http://schemas.openxmlformats.org/package/2006/relationships"><Relationship Id="rId1" Type="http://schemas.microsoft.com/office/2006/relationships/activeXControlBinary" Target="activeX96.bin"/></Relationships>
</file>

<file path=word/activeX/_rels/activeX68.xml.rels><?xml version="1.0" encoding="UTF-8" standalone="yes"?>
<Relationships xmlns="http://schemas.openxmlformats.org/package/2006/relationships"><Relationship Id="rId1" Type="http://schemas.microsoft.com/office/2006/relationships/activeXControlBinary" Target="activeX87.bin"/></Relationships>
</file>

<file path=word/activeX/_rels/activeX69.xml.rels><?xml version="1.0" encoding="UTF-8" standalone="yes"?>
<Relationships xmlns="http://schemas.openxmlformats.org/package/2006/relationships"><Relationship Id="rId1" Type="http://schemas.microsoft.com/office/2006/relationships/activeXControlBinary" Target="activeX84.bin"/></Relationships>
</file>

<file path=word/activeX/_rels/activeX7.xml.rels><?xml version="1.0" encoding="UTF-8" standalone="yes"?>
<Relationships xmlns="http://schemas.openxmlformats.org/package/2006/relationships"><Relationship Id="rId1" Type="http://schemas.microsoft.com/office/2006/relationships/activeXControlBinary" Target="activeX42.bin"/></Relationships>
</file>

<file path=word/activeX/_rels/activeX70.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1.xml.rels><?xml version="1.0" encoding="UTF-8" standalone="yes"?>
<Relationships xmlns="http://schemas.openxmlformats.org/package/2006/relationships"><Relationship Id="rId1" Type="http://schemas.microsoft.com/office/2006/relationships/activeXControlBinary" Target="activeX85.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5.xml.rels><?xml version="1.0" encoding="UTF-8" standalone="yes"?>
<Relationships xmlns="http://schemas.openxmlformats.org/package/2006/relationships"><Relationship Id="rId1" Type="http://schemas.microsoft.com/office/2006/relationships/activeXControlBinary" Target="activeX92.bin"/></Relationships>
</file>

<file path=word/activeX/_rels/activeX76.xml.rels><?xml version="1.0" encoding="UTF-8" standalone="yes"?>
<Relationships xmlns="http://schemas.openxmlformats.org/package/2006/relationships"><Relationship Id="rId1" Type="http://schemas.microsoft.com/office/2006/relationships/activeXControlBinary" Target="activeX80.bin"/></Relationships>
</file>

<file path=word/activeX/_rels/activeX77.xml.rels><?xml version="1.0" encoding="UTF-8" standalone="yes"?>
<Relationships xmlns="http://schemas.openxmlformats.org/package/2006/relationships"><Relationship Id="rId1" Type="http://schemas.microsoft.com/office/2006/relationships/activeXControlBinary" Target="activeX93.bin"/></Relationships>
</file>

<file path=word/activeX/_rels/activeX78.xml.rels><?xml version="1.0" encoding="UTF-8" standalone="yes"?>
<Relationships xmlns="http://schemas.openxmlformats.org/package/2006/relationships"><Relationship Id="rId1" Type="http://schemas.microsoft.com/office/2006/relationships/activeXControlBinary" Target="activeX81.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2.bin"/></Relationships>
</file>

<file path=word/activeX/_rels/activeX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9.bin"/></Relationships>
</file>

<file path=word/activeX/_rels/activeX81.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82.xml.rels><?xml version="1.0" encoding="UTF-8" standalone="yes"?>
<Relationships xmlns="http://schemas.openxmlformats.org/package/2006/relationships"><Relationship Id="rId1" Type="http://schemas.microsoft.com/office/2006/relationships/activeXControlBinary" Target="activeX99.bin"/></Relationships>
</file>

<file path=word/activeX/_rels/activeX83.xml.rels><?xml version="1.0" encoding="UTF-8" standalone="yes"?>
<Relationships xmlns="http://schemas.openxmlformats.org/package/2006/relationships"><Relationship Id="rId1" Type="http://schemas.microsoft.com/office/2006/relationships/activeXControlBinary" Target="activeX97.bin"/></Relationships>
</file>

<file path=word/activeX/_rels/activeX84.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85.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86.xml.rels><?xml version="1.0" encoding="UTF-8" standalone="yes"?>
<Relationships xmlns="http://schemas.openxmlformats.org/package/2006/relationships"><Relationship Id="rId1" Type="http://schemas.microsoft.com/office/2006/relationships/activeXControlBinary" Target="activeX98.bin"/></Relationships>
</file>

<file path=word/activeX/_rels/activeX87.xml.rels><?xml version="1.0" encoding="UTF-8" standalone="yes"?>
<Relationships xmlns="http://schemas.openxmlformats.org/package/2006/relationships"><Relationship Id="rId1" Type="http://schemas.microsoft.com/office/2006/relationships/activeXControlBinary" Target="activeX68.bin"/></Relationships>
</file>

<file path=word/activeX/_rels/activeX88.xml.rels><?xml version="1.0" encoding="UTF-8" standalone="yes"?>
<Relationships xmlns="http://schemas.openxmlformats.org/package/2006/relationships"><Relationship Id="rId1" Type="http://schemas.microsoft.com/office/2006/relationships/activeXControlBinary" Target="activeX62.bin"/></Relationships>
</file>

<file path=word/activeX/_rels/activeX89.xml.rels><?xml version="1.0" encoding="UTF-8" standalone="yes"?>
<Relationships xmlns="http://schemas.openxmlformats.org/package/2006/relationships"><Relationship Id="rId1" Type="http://schemas.microsoft.com/office/2006/relationships/activeXControlBinary" Target="activeX53.bin"/></Relationships>
</file>

<file path=word/activeX/_rels/activeX9.xml.rels><?xml version="1.0" encoding="UTF-8" standalone="yes"?>
<Relationships xmlns="http://schemas.openxmlformats.org/package/2006/relationships"><Relationship Id="rId1" Type="http://schemas.microsoft.com/office/2006/relationships/activeXControlBinary" Target="activeX52.bin"/></Relationships>
</file>

<file path=word/activeX/_rels/activeX90.xml.rels><?xml version="1.0" encoding="UTF-8" standalone="yes"?>
<Relationships xmlns="http://schemas.openxmlformats.org/package/2006/relationships"><Relationship Id="rId1" Type="http://schemas.microsoft.com/office/2006/relationships/activeXControlBinary" Target="activeX59.bin"/></Relationships>
</file>

<file path=word/activeX/_rels/activeX91.xml.rels><?xml version="1.0" encoding="UTF-8" standalone="yes"?>
<Relationships xmlns="http://schemas.openxmlformats.org/package/2006/relationships"><Relationship Id="rId1" Type="http://schemas.microsoft.com/office/2006/relationships/activeXControlBinary" Target="activeX56.bin"/></Relationships>
</file>

<file path=word/activeX/_rels/activeX92.xml.rels><?xml version="1.0" encoding="UTF-8" standalone="yes"?>
<Relationships xmlns="http://schemas.openxmlformats.org/package/2006/relationships"><Relationship Id="rId1" Type="http://schemas.microsoft.com/office/2006/relationships/activeXControlBinary" Target="activeX65.bin"/></Relationships>
</file>

<file path=word/activeX/_rels/activeX9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61.bin"/></Relationships>
</file>

<file path=word/activeX/_rels/activeX96.xml.rels><?xml version="1.0" encoding="UTF-8" standalone="yes"?>
<Relationships xmlns="http://schemas.openxmlformats.org/package/2006/relationships"><Relationship Id="rId1" Type="http://schemas.microsoft.com/office/2006/relationships/activeXControlBinary" Target="activeX64.bin"/></Relationships>
</file>

<file path=word/activeX/_rels/activeX97.xml.rels><?xml version="1.0" encoding="UTF-8" standalone="yes"?>
<Relationships xmlns="http://schemas.openxmlformats.org/package/2006/relationships"><Relationship Id="rId1" Type="http://schemas.microsoft.com/office/2006/relationships/activeXControlBinary" Target="activeX55.bin"/></Relationships>
</file>

<file path=word/activeX/_rels/activeX98.xml.rels><?xml version="1.0" encoding="UTF-8" standalone="yes"?>
<Relationships xmlns="http://schemas.openxmlformats.org/package/2006/relationships"><Relationship Id="rId1" Type="http://schemas.microsoft.com/office/2006/relationships/activeXControlBinary" Target="activeX57.bin"/></Relationships>
</file>

<file path=word/activeX/_rels/activeX99.xml.rels><?xml version="1.0" encoding="UTF-8" standalone="yes"?>
<Relationships xmlns="http://schemas.openxmlformats.org/package/2006/relationships"><Relationship Id="rId1" Type="http://schemas.microsoft.com/office/2006/relationships/activeXControlBinary" Target="activeX5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00.xml><?xml version="1.0" encoding="utf-8"?>
<ax:ocx xmlns:ax="http://schemas.microsoft.com/office/2006/activeX" xmlns:r="http://schemas.openxmlformats.org/officeDocument/2006/relationships" ax:classid="{CDCDCDCD-CDCD-CDCD-CDCD-CDCDCDCDCDCD}" r:id="rId1" ax:persistence="persistStorage"/>
</file>

<file path=word/activeX/activeX101.xml><?xml version="1.0" encoding="utf-8"?>
<ax:ocx xmlns:ax="http://schemas.microsoft.com/office/2006/activeX" xmlns:r="http://schemas.openxmlformats.org/officeDocument/2006/relationships" ax:classid="{CDCDCDCD-CDCD-CDCD-CDCD-CDCDCDCDCDCD}" r:id="rId1" ax:persistence="persistStorage"/>
</file>

<file path=word/activeX/activeX102.xml><?xml version="1.0" encoding="utf-8"?>
<ax:ocx xmlns:ax="http://schemas.microsoft.com/office/2006/activeX" xmlns:r="http://schemas.openxmlformats.org/officeDocument/2006/relationships" ax:classid="{CDCDCDCD-CDCD-CDCD-CDCD-CDCDCDCDCDCD}" r:id="rId1" ax:persistence="persistStorage"/>
</file>

<file path=word/activeX/activeX103.xml><?xml version="1.0" encoding="utf-8"?>
<ax:ocx xmlns:ax="http://schemas.microsoft.com/office/2006/activeX" xmlns:r="http://schemas.openxmlformats.org/officeDocument/2006/relationships" ax:classid="{CDCDCDCD-CDCD-CDCD-CDCD-CDCDCDCDCDCD}" r:id="rId1" ax:persistence="persistStorage"/>
</file>

<file path=word/activeX/activeX104.xml><?xml version="1.0" encoding="utf-8"?>
<ax:ocx xmlns:ax="http://schemas.microsoft.com/office/2006/activeX" xmlns:r="http://schemas.openxmlformats.org/officeDocument/2006/relationships" ax:classid="{CDCDCDCD-CDCD-CDCD-CDCD-CDCDCDCDCDCD}" r:id="rId1" ax:persistence="persistStorage"/>
</file>

<file path=word/activeX/activeX105.xml><?xml version="1.0" encoding="utf-8"?>
<ax:ocx xmlns:ax="http://schemas.microsoft.com/office/2006/activeX" xmlns:r="http://schemas.openxmlformats.org/officeDocument/2006/relationships" ax:classid="{CDCDCDCD-CDCD-CDCD-CDCD-CDCDCDCDCDCD}" r:id="rId1" ax:persistence="persistStorage"/>
</file>

<file path=word/activeX/activeX106.xml><?xml version="1.0" encoding="utf-8"?>
<ax:ocx xmlns:ax="http://schemas.microsoft.com/office/2006/activeX" xmlns:r="http://schemas.openxmlformats.org/officeDocument/2006/relationships" ax:classid="{CDCDCDCD-CDCD-CDCD-CDCD-CDCDCDCDCDCD}" r:id="rId1" ax:persistence="persistStorage"/>
</file>

<file path=word/activeX/activeX107.xml><?xml version="1.0" encoding="utf-8"?>
<ax:ocx xmlns:ax="http://schemas.microsoft.com/office/2006/activeX" xmlns:r="http://schemas.openxmlformats.org/officeDocument/2006/relationships" ax:classid="{CDCDCDCD-CDCD-CDCD-CDCD-CDCDCDCDCDCD}" r:id="rId1" ax:persistence="persistStorage"/>
</file>

<file path=word/activeX/activeX108.xml><?xml version="1.0" encoding="utf-8"?>
<ax:ocx xmlns:ax="http://schemas.microsoft.com/office/2006/activeX" xmlns:r="http://schemas.openxmlformats.org/officeDocument/2006/relationships" ax:classid="{CDCDCDCD-CDCD-CDCD-CDCD-CDCDCDCDCDCD}" r:id="rId1" ax:persistence="persistStorage"/>
</file>

<file path=word/activeX/activeX109.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10.xml><?xml version="1.0" encoding="utf-8"?>
<ax:ocx xmlns:ax="http://schemas.microsoft.com/office/2006/activeX" xmlns:r="http://schemas.openxmlformats.org/officeDocument/2006/relationships" ax:classid="{CDCDCDCD-CDCD-CDCD-CDCD-CDCDCDCDCDCD}" r:id="rId1" ax:persistence="persistStorage"/>
</file>

<file path=word/activeX/activeX111.xml><?xml version="1.0" encoding="utf-8"?>
<ax:ocx xmlns:ax="http://schemas.microsoft.com/office/2006/activeX" xmlns:r="http://schemas.openxmlformats.org/officeDocument/2006/relationships" ax:classid="{CDCDCDCD-CDCD-CDCD-CDCD-CDCDCDCDCDCD}" r:id="rId1" ax:persistence="persistStorage"/>
</file>

<file path=word/activeX/activeX112.xml><?xml version="1.0" encoding="utf-8"?>
<ax:ocx xmlns:ax="http://schemas.microsoft.com/office/2006/activeX" xmlns:r="http://schemas.openxmlformats.org/officeDocument/2006/relationships" ax:classid="{CDCDCDCD-CDCD-CDCD-CDCD-CDCDCDCDCDCD}" r:id="rId1" ax:persistence="persistStorage"/>
</file>

<file path=word/activeX/activeX113.xml><?xml version="1.0" encoding="utf-8"?>
<ax:ocx xmlns:ax="http://schemas.microsoft.com/office/2006/activeX" xmlns:r="http://schemas.openxmlformats.org/officeDocument/2006/relationships" ax:classid="{CDCDCDCD-CDCD-CDCD-CDCD-CDCDCDCDCDCD}" r:id="rId1" ax:persistence="persistStorage"/>
</file>

<file path=word/activeX/activeX114.xml><?xml version="1.0" encoding="utf-8"?>
<ax:ocx xmlns:ax="http://schemas.microsoft.com/office/2006/activeX" xmlns:r="http://schemas.openxmlformats.org/officeDocument/2006/relationships" ax:classid="{CDCDCDCD-CDCD-CDCD-CDCD-CDCDCDCDCDCD}" r:id="rId1" ax:persistence="persistStorage"/>
</file>

<file path=word/activeX/activeX115.xml><?xml version="1.0" encoding="utf-8"?>
<ax:ocx xmlns:ax="http://schemas.microsoft.com/office/2006/activeX" xmlns:r="http://schemas.openxmlformats.org/officeDocument/2006/relationships" ax:classid="{CDCDCDCD-CDCD-CDCD-CDCD-CDCDCDCDCDCD}" r:id="rId1" ax:persistence="persistStorage"/>
</file>

<file path=word/activeX/activeX116.xml><?xml version="1.0" encoding="utf-8"?>
<ax:ocx xmlns:ax="http://schemas.microsoft.com/office/2006/activeX" xmlns:r="http://schemas.openxmlformats.org/officeDocument/2006/relationships" ax:classid="{CDCDCDCD-CDCD-CDCD-CDCD-CDCDCDCDCDCD}" r:id="rId1" ax:persistence="persistStorage"/>
</file>

<file path=word/activeX/activeX117.xml><?xml version="1.0" encoding="utf-8"?>
<ax:ocx xmlns:ax="http://schemas.microsoft.com/office/2006/activeX" xmlns:r="http://schemas.openxmlformats.org/officeDocument/2006/relationships" ax:classid="{CDCDCDCD-CDCD-CDCD-CDCD-CDCDCDCDCDCD}" r:id="rId1" ax:persistence="persistStorage"/>
</file>

<file path=word/activeX/activeX118.xml><?xml version="1.0" encoding="utf-8"?>
<ax:ocx xmlns:ax="http://schemas.microsoft.com/office/2006/activeX" xmlns:r="http://schemas.openxmlformats.org/officeDocument/2006/relationships" ax:classid="{CDCDCDCD-CDCD-CDCD-CDCD-CDCDCDCDCDCD}" r:id="rId1" ax:persistence="persistStorage"/>
</file>

<file path=word/activeX/activeX119.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20.xml><?xml version="1.0" encoding="utf-8"?>
<ax:ocx xmlns:ax="http://schemas.microsoft.com/office/2006/activeX" xmlns:r="http://schemas.openxmlformats.org/officeDocument/2006/relationships" ax:classid="{CDCDCDCD-CDCD-CDCD-CDCD-CDCDCDCDCDCD}" r:id="rId1" ax:persistence="persistStorage"/>
</file>

<file path=word/activeX/activeX121.xml><?xml version="1.0" encoding="utf-8"?>
<ax:ocx xmlns:ax="http://schemas.microsoft.com/office/2006/activeX" xmlns:r="http://schemas.openxmlformats.org/officeDocument/2006/relationships" ax:classid="{CDCDCDCD-CDCD-CDCD-CDCD-CDCDCDCDCDCD}" r:id="rId1" ax:persistence="persistStorage"/>
</file>

<file path=word/activeX/activeX122.xml><?xml version="1.0" encoding="utf-8"?>
<ax:ocx xmlns:ax="http://schemas.microsoft.com/office/2006/activeX" xmlns:r="http://schemas.openxmlformats.org/officeDocument/2006/relationships" ax:classid="{CDCDCDCD-CDCD-CDCD-CDCD-CDCDCDCDCDCD}" r:id="rId1" ax:persistence="persistStorage"/>
</file>

<file path=word/activeX/activeX123.xml><?xml version="1.0" encoding="utf-8"?>
<ax:ocx xmlns:ax="http://schemas.microsoft.com/office/2006/activeX" xmlns:r="http://schemas.openxmlformats.org/officeDocument/2006/relationships" ax:classid="{CDCDCDCD-CDCD-CDCD-CDCD-CDCDCDCDCDCD}" r:id="rId1" ax:persistence="persistStorage"/>
</file>

<file path=word/activeX/activeX124.xml><?xml version="1.0" encoding="utf-8"?>
<ax:ocx xmlns:ax="http://schemas.microsoft.com/office/2006/activeX" xmlns:r="http://schemas.openxmlformats.org/officeDocument/2006/relationships" ax:classid="{CDCDCDCD-CDCD-CDCD-CDCD-CDCDCDCDCDCD}" r:id="rId1" ax:persistence="persistStorage"/>
</file>

<file path=word/activeX/activeX125.xml><?xml version="1.0" encoding="utf-8"?>
<ax:ocx xmlns:ax="http://schemas.microsoft.com/office/2006/activeX" xmlns:r="http://schemas.openxmlformats.org/officeDocument/2006/relationships" ax:classid="{CDCDCDCD-CDCD-CDCD-CDCD-CDCDCDCDCDCD}" r:id="rId1" ax:persistence="persistStorage"/>
</file>

<file path=word/activeX/activeX126.xml><?xml version="1.0" encoding="utf-8"?>
<ax:ocx xmlns:ax="http://schemas.microsoft.com/office/2006/activeX" xmlns:r="http://schemas.openxmlformats.org/officeDocument/2006/relationships" ax:classid="{CDCDCDCD-CDCD-CDCD-CDCD-CDCDCDCDCDCD}" r:id="rId1" ax:persistence="persistStorage"/>
</file>

<file path=word/activeX/activeX127.xml><?xml version="1.0" encoding="utf-8"?>
<ax:ocx xmlns:ax="http://schemas.microsoft.com/office/2006/activeX" xmlns:r="http://schemas.openxmlformats.org/officeDocument/2006/relationships" ax:classid="{CDCDCDCD-CDCD-CDCD-CDCD-CDCDCDCDCDCD}" r:id="rId1" ax:persistence="persistStorage"/>
</file>

<file path=word/activeX/activeX128.xml><?xml version="1.0" encoding="utf-8"?>
<ax:ocx xmlns:ax="http://schemas.microsoft.com/office/2006/activeX" xmlns:r="http://schemas.openxmlformats.org/officeDocument/2006/relationships" ax:classid="{CDCDCDCD-CDCD-CDCD-CDCD-CDCDCDCDCDCD}" r:id="rId1" ax:persistence="persistStorage"/>
</file>

<file path=word/activeX/activeX129.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30.xml><?xml version="1.0" encoding="utf-8"?>
<ax:ocx xmlns:ax="http://schemas.microsoft.com/office/2006/activeX" xmlns:r="http://schemas.openxmlformats.org/officeDocument/2006/relationships" ax:classid="{CDCDCDCD-CDCD-CDCD-CDCD-CDCDCDCDCDCD}" r:id="rId1" ax:persistence="persistStorage"/>
</file>

<file path=word/activeX/activeX131.xml><?xml version="1.0" encoding="utf-8"?>
<ax:ocx xmlns:ax="http://schemas.microsoft.com/office/2006/activeX" xmlns:r="http://schemas.openxmlformats.org/officeDocument/2006/relationships" ax:classid="{CDCDCDCD-CDCD-CDCD-CDCD-CDCDCDCDCDCD}" r:id="rId1" ax:persistence="persistStorage"/>
</file>

<file path=word/activeX/activeX132.xml><?xml version="1.0" encoding="utf-8"?>
<ax:ocx xmlns:ax="http://schemas.microsoft.com/office/2006/activeX" xmlns:r="http://schemas.openxmlformats.org/officeDocument/2006/relationships" ax:classid="{CDCDCDCD-CDCD-CDCD-CDCD-CDCDCDCDCDCD}" r:id="rId1" ax:persistence="persistStorage"/>
</file>

<file path=word/activeX/activeX133.xml><?xml version="1.0" encoding="utf-8"?>
<ax:ocx xmlns:ax="http://schemas.microsoft.com/office/2006/activeX" xmlns:r="http://schemas.openxmlformats.org/officeDocument/2006/relationships" ax:classid="{CDCDCDCD-CDCD-CDCD-CDCD-CDCDCDCDCDCD}" r:id="rId1" ax:persistence="persistStorage"/>
</file>

<file path=word/activeX/activeX134.xml><?xml version="1.0" encoding="utf-8"?>
<ax:ocx xmlns:ax="http://schemas.microsoft.com/office/2006/activeX" xmlns:r="http://schemas.openxmlformats.org/officeDocument/2006/relationships" ax:classid="{CDCDCDCD-CDCD-CDCD-CDCD-CDCDCDCDCDCD}" r:id="rId1" ax:persistence="persistStorage"/>
</file>

<file path=word/activeX/activeX135.xml><?xml version="1.0" encoding="utf-8"?>
<ax:ocx xmlns:ax="http://schemas.microsoft.com/office/2006/activeX" xmlns:r="http://schemas.openxmlformats.org/officeDocument/2006/relationships" ax:classid="{CDCDCDCD-CDCD-CDCD-CDCD-CDCDCDCDCDCD}" r:id="rId1" ax:persistence="persistStorage"/>
</file>

<file path=word/activeX/activeX136.xml><?xml version="1.0" encoding="utf-8"?>
<ax:ocx xmlns:ax="http://schemas.microsoft.com/office/2006/activeX" xmlns:r="http://schemas.openxmlformats.org/officeDocument/2006/relationships" ax:classid="{CDCDCDCD-CDCD-CDCD-CDCD-CDCDCDCDCDCD}" r:id="rId1" ax:persistence="persistStorage"/>
</file>

<file path=word/activeX/activeX137.xml><?xml version="1.0" encoding="utf-8"?>
<ax:ocx xmlns:ax="http://schemas.microsoft.com/office/2006/activeX" xmlns:r="http://schemas.openxmlformats.org/officeDocument/2006/relationships" ax:classid="{CDCDCDCD-CDCD-CDCD-CDCD-CDCDCDCDCDCD}" r:id="rId1" ax:persistence="persistStorage"/>
</file>

<file path=word/activeX/activeX138.xml><?xml version="1.0" encoding="utf-8"?>
<ax:ocx xmlns:ax="http://schemas.microsoft.com/office/2006/activeX" xmlns:r="http://schemas.openxmlformats.org/officeDocument/2006/relationships" ax:classid="{CDCDCDCD-CDCD-CDCD-CDCD-CDCDCDCDCDCD}" r:id="rId1" ax:persistence="persistStorage"/>
</file>

<file path=word/activeX/activeX139.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40.xml><?xml version="1.0" encoding="utf-8"?>
<ax:ocx xmlns:ax="http://schemas.microsoft.com/office/2006/activeX" xmlns:r="http://schemas.openxmlformats.org/officeDocument/2006/relationships" ax:classid="{CDCDCDCD-CDCD-CDCD-CDCD-CDCDCDCDCDCD}" r:id="rId1" ax:persistence="persistStorage"/>
</file>

<file path=word/activeX/activeX141.xml><?xml version="1.0" encoding="utf-8"?>
<ax:ocx xmlns:ax="http://schemas.microsoft.com/office/2006/activeX" xmlns:r="http://schemas.openxmlformats.org/officeDocument/2006/relationships" ax:classid="{CDCDCDCD-CDCD-CDCD-CDCD-CDCDCDCDCDCD}" r:id="rId1" ax:persistence="persistStorage"/>
</file>

<file path=word/activeX/activeX142.xml><?xml version="1.0" encoding="utf-8"?>
<ax:ocx xmlns:ax="http://schemas.microsoft.com/office/2006/activeX" xmlns:r="http://schemas.openxmlformats.org/officeDocument/2006/relationships" ax:classid="{CDCDCDCD-CDCD-CDCD-CDCD-CDCDCDCDCDCD}" r:id="rId1" ax:persistence="persistStorage"/>
</file>

<file path=word/activeX/activeX143.xml><?xml version="1.0" encoding="utf-8"?>
<ax:ocx xmlns:ax="http://schemas.microsoft.com/office/2006/activeX" xmlns:r="http://schemas.openxmlformats.org/officeDocument/2006/relationships" ax:classid="{CDCDCDCD-CDCD-CDCD-CDCD-CDCDCDCDCDCD}" r:id="rId1" ax:persistence="persistStorage"/>
</file>

<file path=word/activeX/activeX144.xml><?xml version="1.0" encoding="utf-8"?>
<ax:ocx xmlns:ax="http://schemas.microsoft.com/office/2006/activeX" xmlns:r="http://schemas.openxmlformats.org/officeDocument/2006/relationships" ax:classid="{CDCDCDCD-CDCD-CDCD-CDCD-CDCDCDCDCDCD}" r:id="rId1" ax:persistence="persistStorage"/>
</file>

<file path=word/activeX/activeX145.xml><?xml version="1.0" encoding="utf-8"?>
<ax:ocx xmlns:ax="http://schemas.microsoft.com/office/2006/activeX" xmlns:r="http://schemas.openxmlformats.org/officeDocument/2006/relationships" ax:classid="{CDCDCDCD-CDCD-CDCD-CDCD-CDCDCDCDCDCD}" r:id="rId1" ax:persistence="persistStorage"/>
</file>

<file path=word/activeX/activeX146.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38.xml><?xml version="1.0" encoding="utf-8"?>
<ax:ocx xmlns:ax="http://schemas.microsoft.com/office/2006/activeX" xmlns:r="http://schemas.openxmlformats.org/officeDocument/2006/relationships" ax:classid="{8BD21D40-EC42-11CE-9E0D-00AA006002F3}" r:id="rId1" ax:persistence="persistStorage"/>
</file>

<file path=word/activeX/activeX39.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8BD21D40-EC42-11CE-9E0D-00AA006002F3}" r:id="rId1" ax:persistence="persistStorage"/>
</file>

<file path=word/activeX/activeX41.xml><?xml version="1.0" encoding="utf-8"?>
<ax:ocx xmlns:ax="http://schemas.microsoft.com/office/2006/activeX" xmlns:r="http://schemas.openxmlformats.org/officeDocument/2006/relationships" ax:classid="{8BD21D40-EC42-11CE-9E0D-00AA006002F3}" r:id="rId1" ax:persistence="persistStorage"/>
</file>

<file path=word/activeX/activeX42.xml><?xml version="1.0" encoding="utf-8"?>
<ax:ocx xmlns:ax="http://schemas.microsoft.com/office/2006/activeX" xmlns:r="http://schemas.openxmlformats.org/officeDocument/2006/relationships" ax:classid="{8BD21D40-EC42-11CE-9E0D-00AA006002F3}" r:id="rId1" ax:persistence="persistStorage"/>
</file>

<file path=word/activeX/activeX43.xml><?xml version="1.0" encoding="utf-8"?>
<ax:ocx xmlns:ax="http://schemas.microsoft.com/office/2006/activeX" xmlns:r="http://schemas.openxmlformats.org/officeDocument/2006/relationships" ax:classid="{8BD21D40-EC42-11CE-9E0D-00AA006002F3}" r:id="rId1" ax:persistence="persistStorage"/>
</file>

<file path=word/activeX/activeX44.xml><?xml version="1.0" encoding="utf-8"?>
<ax:ocx xmlns:ax="http://schemas.microsoft.com/office/2006/activeX" xmlns:r="http://schemas.openxmlformats.org/officeDocument/2006/relationships" ax:classid="{8BD21D40-EC42-11CE-9E0D-00AA006002F3}" r:id="rId1" ax:persistence="persistStorage"/>
</file>

<file path=word/activeX/activeX45.xml><?xml version="1.0" encoding="utf-8"?>
<ax:ocx xmlns:ax="http://schemas.microsoft.com/office/2006/activeX" xmlns:r="http://schemas.openxmlformats.org/officeDocument/2006/relationships" ax:classid="{8BD21D40-EC42-11CE-9E0D-00AA006002F3}" r:id="rId1" ax:persistence="persistStorage"/>
</file>

<file path=word/activeX/activeX46.xml><?xml version="1.0" encoding="utf-8"?>
<ax:ocx xmlns:ax="http://schemas.microsoft.com/office/2006/activeX" xmlns:r="http://schemas.openxmlformats.org/officeDocument/2006/relationships" ax:classid="{8BD21D40-EC42-11CE-9E0D-00AA006002F3}" r:id="rId1" ax:persistence="persistStorage"/>
</file>

<file path=word/activeX/activeX47.xml><?xml version="1.0" encoding="utf-8"?>
<ax:ocx xmlns:ax="http://schemas.microsoft.com/office/2006/activeX" xmlns:r="http://schemas.openxmlformats.org/officeDocument/2006/relationships" ax:classid="{8BD21D40-EC42-11CE-9E0D-00AA006002F3}" r:id="rId1" ax:persistence="persistStorage"/>
</file>

<file path=word/activeX/activeX48.xml><?xml version="1.0" encoding="utf-8"?>
<ax:ocx xmlns:ax="http://schemas.microsoft.com/office/2006/activeX" xmlns:r="http://schemas.openxmlformats.org/officeDocument/2006/relationships" ax:classid="{8BD21D40-EC42-11CE-9E0D-00AA006002F3}" r:id="rId1" ax:persistence="persistStorage"/>
</file>

<file path=word/activeX/activeX49.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8BD21D40-EC42-11CE-9E0D-00AA006002F3}" r:id="rId1" ax:persistence="persistStorage"/>
</file>

<file path=word/activeX/activeX51.xml><?xml version="1.0" encoding="utf-8"?>
<ax:ocx xmlns:ax="http://schemas.microsoft.com/office/2006/activeX" xmlns:r="http://schemas.openxmlformats.org/officeDocument/2006/relationships" ax:classid="{8BD21D40-EC42-11CE-9E0D-00AA006002F3}" r:id="rId1" ax:persistence="persistStorage"/>
</file>

<file path=word/activeX/activeX52.xml><?xml version="1.0" encoding="utf-8"?>
<ax:ocx xmlns:ax="http://schemas.microsoft.com/office/2006/activeX" xmlns:r="http://schemas.openxmlformats.org/officeDocument/2006/relationships" ax:classid="{8BD21D40-EC42-11CE-9E0D-00AA006002F3}" r:id="rId1" ax:persistence="persistStorage"/>
</file>

<file path=word/activeX/activeX53.xml><?xml version="1.0" encoding="utf-8"?>
<ax:ocx xmlns:ax="http://schemas.microsoft.com/office/2006/activeX" xmlns:r="http://schemas.openxmlformats.org/officeDocument/2006/relationships" ax:classid="{8BD21D40-EC42-11CE-9E0D-00AA006002F3}" r:id="rId1" ax:persistence="persistStorage"/>
</file>

<file path=word/activeX/activeX54.xml><?xml version="1.0" encoding="utf-8"?>
<ax:ocx xmlns:ax="http://schemas.microsoft.com/office/2006/activeX" xmlns:r="http://schemas.openxmlformats.org/officeDocument/2006/relationships" ax:classid="{8BD21D40-EC42-11CE-9E0D-00AA006002F3}" r:id="rId1" ax:persistence="persistStorage"/>
</file>

<file path=word/activeX/activeX55.xml><?xml version="1.0" encoding="utf-8"?>
<ax:ocx xmlns:ax="http://schemas.microsoft.com/office/2006/activeX" xmlns:r="http://schemas.openxmlformats.org/officeDocument/2006/relationships" ax:classid="{8BD21D40-EC42-11CE-9E0D-00AA006002F3}" r:id="rId1" ax:persistence="persistStorage"/>
</file>

<file path=word/activeX/activeX56.xml><?xml version="1.0" encoding="utf-8"?>
<ax:ocx xmlns:ax="http://schemas.microsoft.com/office/2006/activeX" xmlns:r="http://schemas.openxmlformats.org/officeDocument/2006/relationships" ax:classid="{8BD21D40-EC42-11CE-9E0D-00AA006002F3}" r:id="rId1" ax:persistence="persistStorage"/>
</file>

<file path=word/activeX/activeX57.xml><?xml version="1.0" encoding="utf-8"?>
<ax:ocx xmlns:ax="http://schemas.microsoft.com/office/2006/activeX" xmlns:r="http://schemas.openxmlformats.org/officeDocument/2006/relationships" ax:classid="{8BD21D40-EC42-11CE-9E0D-00AA006002F3}" r:id="rId1" ax:persistence="persistStorage"/>
</file>

<file path=word/activeX/activeX58.xml><?xml version="1.0" encoding="utf-8"?>
<ax:ocx xmlns:ax="http://schemas.microsoft.com/office/2006/activeX" xmlns:r="http://schemas.openxmlformats.org/officeDocument/2006/relationships" ax:classid="{8BD21D40-EC42-11CE-9E0D-00AA006002F3}" r:id="rId1" ax:persistence="persistStorage"/>
</file>

<file path=word/activeX/activeX59.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8BD21D40-EC42-11CE-9E0D-00AA006002F3}" r:id="rId1" ax:persistence="persistStorage"/>
</file>

<file path=word/activeX/activeX61.xml><?xml version="1.0" encoding="utf-8"?>
<ax:ocx xmlns:ax="http://schemas.microsoft.com/office/2006/activeX" xmlns:r="http://schemas.openxmlformats.org/officeDocument/2006/relationships" ax:classid="{8BD21D40-EC42-11CE-9E0D-00AA006002F3}" r:id="rId1" ax:persistence="persistStorage"/>
</file>

<file path=word/activeX/activeX62.xml><?xml version="1.0" encoding="utf-8"?>
<ax:ocx xmlns:ax="http://schemas.microsoft.com/office/2006/activeX" xmlns:r="http://schemas.openxmlformats.org/officeDocument/2006/relationships" ax:classid="{8BD21D40-EC42-11CE-9E0D-00AA006002F3}" r:id="rId1" ax:persistence="persistStorage"/>
</file>

<file path=word/activeX/activeX63.xml><?xml version="1.0" encoding="utf-8"?>
<ax:ocx xmlns:ax="http://schemas.microsoft.com/office/2006/activeX" xmlns:r="http://schemas.openxmlformats.org/officeDocument/2006/relationships" ax:classid="{8BD21D40-EC42-11CE-9E0D-00AA006002F3}" r:id="rId1" ax:persistence="persistStorage"/>
</file>

<file path=word/activeX/activeX64.xml><?xml version="1.0" encoding="utf-8"?>
<ax:ocx xmlns:ax="http://schemas.microsoft.com/office/2006/activeX" xmlns:r="http://schemas.openxmlformats.org/officeDocument/2006/relationships" ax:classid="{8BD21D40-EC42-11CE-9E0D-00AA006002F3}" r:id="rId1" ax:persistence="persistStorage"/>
</file>

<file path=word/activeX/activeX65.xml><?xml version="1.0" encoding="utf-8"?>
<ax:ocx xmlns:ax="http://schemas.microsoft.com/office/2006/activeX" xmlns:r="http://schemas.openxmlformats.org/officeDocument/2006/relationships" ax:classid="{8BD21D40-EC42-11CE-9E0D-00AA006002F3}" r:id="rId1" ax:persistence="persistStorage"/>
</file>

<file path=word/activeX/activeX66.xml><?xml version="1.0" encoding="utf-8"?>
<ax:ocx xmlns:ax="http://schemas.microsoft.com/office/2006/activeX" xmlns:r="http://schemas.openxmlformats.org/officeDocument/2006/relationships" ax:classid="{8BD21D40-EC42-11CE-9E0D-00AA006002F3}" r:id="rId1" ax:persistence="persistStorage"/>
</file>

<file path=word/activeX/activeX67.xml><?xml version="1.0" encoding="utf-8"?>
<ax:ocx xmlns:ax="http://schemas.microsoft.com/office/2006/activeX" xmlns:r="http://schemas.openxmlformats.org/officeDocument/2006/relationships" ax:classid="{8BD21D40-EC42-11CE-9E0D-00AA006002F3}" r:id="rId1" ax:persistence="persistStorage"/>
</file>

<file path=word/activeX/activeX68.xml><?xml version="1.0" encoding="utf-8"?>
<ax:ocx xmlns:ax="http://schemas.microsoft.com/office/2006/activeX" xmlns:r="http://schemas.openxmlformats.org/officeDocument/2006/relationships" ax:classid="{8BD21D40-EC42-11CE-9E0D-00AA006002F3}" r:id="rId1" ax:persistence="persistStorage"/>
</file>

<file path=word/activeX/activeX69.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70.xml><?xml version="1.0" encoding="utf-8"?>
<ax:ocx xmlns:ax="http://schemas.microsoft.com/office/2006/activeX" xmlns:r="http://schemas.openxmlformats.org/officeDocument/2006/relationships" ax:classid="{8BD21D40-EC42-11CE-9E0D-00AA006002F3}" r:id="rId1" ax:persistence="persistStorage"/>
</file>

<file path=word/activeX/activeX71.xml><?xml version="1.0" encoding="utf-8"?>
<ax:ocx xmlns:ax="http://schemas.microsoft.com/office/2006/activeX" xmlns:r="http://schemas.openxmlformats.org/officeDocument/2006/relationships" ax:classid="{8BD21D40-EC42-11CE-9E0D-00AA006002F3}" r:id="rId1" ax:persistence="persistStorage"/>
</file>

<file path=word/activeX/activeX72.xml><?xml version="1.0" encoding="utf-8"?>
<ax:ocx xmlns:ax="http://schemas.microsoft.com/office/2006/activeX" xmlns:r="http://schemas.openxmlformats.org/officeDocument/2006/relationships" ax:classid="{8BD21D40-EC42-11CE-9E0D-00AA006002F3}" r:id="rId1" ax:persistence="persistStorage"/>
</file>

<file path=word/activeX/activeX73.xml><?xml version="1.0" encoding="utf-8"?>
<ax:ocx xmlns:ax="http://schemas.microsoft.com/office/2006/activeX" xmlns:r="http://schemas.openxmlformats.org/officeDocument/2006/relationships" ax:classid="{8BD21D40-EC42-11CE-9E0D-00AA006002F3}" r:id="rId1" ax:persistence="persistStorage"/>
</file>

<file path=word/activeX/activeX74.xml><?xml version="1.0" encoding="utf-8"?>
<ax:ocx xmlns:ax="http://schemas.microsoft.com/office/2006/activeX" xmlns:r="http://schemas.openxmlformats.org/officeDocument/2006/relationships" ax:classid="{8BD21D40-EC42-11CE-9E0D-00AA006002F3}" r:id="rId1" ax:persistence="persistStorage"/>
</file>

<file path=word/activeX/activeX75.xml><?xml version="1.0" encoding="utf-8"?>
<ax:ocx xmlns:ax="http://schemas.microsoft.com/office/2006/activeX" xmlns:r="http://schemas.openxmlformats.org/officeDocument/2006/relationships" ax:classid="{8BD21D40-EC42-11CE-9E0D-00AA006002F3}" r:id="rId1" ax:persistence="persistStorage"/>
</file>

<file path=word/activeX/activeX76.xml><?xml version="1.0" encoding="utf-8"?>
<ax:ocx xmlns:ax="http://schemas.microsoft.com/office/2006/activeX" xmlns:r="http://schemas.openxmlformats.org/officeDocument/2006/relationships" ax:classid="{8BD21D40-EC42-11CE-9E0D-00AA006002F3}" r:id="rId1" ax:persistence="persistStorage"/>
</file>

<file path=word/activeX/activeX77.xml><?xml version="1.0" encoding="utf-8"?>
<ax:ocx xmlns:ax="http://schemas.microsoft.com/office/2006/activeX" xmlns:r="http://schemas.openxmlformats.org/officeDocument/2006/relationships" ax:classid="{8BD21D40-EC42-11CE-9E0D-00AA006002F3}" r:id="rId1" ax:persistence="persistStorage"/>
</file>

<file path=word/activeX/activeX78.xml><?xml version="1.0" encoding="utf-8"?>
<ax:ocx xmlns:ax="http://schemas.microsoft.com/office/2006/activeX" xmlns:r="http://schemas.openxmlformats.org/officeDocument/2006/relationships" ax:classid="{8BD21D40-EC42-11CE-9E0D-00AA006002F3}" r:id="rId1" ax:persistence="persistStorage"/>
</file>

<file path=word/activeX/activeX79.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80.xml><?xml version="1.0" encoding="utf-8"?>
<ax:ocx xmlns:ax="http://schemas.microsoft.com/office/2006/activeX" xmlns:r="http://schemas.openxmlformats.org/officeDocument/2006/relationships" ax:classid="{8BD21D40-EC42-11CE-9E0D-00AA006002F3}" r:id="rId1" ax:persistence="persistStorage"/>
</file>

<file path=word/activeX/activeX81.xml><?xml version="1.0" encoding="utf-8"?>
<ax:ocx xmlns:ax="http://schemas.microsoft.com/office/2006/activeX" xmlns:r="http://schemas.openxmlformats.org/officeDocument/2006/relationships" ax:classid="{CDCDCDCD-CDCD-CDCD-CDCD-CDCDCDCDCDCD}" r:id="rId1" ax:persistence="persistStorage"/>
</file>

<file path=word/activeX/activeX82.xml><?xml version="1.0" encoding="utf-8"?>
<ax:ocx xmlns:ax="http://schemas.microsoft.com/office/2006/activeX" xmlns:r="http://schemas.openxmlformats.org/officeDocument/2006/relationships" ax:classid="{CDCDCDCD-CDCD-CDCD-CDCD-CDCDCDCDCDCD}" r:id="rId1" ax:persistence="persistStorage"/>
</file>

<file path=word/activeX/activeX83.xml><?xml version="1.0" encoding="utf-8"?>
<ax:ocx xmlns:ax="http://schemas.microsoft.com/office/2006/activeX" xmlns:r="http://schemas.openxmlformats.org/officeDocument/2006/relationships" ax:classid="{CDCDCDCD-CDCD-CDCD-CDCD-CDCDCDCDCDCD}" r:id="rId1" ax:persistence="persistStorage"/>
</file>

<file path=word/activeX/activeX84.xml><?xml version="1.0" encoding="utf-8"?>
<ax:ocx xmlns:ax="http://schemas.microsoft.com/office/2006/activeX" xmlns:r="http://schemas.openxmlformats.org/officeDocument/2006/relationships" ax:classid="{CDCDCDCD-CDCD-CDCD-CDCD-CDCDCDCDCDCD}" r:id="rId1" ax:persistence="persistStorage"/>
</file>

<file path=word/activeX/activeX85.xml><?xml version="1.0" encoding="utf-8"?>
<ax:ocx xmlns:ax="http://schemas.microsoft.com/office/2006/activeX" xmlns:r="http://schemas.openxmlformats.org/officeDocument/2006/relationships" ax:classid="{CDCDCDCD-CDCD-CDCD-CDCD-CDCDCDCDCDCD}" r:id="rId1" ax:persistence="persistStorage"/>
</file>

<file path=word/activeX/activeX86.xml><?xml version="1.0" encoding="utf-8"?>
<ax:ocx xmlns:ax="http://schemas.microsoft.com/office/2006/activeX" xmlns:r="http://schemas.openxmlformats.org/officeDocument/2006/relationships" ax:classid="{CDCDCDCD-CDCD-CDCD-CDCD-CDCDCDCDCDCD}" r:id="rId1" ax:persistence="persistStorage"/>
</file>

<file path=word/activeX/activeX87.xml><?xml version="1.0" encoding="utf-8"?>
<ax:ocx xmlns:ax="http://schemas.microsoft.com/office/2006/activeX" xmlns:r="http://schemas.openxmlformats.org/officeDocument/2006/relationships" ax:classid="{CDCDCDCD-CDCD-CDCD-CDCD-CDCDCDCDCDCD}" r:id="rId1" ax:persistence="persistStorage"/>
</file>

<file path=word/activeX/activeX88.xml><?xml version="1.0" encoding="utf-8"?>
<ax:ocx xmlns:ax="http://schemas.microsoft.com/office/2006/activeX" xmlns:r="http://schemas.openxmlformats.org/officeDocument/2006/relationships" ax:classid="{CDCDCDCD-CDCD-CDCD-CDCD-CDCDCDCDCDCD}" r:id="rId1" ax:persistence="persistStorage"/>
</file>

<file path=word/activeX/activeX89.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activeX/activeX90.xml><?xml version="1.0" encoding="utf-8"?>
<ax:ocx xmlns:ax="http://schemas.microsoft.com/office/2006/activeX" xmlns:r="http://schemas.openxmlformats.org/officeDocument/2006/relationships" ax:classid="{CDCDCDCD-CDCD-CDCD-CDCD-CDCDCDCDCDCD}" r:id="rId1" ax:persistence="persistStorage"/>
</file>

<file path=word/activeX/activeX91.xml><?xml version="1.0" encoding="utf-8"?>
<ax:ocx xmlns:ax="http://schemas.microsoft.com/office/2006/activeX" xmlns:r="http://schemas.openxmlformats.org/officeDocument/2006/relationships" ax:classid="{CDCDCDCD-CDCD-CDCD-CDCD-CDCDCDCDCDCD}" r:id="rId1" ax:persistence="persistStorage"/>
</file>

<file path=word/activeX/activeX92.xml><?xml version="1.0" encoding="utf-8"?>
<ax:ocx xmlns:ax="http://schemas.microsoft.com/office/2006/activeX" xmlns:r="http://schemas.openxmlformats.org/officeDocument/2006/relationships" ax:classid="{CDCDCDCD-CDCD-CDCD-CDCD-CDCDCDCDCDCD}" r:id="rId1" ax:persistence="persistStorage"/>
</file>

<file path=word/activeX/activeX93.xml><?xml version="1.0" encoding="utf-8"?>
<ax:ocx xmlns:ax="http://schemas.microsoft.com/office/2006/activeX" xmlns:r="http://schemas.openxmlformats.org/officeDocument/2006/relationships" ax:classid="{CDCDCDCD-CDCD-CDCD-CDCD-CDCDCDCDCDCD}" r:id="rId1" ax:persistence="persistStorage"/>
</file>

<file path=word/activeX/activeX94.xml><?xml version="1.0" encoding="utf-8"?>
<ax:ocx xmlns:ax="http://schemas.microsoft.com/office/2006/activeX" xmlns:r="http://schemas.openxmlformats.org/officeDocument/2006/relationships" ax:classid="{CDCDCDCD-CDCD-CDCD-CDCD-CDCDCDCDCDCD}" r:id="rId1" ax:persistence="persistStorage"/>
</file>

<file path=word/activeX/activeX95.xml><?xml version="1.0" encoding="utf-8"?>
<ax:ocx xmlns:ax="http://schemas.microsoft.com/office/2006/activeX" xmlns:r="http://schemas.openxmlformats.org/officeDocument/2006/relationships" ax:classid="{CDCDCDCD-CDCD-CDCD-CDCD-CDCDCDCDCDCD}" r:id="rId1" ax:persistence="persistStorage"/>
</file>

<file path=word/activeX/activeX96.xml><?xml version="1.0" encoding="utf-8"?>
<ax:ocx xmlns:ax="http://schemas.microsoft.com/office/2006/activeX" xmlns:r="http://schemas.openxmlformats.org/officeDocument/2006/relationships" ax:classid="{CDCDCDCD-CDCD-CDCD-CDCD-CDCDCDCDCDCD}" r:id="rId1" ax:persistence="persistStorage"/>
</file>

<file path=word/activeX/activeX97.xml><?xml version="1.0" encoding="utf-8"?>
<ax:ocx xmlns:ax="http://schemas.microsoft.com/office/2006/activeX" xmlns:r="http://schemas.openxmlformats.org/officeDocument/2006/relationships" ax:classid="{CDCDCDCD-CDCD-CDCD-CDCD-CDCDCDCDCDCD}" r:id="rId1" ax:persistence="persistStorage"/>
</file>

<file path=word/activeX/activeX98.xml><?xml version="1.0" encoding="utf-8"?>
<ax:ocx xmlns:ax="http://schemas.microsoft.com/office/2006/activeX" xmlns:r="http://schemas.openxmlformats.org/officeDocument/2006/relationships" ax:classid="{CDCDCDCD-CDCD-CDCD-CDCD-CDCDCDCDCDCD}" r:id="rId1" ax:persistence="persistStorage"/>
</file>

<file path=word/activeX/activeX9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145</Pages>
  <Words>91128</Words>
  <Characters>94867</Characters>
  <Paragraphs>2295</Paragraphs>
  <TotalTime>8</TotalTime>
  <ScaleCrop>false</ScaleCrop>
  <LinksUpToDate>false</LinksUpToDate>
  <CharactersWithSpaces>98076</CharactersWithSpaces>
  <Application>WPS Office_11.1.0.11622_F1E327BC-269C-435d-A152-05C5408002CA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2022-03-08T02:39:00Z</dcterms:created>
  <dc:creator>谭时卓</dc:creator>
  <cp:lastModifiedBy>招标组</cp:lastModifiedBy>
  <cp:lastPrinted>2022-03-25T08:54:00Z</cp:lastPrinted>
  <dcterms:modified xsi:type="dcterms:W3CDTF">2022-04-01T07:08:06Z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Sky123.Org</vt:lpwstr>
  </property>
  <property fmtid="{D5CDD505-2E9C-101B-9397-08002B2CF9AE}" pid="3" name="DocSecurity">
    <vt:i4>0</vt:i4>
  </property>
  <property fmtid="{D5CDD505-2E9C-101B-9397-08002B2CF9AE}" pid="4" name="ICV">
    <vt:lpwstr>813D6A82322A42FBB31FAAA448B606CF</vt:lpwstr>
  </property>
  <property fmtid="{D5CDD505-2E9C-101B-9397-08002B2CF9AE}" pid="5" name="KSOProductBuildVer">
    <vt:lpwstr>2052-11.1.0.11622</vt:lpwstr>
  </property>
  <property fmtid="{D5CDD505-2E9C-101B-9397-08002B2CF9AE}" pid="6" name="LinksUpToDate">
    <vt:bool>false</vt:bool>
  </property>
  <property fmtid="{D5CDD505-2E9C-101B-9397-08002B2CF9AE}" pid="7" name="ScaleCrop">
    <vt:bool>false</vt:bool>
  </property>
</Properties>
</file>