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深圳市建筑工务署新材料新设备展陈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申报指引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spacing w:line="360" w:lineRule="auto"/>
        <w:ind w:left="1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为加强我署工程材料设备的有效管理，确保政府工程高质量发展，</w:t>
      </w:r>
      <w:r>
        <w:rPr>
          <w:rFonts w:hint="eastAsia" w:ascii="仿宋_GB2312" w:eastAsia="仿宋_GB2312"/>
          <w:sz w:val="32"/>
          <w:szCs w:val="32"/>
        </w:rPr>
        <w:t>指导新材料新设备供应商进入我署样板基地展陈的申报工作，保证新材料新设备入展评审工作的公开、公平、公正和有序开展，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根据我署样板基地展陈管理实施细则，</w:t>
      </w:r>
      <w:r>
        <w:rPr>
          <w:rFonts w:hint="eastAsia" w:ascii="仿宋_GB2312" w:eastAsia="仿宋_GB2312"/>
          <w:sz w:val="32"/>
          <w:szCs w:val="32"/>
        </w:rPr>
        <w:t>特制定本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left="1" w:firstLine="707" w:firstLineChars="221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材料新设备仅用于我署样板基地展厅展示，并未纳入我署四星参考品牌库，也不强制要求在我署项目上使用。实物展陈到期后，申请人应按要求及时、主动撤展；若实物展陈未按我署要求及时撤展的，多媒体信息将会被同时撤展。新材料新设备展陈所需费用，由申请人承担。</w:t>
      </w:r>
    </w:p>
    <w:p>
      <w:pPr>
        <w:spacing w:line="360" w:lineRule="auto"/>
        <w:ind w:left="1" w:firstLine="707" w:firstLineChars="22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一、新材料新设备征集公告</w:t>
      </w:r>
    </w:p>
    <w:p>
      <w:pPr>
        <w:snapToGrid w:val="0"/>
        <w:spacing w:line="360" w:lineRule="auto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新材料新设备征集公告请查询我署门户网站材料设备品牌专栏。具体查询路径为：</w:t>
      </w:r>
      <w:r>
        <w:rPr>
          <w:rFonts w:hint="eastAsia" w:ascii="仿宋_GB2312" w:hAnsi="楷体" w:eastAsia="仿宋_GB2312"/>
          <w:sz w:val="32"/>
          <w:szCs w:val="32"/>
          <w:u w:val="single"/>
          <w:lang w:val="en-US" w:eastAsia="zh-CN"/>
        </w:rPr>
        <w:t>www.</w:t>
      </w:r>
      <w:r>
        <w:rPr>
          <w:rFonts w:hint="eastAsia" w:ascii="仿宋_GB2312" w:hAnsi="楷体" w:eastAsia="仿宋_GB2312"/>
          <w:sz w:val="32"/>
          <w:szCs w:val="32"/>
          <w:u w:val="single"/>
        </w:rPr>
        <w:t>szwb.sz.gov.cn首页——政务服务——材料设备查询——材料设备品牌</w:t>
      </w:r>
      <w:r>
        <w:rPr>
          <w:rFonts w:hint="eastAsia" w:ascii="仿宋_GB2312" w:hAnsi="楷体" w:eastAsia="仿宋_GB2312"/>
          <w:sz w:val="32"/>
          <w:szCs w:val="32"/>
        </w:rPr>
        <w:t>。</w:t>
      </w:r>
      <w:r>
        <w:rPr>
          <w:rFonts w:ascii="仿宋_GB2312" w:hAnsi="楷体" w:eastAsia="仿宋_GB2312"/>
          <w:sz w:val="32"/>
          <w:szCs w:val="32"/>
        </w:rPr>
        <w:t xml:space="preserve">                                  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新材料新设备展陈流程</w:t>
      </w:r>
    </w:p>
    <w:p>
      <w:pPr>
        <w:adjustRightInd w:val="0"/>
        <w:snapToGrid w:val="0"/>
        <w:spacing w:before="156" w:beforeLines="50" w:line="360" w:lineRule="auto"/>
        <w:ind w:firstLine="646"/>
        <w:rPr>
          <w:rFonts w:ascii="仿宋_GB2312" w:hAnsi="楷体" w:eastAsia="仿宋_GB2312"/>
          <w:sz w:val="32"/>
          <w:szCs w:val="32"/>
        </w:rPr>
      </w:pPr>
      <w:bookmarkStart w:id="0" w:name="OLE_LINK23"/>
      <w:bookmarkStart w:id="1" w:name="OLE_LINK24"/>
      <w:r>
        <w:rPr>
          <w:rFonts w:hint="eastAsia" w:ascii="仿宋_GB2312" w:hAnsi="楷体" w:eastAsia="仿宋_GB2312"/>
          <w:sz w:val="32"/>
          <w:szCs w:val="32"/>
        </w:rPr>
        <w:t>1、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发布征集公告</w:t>
      </w:r>
      <w:r>
        <w:rPr>
          <w:rFonts w:hint="eastAsia" w:ascii="仿宋_GB2312" w:hAnsi="楷体" w:eastAsia="仿宋_GB2312"/>
          <w:sz w:val="32"/>
          <w:szCs w:val="32"/>
        </w:rPr>
        <w:t>：新材料新设备展陈申请</w:t>
      </w:r>
      <w:bookmarkEnd w:id="0"/>
      <w:bookmarkEnd w:id="1"/>
      <w:r>
        <w:rPr>
          <w:rFonts w:hint="eastAsia" w:ascii="仿宋_GB2312" w:hAnsi="楷体" w:eastAsia="仿宋_GB2312"/>
          <w:sz w:val="32"/>
          <w:szCs w:val="32"/>
        </w:rPr>
        <w:t>人（以下简称“申请人”）需留意我署门户网站公布的征集公告，根据公告内容申请展陈；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展陈资料递交</w:t>
      </w:r>
      <w:r>
        <w:rPr>
          <w:rFonts w:hint="eastAsia" w:ascii="仿宋_GB2312" w:hAnsi="楷体" w:eastAsia="仿宋_GB2312"/>
          <w:sz w:val="32"/>
          <w:szCs w:val="32"/>
        </w:rPr>
        <w:t>：申请人根据公告内容提交展陈资料（以下简称“资料”）；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展陈资料初审</w:t>
      </w:r>
      <w:r>
        <w:rPr>
          <w:rFonts w:hint="eastAsia" w:ascii="仿宋_GB2312" w:hAnsi="楷体" w:eastAsia="仿宋_GB2312"/>
          <w:sz w:val="32"/>
          <w:szCs w:val="32"/>
        </w:rPr>
        <w:t>：根据</w:t>
      </w:r>
      <w:r>
        <w:rPr>
          <w:rFonts w:hint="eastAsia" w:ascii="仿宋_GB2312" w:hAnsi="华文仿宋" w:eastAsia="仿宋_GB2312"/>
          <w:sz w:val="32"/>
          <w:szCs w:val="32"/>
        </w:rPr>
        <w:t>《深圳市建筑工务署样板基地材料设备展陈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管理实施细则</w:t>
      </w:r>
      <w:r>
        <w:rPr>
          <w:rFonts w:hint="eastAsia" w:ascii="仿宋_GB2312" w:hAnsi="华文仿宋" w:eastAsia="仿宋_GB2312"/>
          <w:sz w:val="32"/>
          <w:szCs w:val="32"/>
        </w:rPr>
        <w:t>》相关规定，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华文仿宋" w:eastAsia="仿宋_GB2312"/>
          <w:sz w:val="32"/>
          <w:szCs w:val="32"/>
        </w:rPr>
        <w:t>我署材料设备处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专项工作小组</w:t>
      </w:r>
      <w:r>
        <w:rPr>
          <w:rFonts w:hint="eastAsia" w:ascii="仿宋_GB2312" w:hAnsi="楷体" w:eastAsia="仿宋_GB2312"/>
          <w:sz w:val="32"/>
          <w:szCs w:val="32"/>
        </w:rPr>
        <w:t>对资料进行初审；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楷体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专业组评审：</w:t>
      </w:r>
      <w:r>
        <w:rPr>
          <w:rFonts w:hint="eastAsia" w:ascii="仿宋_GB2312" w:hAnsi="华文仿宋" w:eastAsia="仿宋_GB2312"/>
          <w:sz w:val="32"/>
          <w:szCs w:val="32"/>
        </w:rPr>
        <w:t>资料通过</w:t>
      </w:r>
      <w:r>
        <w:rPr>
          <w:rFonts w:hint="eastAsia" w:ascii="仿宋_GB2312" w:hAnsi="楷体" w:eastAsia="仿宋_GB2312"/>
          <w:sz w:val="32"/>
          <w:szCs w:val="32"/>
        </w:rPr>
        <w:t>初审并按要求补充完善后，由我署相关专业组进行评审；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楷体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材料设备</w:t>
      </w:r>
      <w:r>
        <w:rPr>
          <w:rFonts w:hint="eastAsia" w:ascii="仿宋_GB2312" w:hAnsi="楷体" w:eastAsia="仿宋_GB2312"/>
          <w:b/>
          <w:bCs/>
          <w:sz w:val="32"/>
          <w:szCs w:val="32"/>
          <w:lang w:val="en-US" w:eastAsia="zh-CN"/>
        </w:rPr>
        <w:t>处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审议：</w:t>
      </w:r>
      <w:r>
        <w:rPr>
          <w:rFonts w:hint="eastAsia" w:ascii="仿宋_GB2312" w:hAnsi="华文仿宋" w:eastAsia="仿宋_GB2312"/>
          <w:sz w:val="32"/>
          <w:szCs w:val="32"/>
        </w:rPr>
        <w:t>资料通过</w:t>
      </w:r>
      <w:r>
        <w:rPr>
          <w:rFonts w:hint="eastAsia" w:ascii="仿宋_GB2312" w:hAnsi="楷体" w:eastAsia="仿宋_GB2312"/>
          <w:sz w:val="32"/>
          <w:szCs w:val="32"/>
        </w:rPr>
        <w:t>评审并按要求补充完善后，提交我署材料设备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楷体" w:eastAsia="仿宋_GB2312"/>
          <w:sz w:val="32"/>
          <w:szCs w:val="32"/>
        </w:rPr>
        <w:t>审议；</w:t>
      </w:r>
    </w:p>
    <w:p>
      <w:pPr>
        <w:adjustRightInd w:val="0"/>
        <w:snapToGrid w:val="0"/>
        <w:spacing w:line="360" w:lineRule="auto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6</w:t>
      </w:r>
      <w:r>
        <w:rPr>
          <w:rFonts w:hint="eastAsia" w:ascii="仿宋_GB2312" w:hAnsi="楷体" w:eastAsia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展陈</w:t>
      </w:r>
      <w:r>
        <w:rPr>
          <w:rFonts w:hint="eastAsia" w:ascii="仿宋_GB2312" w:hAnsi="楷体" w:eastAsia="仿宋_GB2312"/>
          <w:sz w:val="32"/>
          <w:szCs w:val="32"/>
        </w:rPr>
        <w:t>：根据审议结果，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告知</w:t>
      </w:r>
      <w:r>
        <w:rPr>
          <w:rFonts w:hint="eastAsia" w:ascii="仿宋_GB2312" w:hAnsi="楷体" w:eastAsia="仿宋_GB2312"/>
          <w:sz w:val="32"/>
          <w:szCs w:val="32"/>
        </w:rPr>
        <w:t>通过展陈资料的申请人按照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楷体" w:eastAsia="仿宋_GB2312"/>
          <w:sz w:val="32"/>
          <w:szCs w:val="32"/>
        </w:rPr>
        <w:t>署相关要求提供新材料新设备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实物</w:t>
      </w:r>
      <w:r>
        <w:rPr>
          <w:rFonts w:hint="eastAsia" w:ascii="仿宋_GB2312" w:hAnsi="楷体" w:eastAsia="仿宋_GB2312"/>
          <w:sz w:val="32"/>
          <w:szCs w:val="32"/>
        </w:rPr>
        <w:t>样板及相关电子文件进行实物和多媒体展陈。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实物</w:t>
      </w:r>
      <w:r>
        <w:rPr>
          <w:rFonts w:hint="eastAsia" w:ascii="仿宋_GB2312" w:hAnsi="楷体" w:eastAsia="仿宋_GB2312"/>
          <w:sz w:val="32"/>
          <w:szCs w:val="32"/>
        </w:rPr>
        <w:t>展陈时间原则上不超过3个月，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如遇需要延长实物展陈时间的情况，我署将与申请人协商后，决定是否延长实物展陈时间</w:t>
      </w:r>
      <w:r>
        <w:rPr>
          <w:rFonts w:hint="eastAsia" w:ascii="仿宋_GB2312" w:hAnsi="楷体" w:eastAsia="仿宋_GB2312"/>
          <w:sz w:val="32"/>
          <w:szCs w:val="32"/>
        </w:rPr>
        <w:t>；多媒体信息展陈时间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不限</w:t>
      </w:r>
      <w:r>
        <w:rPr>
          <w:rFonts w:hint="eastAsia" w:ascii="仿宋_GB2312" w:hAnsi="楷体" w:eastAsia="仿宋_GB2312"/>
          <w:sz w:val="32"/>
          <w:szCs w:val="32"/>
        </w:rPr>
        <w:t>，数据长期保存。</w:t>
      </w:r>
    </w:p>
    <w:p>
      <w:pPr>
        <w:spacing w:line="360" w:lineRule="auto"/>
        <w:ind w:firstLine="640" w:firstLineChars="200"/>
        <w:rPr>
          <w:rFonts w:ascii="仿宋_GB2312" w:hAnsi="楷体" w:eastAsia="仿宋_GB2312"/>
          <w:sz w:val="32"/>
          <w:szCs w:val="32"/>
        </w:rPr>
      </w:pPr>
      <w:bookmarkStart w:id="2" w:name="OLE_LINK20"/>
      <w:bookmarkStart w:id="3" w:name="OLE_LINK19"/>
      <w:r>
        <w:rPr>
          <w:rFonts w:ascii="仿宋_GB2312" w:hAnsi="楷体" w:eastAsia="仿宋_GB2312"/>
          <w:sz w:val="32"/>
          <w:szCs w:val="32"/>
        </w:rPr>
        <w:t>7</w:t>
      </w:r>
      <w:r>
        <w:rPr>
          <w:rFonts w:hint="eastAsia" w:ascii="仿宋_GB2312" w:hAnsi="楷体" w:eastAsia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展陈撤展</w:t>
      </w:r>
      <w:r>
        <w:rPr>
          <w:rFonts w:hint="eastAsia" w:ascii="仿宋_GB2312" w:hAnsi="楷体" w:eastAsia="仿宋_GB2312"/>
          <w:sz w:val="32"/>
          <w:szCs w:val="32"/>
        </w:rPr>
        <w:t>：实物展陈到期后，申请人应按要求及时、主动撤展。</w:t>
      </w:r>
    </w:p>
    <w:bookmarkEnd w:id="2"/>
    <w:bookmarkEnd w:id="3"/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新材料新设备展陈申报及评审流程图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及相关展陈文件</w:t>
      </w:r>
      <w:r>
        <w:rPr>
          <w:rFonts w:hint="eastAsia" w:ascii="仿宋_GB2312" w:hAnsi="楷体" w:eastAsia="仿宋_GB2312"/>
          <w:sz w:val="32"/>
          <w:szCs w:val="32"/>
        </w:rPr>
        <w:t>详见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楷体" w:eastAsia="仿宋_GB2312"/>
          <w:sz w:val="32"/>
          <w:szCs w:val="32"/>
        </w:rPr>
        <w:t>附件。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楷体" w:eastAsia="仿宋_GB2312"/>
          <w:sz w:val="32"/>
          <w:szCs w:val="32"/>
        </w:rPr>
      </w:pPr>
    </w:p>
    <w:p>
      <w:pPr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深圳市建筑工务署</w:t>
      </w:r>
    </w:p>
    <w:p>
      <w:pPr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联系电话：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楷体" w:eastAsia="仿宋_GB2312"/>
          <w:sz w:val="32"/>
          <w:szCs w:val="32"/>
        </w:rPr>
        <w:t>工 0755-8813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4941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联系邮箱：</w:t>
      </w:r>
      <w:r>
        <w:fldChar w:fldCharType="begin"/>
      </w:r>
      <w:r>
        <w:instrText xml:space="preserve"> HYPERLINK "mailto:new-material@szwb.sz.gov.cn"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kern w:val="0"/>
          <w:sz w:val="32"/>
          <w:szCs w:val="32"/>
        </w:rPr>
        <w:t>new-material@szwb.sz.gov.cn</w:t>
      </w:r>
      <w:r>
        <w:rPr>
          <w:rStyle w:val="8"/>
          <w:rFonts w:hint="eastAsia" w:asciiTheme="majorEastAsia" w:hAnsiTheme="majorEastAsia" w:eastAsiaTheme="majorEastAsia"/>
          <w:kern w:val="0"/>
          <w:sz w:val="32"/>
          <w:szCs w:val="32"/>
        </w:rPr>
        <w:fldChar w:fldCharType="end"/>
      </w:r>
    </w:p>
    <w:p>
      <w:pPr>
        <w:rPr>
          <w:rFonts w:hint="eastAsia" w:ascii="仿宋_GB2312" w:hAnsi="Arial" w:eastAsia="仿宋_GB2312" w:cs="Arial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附件1：</w:t>
      </w:r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drawing>
          <wp:inline distT="0" distB="0" distL="114300" distR="114300">
            <wp:extent cx="5180965" cy="7743825"/>
            <wp:effectExtent l="19050" t="19050" r="19685" b="28575"/>
            <wp:docPr id="2" name="图片 2" descr="041914370858_0新材料流程图修改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1914370858_0新材料流程图修改稿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7743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  <w:sectPr>
          <w:pgSz w:w="11906" w:h="16838"/>
          <w:pgMar w:top="1247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：</w:t>
      </w:r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drawing>
          <wp:inline distT="0" distB="0" distL="114300" distR="114300">
            <wp:extent cx="9680575" cy="5840730"/>
            <wp:effectExtent l="0" t="0" r="15875" b="7620"/>
            <wp:docPr id="5" name="图片 5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057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新材料新设备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产品详情介绍</w:t>
      </w:r>
      <w:r>
        <w:rPr>
          <w:rFonts w:hint="eastAsia" w:ascii="宋体" w:hAnsi="宋体" w:eastAsia="宋体" w:cs="Times New Roman"/>
          <w:b/>
          <w:sz w:val="44"/>
          <w:szCs w:val="44"/>
        </w:rPr>
        <w:t xml:space="preserve"> PPT 文件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制作要求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一、公司介绍；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二、产品定义；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</w:rPr>
        <w:t>、产品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对比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分析</w:t>
      </w:r>
      <w:r>
        <w:rPr>
          <w:rFonts w:hint="eastAsia" w:ascii="仿宋_GB2312" w:hAnsi="宋体" w:eastAsia="仿宋_GB2312" w:cs="Times New Roman"/>
          <w:sz w:val="32"/>
          <w:szCs w:val="32"/>
        </w:rPr>
        <w:t>（与传统材料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设备</w:t>
      </w:r>
      <w:r>
        <w:rPr>
          <w:rFonts w:hint="eastAsia" w:ascii="仿宋_GB2312" w:hAnsi="宋体" w:eastAsia="仿宋_GB2312" w:cs="Times New Roman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核心</w:t>
      </w:r>
      <w:r>
        <w:rPr>
          <w:rFonts w:hint="eastAsia" w:ascii="仿宋_GB2312" w:hAnsi="宋体" w:eastAsia="仿宋_GB2312" w:cs="Times New Roman"/>
          <w:sz w:val="32"/>
          <w:szCs w:val="32"/>
        </w:rPr>
        <w:t>参数对比（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如抗拉强度、延长率、耐酸性、防火等级等</w:t>
      </w:r>
      <w:r>
        <w:rPr>
          <w:rFonts w:hint="eastAsia" w:ascii="仿宋_GB2312" w:hAnsi="宋体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Times New Roman"/>
          <w:sz w:val="32"/>
          <w:szCs w:val="32"/>
        </w:rPr>
        <w:t>生产制作工艺流程（附图片）；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3、施工安装流程</w:t>
      </w:r>
      <w:r>
        <w:rPr>
          <w:rFonts w:hint="eastAsia" w:ascii="仿宋_GB2312" w:hAnsi="宋体" w:eastAsia="仿宋_GB2312" w:cs="Times New Roman"/>
          <w:sz w:val="32"/>
          <w:szCs w:val="32"/>
        </w:rPr>
        <w:t>（附图片）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（二）产品</w:t>
      </w:r>
      <w:r>
        <w:rPr>
          <w:rFonts w:hint="eastAsia" w:ascii="仿宋_GB2312" w:hAnsi="宋体" w:eastAsia="仿宋_GB2312" w:cs="Times New Roman"/>
          <w:sz w:val="32"/>
          <w:szCs w:val="32"/>
        </w:rPr>
        <w:t>综合优势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及存在不足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四、产品采购价格（如有带施工价格，请标明采购及采购加安装两项价格）；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Times New Roman"/>
          <w:sz w:val="32"/>
          <w:szCs w:val="32"/>
        </w:rPr>
        <w:t>、执行标准情况、专利获取情况（附图片）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</w:t>
      </w:r>
      <w:r>
        <w:rPr>
          <w:rFonts w:hint="eastAsia" w:ascii="仿宋_GB2312" w:hAnsi="宋体" w:eastAsia="仿宋_GB2312" w:cs="Times New Roman"/>
          <w:sz w:val="32"/>
          <w:szCs w:val="32"/>
        </w:rPr>
        <w:t>研发团队及相关设备（附图片）；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Times New Roman"/>
          <w:sz w:val="32"/>
          <w:szCs w:val="32"/>
        </w:rPr>
        <w:t>、大型项目应用案例、政府工程案例、深圳案例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（注明）；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Times New Roman"/>
          <w:sz w:val="32"/>
          <w:szCs w:val="32"/>
        </w:rPr>
        <w:t>、其它。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备注：需涵盖以上资料内容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发送文件时，请发送PPT格式文件。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接收邮箱：new-material@szwb.sz.gov.cn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联系电话：0755-88134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联系人：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孙工</w:t>
      </w:r>
      <w:bookmarkStart w:id="4" w:name="_GoBack"/>
      <w:bookmarkEnd w:id="4"/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</w:pPr>
    </w:p>
    <w:p>
      <w:pPr>
        <w:rPr>
          <w:rFonts w:hint="eastAsia" w:ascii="仿宋_GB2312" w:hAnsi="Arial" w:eastAsia="仿宋_GB2312" w:cs="Arial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E51790"/>
    <w:multiLevelType w:val="multilevel"/>
    <w:tmpl w:val="51E51790"/>
    <w:lvl w:ilvl="0" w:tentative="0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D"/>
    <w:rsid w:val="00001447"/>
    <w:rsid w:val="00006651"/>
    <w:rsid w:val="00010BB3"/>
    <w:rsid w:val="00022320"/>
    <w:rsid w:val="000422A8"/>
    <w:rsid w:val="000435D3"/>
    <w:rsid w:val="000474FD"/>
    <w:rsid w:val="00052D44"/>
    <w:rsid w:val="0005451B"/>
    <w:rsid w:val="00061DC5"/>
    <w:rsid w:val="00062DF6"/>
    <w:rsid w:val="00065742"/>
    <w:rsid w:val="00065B75"/>
    <w:rsid w:val="0006709C"/>
    <w:rsid w:val="00075CCD"/>
    <w:rsid w:val="0008105F"/>
    <w:rsid w:val="000A6E60"/>
    <w:rsid w:val="000B1831"/>
    <w:rsid w:val="000B3435"/>
    <w:rsid w:val="000B4A1B"/>
    <w:rsid w:val="000B6553"/>
    <w:rsid w:val="000C0B25"/>
    <w:rsid w:val="000D2AFD"/>
    <w:rsid w:val="000E3B99"/>
    <w:rsid w:val="000E435E"/>
    <w:rsid w:val="000E50C4"/>
    <w:rsid w:val="000E5E06"/>
    <w:rsid w:val="001026A9"/>
    <w:rsid w:val="001119FD"/>
    <w:rsid w:val="0011209F"/>
    <w:rsid w:val="001245B4"/>
    <w:rsid w:val="00141CE8"/>
    <w:rsid w:val="00142A8E"/>
    <w:rsid w:val="0015736A"/>
    <w:rsid w:val="00157AC3"/>
    <w:rsid w:val="00161884"/>
    <w:rsid w:val="001622D1"/>
    <w:rsid w:val="00163653"/>
    <w:rsid w:val="0017271B"/>
    <w:rsid w:val="00182E07"/>
    <w:rsid w:val="00184914"/>
    <w:rsid w:val="00185FB1"/>
    <w:rsid w:val="00191EC3"/>
    <w:rsid w:val="001921CA"/>
    <w:rsid w:val="00196095"/>
    <w:rsid w:val="001C1F7F"/>
    <w:rsid w:val="001D1F34"/>
    <w:rsid w:val="001E186B"/>
    <w:rsid w:val="001E1E76"/>
    <w:rsid w:val="001E7C56"/>
    <w:rsid w:val="0020105D"/>
    <w:rsid w:val="002032AC"/>
    <w:rsid w:val="00203C0C"/>
    <w:rsid w:val="002045DD"/>
    <w:rsid w:val="00211172"/>
    <w:rsid w:val="0021122C"/>
    <w:rsid w:val="00211E34"/>
    <w:rsid w:val="00216F6A"/>
    <w:rsid w:val="0022099E"/>
    <w:rsid w:val="002222EA"/>
    <w:rsid w:val="002235E1"/>
    <w:rsid w:val="00226CE1"/>
    <w:rsid w:val="002271C5"/>
    <w:rsid w:val="00235932"/>
    <w:rsid w:val="0024691F"/>
    <w:rsid w:val="00246AAA"/>
    <w:rsid w:val="002565C6"/>
    <w:rsid w:val="00260286"/>
    <w:rsid w:val="002620E4"/>
    <w:rsid w:val="00262FE5"/>
    <w:rsid w:val="002708F6"/>
    <w:rsid w:val="00272248"/>
    <w:rsid w:val="00273880"/>
    <w:rsid w:val="00275D92"/>
    <w:rsid w:val="0027796D"/>
    <w:rsid w:val="002822EB"/>
    <w:rsid w:val="00282D03"/>
    <w:rsid w:val="00287E6A"/>
    <w:rsid w:val="00292EEB"/>
    <w:rsid w:val="002939DA"/>
    <w:rsid w:val="00297E76"/>
    <w:rsid w:val="002A4635"/>
    <w:rsid w:val="002B5E65"/>
    <w:rsid w:val="002D1005"/>
    <w:rsid w:val="002D2B68"/>
    <w:rsid w:val="002D42F7"/>
    <w:rsid w:val="002E6A36"/>
    <w:rsid w:val="002E6D0D"/>
    <w:rsid w:val="002E7A7B"/>
    <w:rsid w:val="002F418E"/>
    <w:rsid w:val="002F5FE1"/>
    <w:rsid w:val="002F6940"/>
    <w:rsid w:val="00306EA0"/>
    <w:rsid w:val="003072FF"/>
    <w:rsid w:val="00314A4B"/>
    <w:rsid w:val="00317560"/>
    <w:rsid w:val="003205BA"/>
    <w:rsid w:val="00321125"/>
    <w:rsid w:val="00323276"/>
    <w:rsid w:val="00335248"/>
    <w:rsid w:val="003358FF"/>
    <w:rsid w:val="00342B00"/>
    <w:rsid w:val="003474F0"/>
    <w:rsid w:val="003541F7"/>
    <w:rsid w:val="00356B9F"/>
    <w:rsid w:val="00366F97"/>
    <w:rsid w:val="00377B66"/>
    <w:rsid w:val="003839BC"/>
    <w:rsid w:val="00384521"/>
    <w:rsid w:val="00385573"/>
    <w:rsid w:val="00385F9D"/>
    <w:rsid w:val="003959B2"/>
    <w:rsid w:val="0039623D"/>
    <w:rsid w:val="003A4589"/>
    <w:rsid w:val="003A58B5"/>
    <w:rsid w:val="003B2241"/>
    <w:rsid w:val="003B7136"/>
    <w:rsid w:val="003D5D64"/>
    <w:rsid w:val="003E33B4"/>
    <w:rsid w:val="003F5EBA"/>
    <w:rsid w:val="0041064B"/>
    <w:rsid w:val="0042097D"/>
    <w:rsid w:val="00425FAF"/>
    <w:rsid w:val="00436234"/>
    <w:rsid w:val="00445AB3"/>
    <w:rsid w:val="00445E73"/>
    <w:rsid w:val="00446A9E"/>
    <w:rsid w:val="004479EC"/>
    <w:rsid w:val="0047284B"/>
    <w:rsid w:val="0047490C"/>
    <w:rsid w:val="00475084"/>
    <w:rsid w:val="00477247"/>
    <w:rsid w:val="00482608"/>
    <w:rsid w:val="00493418"/>
    <w:rsid w:val="00496E21"/>
    <w:rsid w:val="004A0253"/>
    <w:rsid w:val="004A49F5"/>
    <w:rsid w:val="004C78BE"/>
    <w:rsid w:val="004D4D4D"/>
    <w:rsid w:val="004D5A19"/>
    <w:rsid w:val="004E31E8"/>
    <w:rsid w:val="004E5343"/>
    <w:rsid w:val="004F0927"/>
    <w:rsid w:val="004F0EF6"/>
    <w:rsid w:val="004F384E"/>
    <w:rsid w:val="004F64E0"/>
    <w:rsid w:val="005058D2"/>
    <w:rsid w:val="00514421"/>
    <w:rsid w:val="0051693F"/>
    <w:rsid w:val="0052215E"/>
    <w:rsid w:val="00537566"/>
    <w:rsid w:val="00542226"/>
    <w:rsid w:val="00545450"/>
    <w:rsid w:val="00547065"/>
    <w:rsid w:val="00550D4B"/>
    <w:rsid w:val="0055380B"/>
    <w:rsid w:val="00556A36"/>
    <w:rsid w:val="00561B0E"/>
    <w:rsid w:val="005842E9"/>
    <w:rsid w:val="005B07F7"/>
    <w:rsid w:val="005B17F5"/>
    <w:rsid w:val="005B2EF6"/>
    <w:rsid w:val="005D4FA0"/>
    <w:rsid w:val="005F4B76"/>
    <w:rsid w:val="006030B7"/>
    <w:rsid w:val="006056ED"/>
    <w:rsid w:val="00607FE4"/>
    <w:rsid w:val="0061431C"/>
    <w:rsid w:val="00617B6E"/>
    <w:rsid w:val="00626621"/>
    <w:rsid w:val="00636F9A"/>
    <w:rsid w:val="006373EA"/>
    <w:rsid w:val="00637AE2"/>
    <w:rsid w:val="00637EC7"/>
    <w:rsid w:val="00642D6A"/>
    <w:rsid w:val="006501F5"/>
    <w:rsid w:val="006540BA"/>
    <w:rsid w:val="00664D56"/>
    <w:rsid w:val="006765D9"/>
    <w:rsid w:val="006768A8"/>
    <w:rsid w:val="0069663A"/>
    <w:rsid w:val="006A177A"/>
    <w:rsid w:val="006A408D"/>
    <w:rsid w:val="006A4907"/>
    <w:rsid w:val="006B16C9"/>
    <w:rsid w:val="006B37B9"/>
    <w:rsid w:val="006C06FB"/>
    <w:rsid w:val="006C0B6B"/>
    <w:rsid w:val="006D349E"/>
    <w:rsid w:val="006D449C"/>
    <w:rsid w:val="006E6ABC"/>
    <w:rsid w:val="006F6D3B"/>
    <w:rsid w:val="006F725B"/>
    <w:rsid w:val="00710561"/>
    <w:rsid w:val="00712FF8"/>
    <w:rsid w:val="00713DD7"/>
    <w:rsid w:val="00723176"/>
    <w:rsid w:val="00727008"/>
    <w:rsid w:val="00731B25"/>
    <w:rsid w:val="0073231A"/>
    <w:rsid w:val="00733011"/>
    <w:rsid w:val="00733559"/>
    <w:rsid w:val="00733B59"/>
    <w:rsid w:val="00733F23"/>
    <w:rsid w:val="007531C3"/>
    <w:rsid w:val="00762954"/>
    <w:rsid w:val="007659A0"/>
    <w:rsid w:val="007659AE"/>
    <w:rsid w:val="00765EC3"/>
    <w:rsid w:val="00770FEB"/>
    <w:rsid w:val="0077375D"/>
    <w:rsid w:val="00773DBF"/>
    <w:rsid w:val="007742EF"/>
    <w:rsid w:val="00790A64"/>
    <w:rsid w:val="007961F9"/>
    <w:rsid w:val="007A31A2"/>
    <w:rsid w:val="007A4083"/>
    <w:rsid w:val="007B1AD3"/>
    <w:rsid w:val="007B5811"/>
    <w:rsid w:val="007C4676"/>
    <w:rsid w:val="007C7469"/>
    <w:rsid w:val="007D58B9"/>
    <w:rsid w:val="007D6F5C"/>
    <w:rsid w:val="007D72AF"/>
    <w:rsid w:val="007D7896"/>
    <w:rsid w:val="007F0B04"/>
    <w:rsid w:val="007F3271"/>
    <w:rsid w:val="008028AB"/>
    <w:rsid w:val="00811878"/>
    <w:rsid w:val="00817998"/>
    <w:rsid w:val="00836CBE"/>
    <w:rsid w:val="00842819"/>
    <w:rsid w:val="0084661F"/>
    <w:rsid w:val="00846D68"/>
    <w:rsid w:val="00857D38"/>
    <w:rsid w:val="00857F28"/>
    <w:rsid w:val="008653D4"/>
    <w:rsid w:val="00871BBA"/>
    <w:rsid w:val="00872CD5"/>
    <w:rsid w:val="008738E1"/>
    <w:rsid w:val="0088171C"/>
    <w:rsid w:val="00885687"/>
    <w:rsid w:val="008A48EA"/>
    <w:rsid w:val="008A5859"/>
    <w:rsid w:val="008B451C"/>
    <w:rsid w:val="008B588F"/>
    <w:rsid w:val="008C17A5"/>
    <w:rsid w:val="008D2BA9"/>
    <w:rsid w:val="008D5326"/>
    <w:rsid w:val="008D5AE0"/>
    <w:rsid w:val="008D6A6E"/>
    <w:rsid w:val="008D6EC3"/>
    <w:rsid w:val="008E0113"/>
    <w:rsid w:val="008E66EE"/>
    <w:rsid w:val="00901526"/>
    <w:rsid w:val="0091081F"/>
    <w:rsid w:val="009156D6"/>
    <w:rsid w:val="009213F2"/>
    <w:rsid w:val="00922436"/>
    <w:rsid w:val="00926C2C"/>
    <w:rsid w:val="0093306D"/>
    <w:rsid w:val="009332BE"/>
    <w:rsid w:val="00941E31"/>
    <w:rsid w:val="00943FC7"/>
    <w:rsid w:val="00944ACD"/>
    <w:rsid w:val="0095463E"/>
    <w:rsid w:val="00963C7E"/>
    <w:rsid w:val="00965085"/>
    <w:rsid w:val="00967C44"/>
    <w:rsid w:val="00977A1F"/>
    <w:rsid w:val="00982824"/>
    <w:rsid w:val="009B36A6"/>
    <w:rsid w:val="009B6209"/>
    <w:rsid w:val="009C11F6"/>
    <w:rsid w:val="009D2976"/>
    <w:rsid w:val="009D6341"/>
    <w:rsid w:val="009E4F22"/>
    <w:rsid w:val="009F3D56"/>
    <w:rsid w:val="009F6EC3"/>
    <w:rsid w:val="00A01EF7"/>
    <w:rsid w:val="00A10F51"/>
    <w:rsid w:val="00A115ED"/>
    <w:rsid w:val="00A17DBA"/>
    <w:rsid w:val="00A42027"/>
    <w:rsid w:val="00A50FED"/>
    <w:rsid w:val="00A51724"/>
    <w:rsid w:val="00A602BC"/>
    <w:rsid w:val="00A618BA"/>
    <w:rsid w:val="00A625F6"/>
    <w:rsid w:val="00A63E93"/>
    <w:rsid w:val="00A74CCD"/>
    <w:rsid w:val="00A77DCA"/>
    <w:rsid w:val="00A85437"/>
    <w:rsid w:val="00A96264"/>
    <w:rsid w:val="00AA3E10"/>
    <w:rsid w:val="00AA48E9"/>
    <w:rsid w:val="00AA7835"/>
    <w:rsid w:val="00AB622D"/>
    <w:rsid w:val="00AD0563"/>
    <w:rsid w:val="00AD2618"/>
    <w:rsid w:val="00AD505B"/>
    <w:rsid w:val="00AE1FA8"/>
    <w:rsid w:val="00AE6A13"/>
    <w:rsid w:val="00AF09D4"/>
    <w:rsid w:val="00AF4482"/>
    <w:rsid w:val="00B03843"/>
    <w:rsid w:val="00B1169F"/>
    <w:rsid w:val="00B15AC8"/>
    <w:rsid w:val="00B21CD0"/>
    <w:rsid w:val="00B2388A"/>
    <w:rsid w:val="00B355D8"/>
    <w:rsid w:val="00B3693B"/>
    <w:rsid w:val="00B45438"/>
    <w:rsid w:val="00B47705"/>
    <w:rsid w:val="00B54688"/>
    <w:rsid w:val="00B56321"/>
    <w:rsid w:val="00B57143"/>
    <w:rsid w:val="00B607B2"/>
    <w:rsid w:val="00B717C2"/>
    <w:rsid w:val="00B802A7"/>
    <w:rsid w:val="00B80395"/>
    <w:rsid w:val="00B8274F"/>
    <w:rsid w:val="00B83D3D"/>
    <w:rsid w:val="00B87D64"/>
    <w:rsid w:val="00B94742"/>
    <w:rsid w:val="00BB1672"/>
    <w:rsid w:val="00BC1924"/>
    <w:rsid w:val="00BC27FE"/>
    <w:rsid w:val="00BD4D49"/>
    <w:rsid w:val="00BD672C"/>
    <w:rsid w:val="00C03A9F"/>
    <w:rsid w:val="00C04521"/>
    <w:rsid w:val="00C12568"/>
    <w:rsid w:val="00C16528"/>
    <w:rsid w:val="00C20DDF"/>
    <w:rsid w:val="00C234D8"/>
    <w:rsid w:val="00C34C14"/>
    <w:rsid w:val="00C47489"/>
    <w:rsid w:val="00C474E1"/>
    <w:rsid w:val="00C5050C"/>
    <w:rsid w:val="00C53958"/>
    <w:rsid w:val="00C53BD3"/>
    <w:rsid w:val="00C55CAA"/>
    <w:rsid w:val="00C72639"/>
    <w:rsid w:val="00C778BF"/>
    <w:rsid w:val="00C81C86"/>
    <w:rsid w:val="00C912C1"/>
    <w:rsid w:val="00C92C45"/>
    <w:rsid w:val="00C945CE"/>
    <w:rsid w:val="00CA42A1"/>
    <w:rsid w:val="00CA5DCE"/>
    <w:rsid w:val="00CC22D7"/>
    <w:rsid w:val="00CC42A6"/>
    <w:rsid w:val="00CD11A7"/>
    <w:rsid w:val="00CD6486"/>
    <w:rsid w:val="00CD7A55"/>
    <w:rsid w:val="00CE3D4F"/>
    <w:rsid w:val="00CE738C"/>
    <w:rsid w:val="00CF2BDD"/>
    <w:rsid w:val="00CF36E3"/>
    <w:rsid w:val="00CF426B"/>
    <w:rsid w:val="00CF4787"/>
    <w:rsid w:val="00CF7356"/>
    <w:rsid w:val="00D004EC"/>
    <w:rsid w:val="00D04856"/>
    <w:rsid w:val="00D1369E"/>
    <w:rsid w:val="00D1393A"/>
    <w:rsid w:val="00D25912"/>
    <w:rsid w:val="00D25B28"/>
    <w:rsid w:val="00D314B2"/>
    <w:rsid w:val="00D321A6"/>
    <w:rsid w:val="00D33555"/>
    <w:rsid w:val="00D437C2"/>
    <w:rsid w:val="00D46727"/>
    <w:rsid w:val="00D53033"/>
    <w:rsid w:val="00D54BE2"/>
    <w:rsid w:val="00D55BE7"/>
    <w:rsid w:val="00D56033"/>
    <w:rsid w:val="00D6144D"/>
    <w:rsid w:val="00D63F70"/>
    <w:rsid w:val="00D722AA"/>
    <w:rsid w:val="00D73422"/>
    <w:rsid w:val="00D7738C"/>
    <w:rsid w:val="00D818C8"/>
    <w:rsid w:val="00D84A6F"/>
    <w:rsid w:val="00D85B91"/>
    <w:rsid w:val="00D90035"/>
    <w:rsid w:val="00D90B65"/>
    <w:rsid w:val="00D924D2"/>
    <w:rsid w:val="00D96815"/>
    <w:rsid w:val="00DA35CD"/>
    <w:rsid w:val="00DA4A36"/>
    <w:rsid w:val="00DA4B50"/>
    <w:rsid w:val="00DA7C53"/>
    <w:rsid w:val="00DB596F"/>
    <w:rsid w:val="00DC04ED"/>
    <w:rsid w:val="00DC7E4D"/>
    <w:rsid w:val="00DD515A"/>
    <w:rsid w:val="00DF1DF3"/>
    <w:rsid w:val="00DF66B1"/>
    <w:rsid w:val="00E04F6E"/>
    <w:rsid w:val="00E11C4A"/>
    <w:rsid w:val="00E15F31"/>
    <w:rsid w:val="00E228AC"/>
    <w:rsid w:val="00E2339D"/>
    <w:rsid w:val="00E249FF"/>
    <w:rsid w:val="00E347B0"/>
    <w:rsid w:val="00E354B6"/>
    <w:rsid w:val="00E41087"/>
    <w:rsid w:val="00E41180"/>
    <w:rsid w:val="00E44F4B"/>
    <w:rsid w:val="00E529B8"/>
    <w:rsid w:val="00E534D7"/>
    <w:rsid w:val="00E808E6"/>
    <w:rsid w:val="00E81E5C"/>
    <w:rsid w:val="00E82FA4"/>
    <w:rsid w:val="00E87F89"/>
    <w:rsid w:val="00E914FC"/>
    <w:rsid w:val="00E94835"/>
    <w:rsid w:val="00E95C2B"/>
    <w:rsid w:val="00E96BB9"/>
    <w:rsid w:val="00EA0D52"/>
    <w:rsid w:val="00EA12B8"/>
    <w:rsid w:val="00EB6A38"/>
    <w:rsid w:val="00ED7B7F"/>
    <w:rsid w:val="00ED7C4A"/>
    <w:rsid w:val="00EE5D31"/>
    <w:rsid w:val="00EE6BB8"/>
    <w:rsid w:val="00EF1082"/>
    <w:rsid w:val="00EF1C5A"/>
    <w:rsid w:val="00F10C2E"/>
    <w:rsid w:val="00F2265B"/>
    <w:rsid w:val="00F276B3"/>
    <w:rsid w:val="00F314E1"/>
    <w:rsid w:val="00F342E3"/>
    <w:rsid w:val="00F34B83"/>
    <w:rsid w:val="00F40786"/>
    <w:rsid w:val="00F47092"/>
    <w:rsid w:val="00F634EB"/>
    <w:rsid w:val="00F66F8F"/>
    <w:rsid w:val="00FA0ECA"/>
    <w:rsid w:val="00FB4C22"/>
    <w:rsid w:val="00FC2CE3"/>
    <w:rsid w:val="00FD37B9"/>
    <w:rsid w:val="00FD7040"/>
    <w:rsid w:val="00FD75BE"/>
    <w:rsid w:val="00FE141F"/>
    <w:rsid w:val="00FE4630"/>
    <w:rsid w:val="00FE6F2B"/>
    <w:rsid w:val="00FF32A3"/>
    <w:rsid w:val="00FF766C"/>
    <w:rsid w:val="05033FB3"/>
    <w:rsid w:val="0F6A5DC9"/>
    <w:rsid w:val="16071606"/>
    <w:rsid w:val="18D726FD"/>
    <w:rsid w:val="1ABD0894"/>
    <w:rsid w:val="21052AD5"/>
    <w:rsid w:val="2BA838AB"/>
    <w:rsid w:val="3449430B"/>
    <w:rsid w:val="364628CD"/>
    <w:rsid w:val="390020E5"/>
    <w:rsid w:val="3AF252C8"/>
    <w:rsid w:val="49F7279D"/>
    <w:rsid w:val="4F9F3FA2"/>
    <w:rsid w:val="565F5F5B"/>
    <w:rsid w:val="57C377F8"/>
    <w:rsid w:val="5AED4DD7"/>
    <w:rsid w:val="5B027986"/>
    <w:rsid w:val="5C635635"/>
    <w:rsid w:val="6613042D"/>
    <w:rsid w:val="69E709E1"/>
    <w:rsid w:val="702F03B0"/>
    <w:rsid w:val="71837AE7"/>
    <w:rsid w:val="75E12C1C"/>
    <w:rsid w:val="790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71C8D-C722-4506-A893-F7E8BA1E6D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120</Words>
  <Characters>686</Characters>
  <Lines>5</Lines>
  <Paragraphs>1</Paragraphs>
  <TotalTime>8</TotalTime>
  <ScaleCrop>false</ScaleCrop>
  <LinksUpToDate>false</LinksUpToDate>
  <CharactersWithSpaces>805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2020-06-30T01:09:00Z</dcterms:created>
  <dc:creator>王慧</dc:creator>
  <cp:lastModifiedBy>WPS_1493684780</cp:lastModifiedBy>
  <cp:lastPrinted>2021-04-20T03:24:00Z</cp:lastPrinted>
  <dcterms:modified xsi:type="dcterms:W3CDTF">2021-11-01T03:09:21Z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6393099DBADC4C64945E7FF173444717</vt:lpwstr>
  </property>
</Properties>
</file>